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dgj33bjpu2kn" w:id="0"/>
      <w:bookmarkEnd w:id="0"/>
      <w:r w:rsidDel="00000000" w:rsidR="00000000" w:rsidRPr="00000000">
        <w:rPr>
          <w:rtl w:val="0"/>
        </w:rPr>
        <w:t xml:space="preserve">Лабораторная №2. Перенос знаний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ejhe3rxq4o9" w:id="1"/>
      <w:bookmarkEnd w:id="1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Придумайте архитектуру свёрточной сети для решения задачи классификации на наборе данных MNIST. Обучите и протестируйте её. Постройте кривую обучения. Сохраните полученные параметры.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Обучите и протестируйте ту же самую архитектуру на наборе данных Fashion-MNIST. Постройте кривую обучения.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Повторите предыдущий эксперимент, но начните обучения не со случайных параметров, а с сохранённых в первом пункте.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Повторите предыдущий эксперимент, но заморозьте параметры на свёрточных слоях.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Повторите предыдущий эксперимент, но после нескольких эпох разморозьте и дообучите параметры.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89ggwtyxyy57" w:id="2"/>
      <w:bookmarkEnd w:id="2"/>
      <w:r w:rsidDel="00000000" w:rsidR="00000000" w:rsidRPr="00000000">
        <w:rPr>
          <w:rtl w:val="0"/>
        </w:rPr>
        <w:t xml:space="preserve">Анализ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Для построения кривой обучения производите измерения точности на тестовом наборе данных через каждые 10000/«размер пакета» итераций.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 графике также должны быть отмечены эмпирический риск и точность сглаженные за соответствующее число итераций на тренировочной выборке.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Если модель обучается слишком медленно или слишком быстро, то частоту измерения можно изменить.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Помимо графиков выводите также текстовые показатели.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