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gj33bjpu2kn" w:id="0"/>
      <w:bookmarkEnd w:id="0"/>
      <w:r w:rsidDel="00000000" w:rsidR="00000000" w:rsidRPr="00000000">
        <w:rPr>
          <w:rtl w:val="0"/>
        </w:rPr>
        <w:t xml:space="preserve">Лабораторная №5. Кластеризация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nrs28ke1cxv" w:id="1"/>
      <w:bookmarkEnd w:id="1"/>
      <w:r w:rsidDel="00000000" w:rsidR="00000000" w:rsidRPr="00000000">
        <w:rPr>
          <w:rtl w:val="0"/>
        </w:rPr>
        <w:t xml:space="preserve">Набор данных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Раздобудьте где-нибудь набор данных для задачи классификации. Он должен содержать не менее трёх классов.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Приведите его в порядок: заполните пропуски, векторизуйте, нормализуйте.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Спроецируйте данные на двухмерное пространство при помощи PCA/t-SNE/UMAP.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Визуализируйте набор данных. Если в нём визуально не наблюдаются кластеры, то лучше выбрать другой набор данных.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ejhe3rxq4o9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Выберете два алгоритма кластеризации: первый с возможностью явно задать число кластеров, а второй — без.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Выберете две меры оценки качества кластеризации: внешнюю и внутреннюю.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первого и второго алгоритма измерьте, как зависит внешняя и внутренняя мера от числа кластеров. Для второго алгоритма требуется выбрать гиперпараметр, от которого зависит число кластеров и варьировать его.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