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gj33bjpu2kn" w:id="0"/>
      <w:bookmarkEnd w:id="0"/>
      <w:r w:rsidDel="00000000" w:rsidR="00000000" w:rsidRPr="00000000">
        <w:rPr>
          <w:rtl w:val="0"/>
        </w:rPr>
        <w:t xml:space="preserve">Лабораторная №6. Выбор признаков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jhe3rxq4o9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Реализуйте 3 метода выбора признаков: встроенный, обёртку и фильтрующий.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Примените реализованные методы на наборе данных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  <w:t xml:space="preserve"> или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castle-or-lock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Выведите первые 30 признаков (слов), выбранные каждым методом.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Сравните полученные списки с любыми тремя библиотечными методами, отличными от реализованных вами. В этом пункте не обязательно брать один метод обёртку, один встроенный и один фильтрующий.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Определите, как меняется качество работы различных (не менее трёх) классификаторов до и после выбора признаков каждым из методов.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8FKYw4fOjZsFQn_ljoFqYEFAIpp8f_yU/view?usp=share_link" TargetMode="External"/><Relationship Id="rId7" Type="http://schemas.openxmlformats.org/officeDocument/2006/relationships/hyperlink" Target="https://drive.google.com/file/d/1LhXfF0swmr2vuaOL16ovdlUM87I5eJV7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