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40" w:before="0" w:after="0"/>
        <w:ind w:left="0"/>
        <w:contextualSpacing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>
      <w:pPr>
        <w:pStyle w:val="ListParagraph"/>
        <w:spacing w:lineRule="auto" w:line="240" w:before="0" w:after="0"/>
        <w:ind w:left="0"/>
        <w:contextualSpacing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ListParagraph"/>
        <w:spacing w:lineRule="auto" w:line="240" w:before="0" w:after="0"/>
        <w:ind w:left="0"/>
        <w:contextualSpacing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—</w:t>
      </w:r>
    </w:p>
    <w:p>
      <w:pPr>
        <w:pStyle w:val="ListParagraph"/>
        <w:spacing w:lineRule="auto" w:line="240" w:before="0" w:after="0"/>
        <w:ind w:left="0"/>
        <w:contextualSpacing/>
        <w:jc w:val="center"/>
        <w:rPr/>
      </w:pPr>
      <w:r>
        <w:rPr>
          <w:rFonts w:eastAsia="Times New Roman" w:cs="Times New Roman" w:ascii="Times New Roman" w:hAnsi="Times New Roman"/>
          <w:color w:val="000000"/>
        </w:rPr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Институт компьютерных наук и кибербезопасности</w:t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Standard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ЛАБОРАТОРНАЯ РАБОТА № 4</w:t>
      </w:r>
    </w:p>
    <w:p>
      <w:pPr>
        <w:pStyle w:val="Standard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240" w:before="0" w:after="0"/>
        <w:ind w:left="0"/>
        <w:contextualSpacing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«Спектры сигналов»</w:t>
      </w:r>
    </w:p>
    <w:p>
      <w:pPr>
        <w:pStyle w:val="ListParagraph"/>
        <w:spacing w:lineRule="auto" w:line="240" w:before="0" w:after="0"/>
        <w:ind w:left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 дисциплине «Электроника и схемотехника»</w:t>
      </w:r>
    </w:p>
    <w:p>
      <w:pPr>
        <w:pStyle w:val="Standard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240" w:before="0" w:after="200"/>
        <w:ind w:left="567"/>
        <w:contextualSpacing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2725420</wp:posOffset>
            </wp:positionH>
            <wp:positionV relativeFrom="paragraph">
              <wp:posOffset>437515</wp:posOffset>
            </wp:positionV>
            <wp:extent cx="1157605" cy="80708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Выполни</w:t>
      </w:r>
    </w:p>
    <w:p>
      <w:pPr>
        <w:pStyle w:val="ListParagraph"/>
        <w:tabs>
          <w:tab w:val="clear" w:pos="708"/>
          <w:tab w:val="left" w:pos="4527" w:leader="none"/>
          <w:tab w:val="left" w:pos="7407" w:leader="none"/>
        </w:tabs>
        <w:spacing w:lineRule="auto" w:line="240" w:before="0" w:after="200"/>
        <w:ind w:left="567"/>
        <w:contextualSpacing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студент гр.5151001/40001 </w:t>
        <w:tab/>
        <w:t xml:space="preserve">                                 Волошкевич М.А.</w:t>
      </w:r>
    </w:p>
    <w:p>
      <w:pPr>
        <w:pStyle w:val="Standard"/>
        <w:tabs>
          <w:tab w:val="clear" w:pos="708"/>
          <w:tab w:val="left" w:pos="5313" w:leader="none"/>
          <w:tab w:val="left" w:pos="7407" w:leader="none"/>
        </w:tabs>
        <w:spacing w:lineRule="auto" w:line="240" w:before="0" w:after="0"/>
        <w:ind w:left="567"/>
        <w:jc w:val="both"/>
        <w:rPr/>
      </w:pP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&lt;</w:t>
      </w:r>
      <w:r>
        <w:rPr>
          <w:rFonts w:eastAsia="Times New Roman" w:cs="Times New Roman" w:ascii="Times New Roman" w:hAnsi="Times New Roman"/>
          <w:i/>
          <w:iCs/>
          <w:color w:val="000000"/>
          <w:sz w:val="22"/>
          <w:szCs w:val="22"/>
        </w:rPr>
        <w:t>подпись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&gt;</w:t>
      </w:r>
    </w:p>
    <w:p>
      <w:pPr>
        <w:pStyle w:val="ListParagraph"/>
        <w:spacing w:lineRule="auto" w:line="240" w:before="240" w:after="200"/>
        <w:ind w:left="567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tabs>
          <w:tab w:val="clear" w:pos="708"/>
          <w:tab w:val="left" w:pos="4527" w:leader="none"/>
          <w:tab w:val="left" w:pos="7407" w:leader="none"/>
        </w:tabs>
        <w:spacing w:lineRule="auto" w:line="240" w:before="0" w:after="200"/>
        <w:ind w:left="567"/>
        <w:contextualSpacing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Преподаватель                                                               Супрун А.Ф.</w:t>
      </w:r>
    </w:p>
    <w:p>
      <w:pPr>
        <w:pStyle w:val="Standard"/>
        <w:tabs>
          <w:tab w:val="clear" w:pos="708"/>
          <w:tab w:val="left" w:pos="4746" w:leader="none"/>
          <w:tab w:val="left" w:pos="6840" w:leader="none"/>
        </w:tabs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         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&lt;</w:t>
      </w:r>
      <w:r>
        <w:rPr>
          <w:rFonts w:eastAsia="Times New Roman" w:cs="Times New Roman" w:ascii="Times New Roman" w:hAnsi="Times New Roman"/>
          <w:i/>
          <w:iCs/>
          <w:color w:val="000000"/>
          <w:sz w:val="22"/>
          <w:szCs w:val="22"/>
        </w:rPr>
        <w:t>подпись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&gt;</w:t>
      </w:r>
    </w:p>
    <w:p>
      <w:pPr>
        <w:pStyle w:val="ListParagraph"/>
        <w:tabs>
          <w:tab w:val="clear" w:pos="708"/>
          <w:tab w:val="left" w:pos="4680" w:leader="none"/>
          <w:tab w:val="left" w:pos="7560" w:leader="none"/>
        </w:tabs>
        <w:spacing w:lineRule="auto" w:line="276" w:before="0" w:after="20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tabs>
          <w:tab w:val="clear" w:pos="708"/>
          <w:tab w:val="left" w:pos="5466" w:leader="none"/>
          <w:tab w:val="left" w:pos="7560" w:leader="none"/>
        </w:tabs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tabs>
          <w:tab w:val="clear" w:pos="708"/>
          <w:tab w:val="left" w:pos="3960" w:leader="none"/>
          <w:tab w:val="left" w:pos="6840" w:leader="none"/>
        </w:tabs>
        <w:spacing w:lineRule="auto" w:line="240" w:before="0" w:after="0"/>
        <w:ind w:firstLine="85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240" w:before="0" w:after="0"/>
        <w:ind w:left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240" w:before="0" w:after="0"/>
        <w:ind w:left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ListParagraph"/>
        <w:spacing w:lineRule="auto" w:line="240" w:before="0" w:after="0"/>
        <w:ind w:left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ListParagraph"/>
        <w:spacing w:lineRule="auto" w:line="240" w:before="0" w:after="0"/>
        <w:ind w:left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2025 г.</w:t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34343C"/>
          <w:sz w:val="28"/>
          <w:szCs w:val="28"/>
        </w:rPr>
        <w:t>1. Цель работы</w:t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Исследовать отличия спектрального временного представления сигналов, освоить методику расчета амплитудных и фазовых спектров периодических сигналов, изучить основные параметры анализатора спектра и экспериментально исследовать амплитудные спектры типовых периодических сигналов. </w:t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34343C"/>
          <w:sz w:val="28"/>
          <w:szCs w:val="28"/>
        </w:rPr>
        <w:t>2. Ход работы</w:t>
      </w:r>
    </w:p>
    <w:p>
      <w:pPr>
        <w:pStyle w:val="Standard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ab/>
        <w:t>1. Определение формы и спектра гармонического сигнала.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Была собрана рабочая схема, представленная на Рисунке 1, состоящая из функционального генератора, осциллографа, анализатора спектра и мультиметра.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Для функционального генератора выбрали следующие значения: амплитуда напряжения — 1В, частота — 5кГц.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3985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1- Рабочая схема.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Исследуем осциллограмму, полученную при этих входных данных - Рисунок 2. Можно сделать вывод, что сигнал гармонический.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25950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2 — Осциллограмма.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561590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3 — Показатели анализатора спектра.</w:t>
      </w:r>
    </w:p>
    <w:p>
      <w:pPr>
        <w:pStyle w:val="Standard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ab/>
      </w:r>
    </w:p>
    <w:p>
      <w:pPr>
        <w:pStyle w:val="Standard"/>
        <w:ind w:firstLine="708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 xml:space="preserve">2. Исследование зависимости спектра от формы сигнала.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На функциональном генераторе, изменив форму волны на пилообразную, изучим полученную осциллограмму — Рисунок 4.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-120015</wp:posOffset>
            </wp:positionV>
            <wp:extent cx="5731510" cy="4422140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4 — Осциллограмма пилообразного сигнала.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-191135</wp:posOffset>
            </wp:positionH>
            <wp:positionV relativeFrom="paragraph">
              <wp:posOffset>147955</wp:posOffset>
            </wp:positionV>
            <wp:extent cx="6741160" cy="3027680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5 — Показатели анализатора спектра при пилообразного сигнале.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Повторим действия выше, но с прямоугольным сигналом. Показатели осциллографа и спектра сигнала — Рисунок 6, 7.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21505"/>
            <wp:effectExtent l="0" t="0" r="0" b="0"/>
            <wp:wrapSquare wrapText="largest"/>
            <wp:docPr id="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6 — Осциллограмма прямоугольного сигнала.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6603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7 — Показатели анализатора спектра при прямоугольном сигнале. </w:t>
      </w:r>
    </w:p>
    <w:p>
      <w:pPr>
        <w:pStyle w:val="Standard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ab/>
        <w:t xml:space="preserve">3. Исследование спектра последовательности прямоугольных импульсов.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Также было проведено исследование спектра последовательности прямоугольных импульсов, результаты всех измерений приведены ниже. </w:t>
      </w:r>
    </w:p>
    <w:p>
      <w:pPr>
        <w:pStyle w:val="Standard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 xml:space="preserve">3.1 Зависимость спектра от частоты.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Частота 2 кГц, амплитуда 1В, длительность 50%, показания приборов - Рисунок 8, 9.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334010</wp:posOffset>
            </wp:positionH>
            <wp:positionV relativeFrom="paragraph">
              <wp:posOffset>5080</wp:posOffset>
            </wp:positionV>
            <wp:extent cx="4833620" cy="3694430"/>
            <wp:effectExtent l="0" t="0" r="0" b="0"/>
            <wp:wrapSquare wrapText="largest"/>
            <wp:docPr id="9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20" cy="369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-60960</wp:posOffset>
            </wp:positionH>
            <wp:positionV relativeFrom="paragraph">
              <wp:posOffset>368935</wp:posOffset>
            </wp:positionV>
            <wp:extent cx="6116320" cy="249364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8 — Осциллограмма прямоугольного сигнала в 2 кГц.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9 — Показатели анализатора спектра при подаче прямоугольного сигнала в 2 кГц.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b/>
          <w:bCs/>
          <w:i/>
          <w:i/>
          <w:i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34343C"/>
          <w:sz w:val="28"/>
          <w:szCs w:val="28"/>
        </w:rPr>
        <w:t>3.2 Зависимость спектра от длительности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193675</wp:posOffset>
            </wp:positionH>
            <wp:positionV relativeFrom="paragraph">
              <wp:posOffset>652145</wp:posOffset>
            </wp:positionV>
            <wp:extent cx="5558155" cy="4302760"/>
            <wp:effectExtent l="0" t="0" r="0" b="0"/>
            <wp:wrapSquare wrapText="largest"/>
            <wp:docPr id="11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430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Частота 5 кГц, амплитуда 1В, длительность 70%, показания приборов — Рисунок 10, 11.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5154295</wp:posOffset>
            </wp:positionV>
            <wp:extent cx="5731510" cy="256730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10 — Осциллограмма прямоугольного сигнала при длительности 70%.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11 — показание анализатора спектра при подаче прямоугольного сигнала при длительности 70 %.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3.3 Зависимость спектра от амплитуды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Частота 5 кГц, амплитуда 3 В, длительность 50 %, показания приборов — Рисунок 12, 13. 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52290"/>
            <wp:effectExtent l="0" t="0" r="0" b="0"/>
            <wp:wrapSquare wrapText="largest"/>
            <wp:docPr id="13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12 — Осциллограмма прямоугольного сигнала при амплитуде 3В.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731510" cy="2574925"/>
            <wp:effectExtent l="0" t="0" r="0" b="0"/>
            <wp:wrapSquare wrapText="largest"/>
            <wp:docPr id="14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Рисунок 13 — Показание анализатора спектра при подаче прямоугольного сигнала при амплитуде 3В.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Рассчитываем с использованием формул, описывающих ряд Фурье, амплитудный и фазовый спектры последовательности прямоугольных. 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>А=1 В, f</w:t>
      </w:r>
      <w:r>
        <w:rPr>
          <w:rFonts w:eastAsia="Times New Roman" w:cs="Times New Roman" w:ascii="Times New Roman" w:hAnsi="Times New Roman"/>
          <w:color w:val="34343C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​=2 кГц, </w:t>
      </w:r>
      <w:r>
        <w:rPr>
          <w:rFonts w:eastAsia="Times New Roman" w:cs="Times New Roman" w:ascii="Times New Roman" w:hAnsi="Times New Roman"/>
          <w:color w:val="34343C"/>
          <w:sz w:val="28"/>
          <w:szCs w:val="28"/>
          <w:lang w:val="en-US"/>
        </w:rPr>
        <w:t>D</w:t>
      </w: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=0.5 (коэффициент заполнения 50 %).</w:t>
        <w:br/>
        <w:t xml:space="preserve">Формулы: </w:t>
      </w:r>
    </w:p>
    <w:p>
      <w:pPr>
        <w:pStyle w:val="BodyText"/>
        <w:widowControl/>
        <w:spacing w:lineRule="auto" w:line="278" w:before="0" w:after="160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nΩt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sin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где</m:t>
              </m:r>
            </m:e>
          </m:nary>
          <m:r>
            <w:rPr>
              <w:rFonts w:ascii="Cambria Math" w:hAnsi="Cambria Math"/>
            </w:rPr>
            <m:t xml:space="preserve">Ω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</m:oMath>
      </m:oMathPara>
    </w:p>
    <w:p>
      <w:pPr>
        <w:pStyle w:val="Normal"/>
        <w:jc w:val="center"/>
        <w:rPr>
          <w:rFonts w:eastAsia="Times New Roman" w:cs="Times New Roman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  <m:e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nΩt</m:t>
                  </m:r>
                </m:e>
              </m:d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где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,1</m:t>
              </m:r>
              <m:r>
                <w:rPr>
                  <w:rFonts w:ascii="Cambria Math" w:hAnsi="Cambria Math"/>
                </w:rPr>
                <m:t xml:space="preserve">,2</m:t>
              </m:r>
              <m:r>
                <w:rPr>
                  <w:rFonts w:ascii="Cambria Math" w:hAnsi="Cambria Math"/>
                </w:rPr>
                <m:t xml:space="preserve">,3</m:t>
              </m:r>
              <m:r>
                <w:rPr>
                  <w:rFonts w:ascii="Cambria Math" w:hAnsi="Cambria Math"/>
                </w:rPr>
                <m:t xml:space="preserve">…</m:t>
              </m:r>
            </m:e>
          </m:nary>
        </m:oMath>
      </m:oMathPara>
    </w:p>
    <w:p>
      <w:pPr>
        <w:pStyle w:val="BodyText"/>
        <w:widowControl/>
        <w:spacing w:lineRule="auto" w:line="278" w:before="0" w:after="160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  <m:e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nΩt</m:t>
                  </m:r>
                </m:e>
              </m:d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где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1,2,3</m:t>
              </m:r>
              <m:r>
                <w:rPr>
                  <w:rFonts w:ascii="Cambria Math" w:hAnsi="Cambria Math"/>
                </w:rPr>
                <m:t xml:space="preserve">…</m:t>
              </m:r>
            </m:e>
          </m:nary>
        </m:oMath>
      </m:oMathPara>
    </w:p>
    <w:p>
      <w:pPr>
        <w:pStyle w:val="BodyText"/>
        <w:widowControl/>
        <w:spacing w:lineRule="auto" w:line="278" w:before="0" w:after="160"/>
        <w:rPr/>
      </w:pPr>
      <w:r>
        <w:rPr/>
      </w:r>
    </w:p>
    <w:p>
      <w:pPr>
        <w:pStyle w:val="Normal"/>
        <w:jc w:val="center"/>
        <w:rPr>
          <w:rFonts w:eastAsia="Times New Roman" w:cs="Times New Roman"/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</m:oMath>
      </m:oMathPara>
    </w:p>
    <w:p>
      <w:pPr>
        <w:pStyle w:val="BodyText"/>
        <w:widowControl/>
        <w:spacing w:lineRule="auto" w:line="278" w:before="0" w:after="160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</m:oMath>
      </m:oMathPara>
    </w:p>
    <w:p>
      <w:pPr>
        <w:pStyle w:val="Normal"/>
        <w:rPr>
          <w:rFonts w:eastAsia="Times New Roman" w:cs="Times New Roman"/>
          <w:i/>
          <w:i/>
        </w:rPr>
      </w:pPr>
      <w:r>
        <w:rPr>
          <w:rFonts w:eastAsia="Times New Roman" w:cs="Times New Roman"/>
          <w:i/>
        </w:rPr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r>
            <w:rPr>
              <w:rFonts w:ascii="Cambria Math" w:hAnsi="Cambria Math"/>
            </w:rPr>
            <m:t xml:space="preserve">(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/>
      </w:pPr>
      <w:r>
        <w:rPr/>
      </w:r>
    </w:p>
    <w:p>
      <w:pPr>
        <w:pStyle w:val="Normal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nΩt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nary>
        </m:oMath>
      </m:oMathPara>
    </w:p>
    <w:tbl>
      <w:tblPr>
        <w:tblW w:w="47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2238"/>
        <w:gridCol w:w="1239"/>
        <w:gridCol w:w="3061"/>
        <w:gridCol w:w="1945"/>
      </w:tblGrid>
      <w:tr>
        <w:trPr/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Гармоника </w:t>
            </w:r>
            <w:r>
              <w:rPr>
                <w:lang w:val="en-US"/>
              </w:rPr>
              <w:t>n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An, B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Bn= (2/n</w:t>
            </w:r>
            <w:r>
              <w:rPr/>
              <w:t>п</w:t>
            </w:r>
            <w:r>
              <w:rPr>
                <w:lang w:val="en-US"/>
              </w:rPr>
              <w:t>)*cos(n</w:t>
            </w:r>
            <w:r>
              <w:rPr/>
              <w:t>п</w:t>
            </w:r>
            <w:r>
              <w:rPr>
                <w:lang w:val="en-US"/>
              </w:rPr>
              <w:t>/2), B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Амплитуда </w:t>
            </w:r>
            <w:r>
              <w:rPr>
                <w:lang w:val="en-US"/>
              </w:rPr>
              <w:t xml:space="preserve">An, </w:t>
            </w:r>
            <w:r>
              <w:rPr/>
              <w:t>В</w:t>
            </w:r>
          </w:p>
        </w:tc>
      </w:tr>
      <w:tr>
        <w:trPr>
          <w:trHeight w:val="564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0.5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1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0.637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0.637</w:t>
            </w:r>
          </w:p>
        </w:tc>
      </w:tr>
      <w:tr>
        <w:trPr>
          <w:trHeight w:val="626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2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80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3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0.212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0.212</w:t>
            </w:r>
          </w:p>
        </w:tc>
      </w:tr>
      <w:tr>
        <w:trPr>
          <w:trHeight w:val="680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4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5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0.127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0.127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6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7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0.091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0.091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8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27" w:hRule="atLeast"/>
        </w:trPr>
        <w:tc>
          <w:tcPr>
            <w:tcW w:w="22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9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0.071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0.071</w:t>
            </w:r>
          </w:p>
        </w:tc>
      </w:tr>
    </w:tbl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Таблица 1 — результаты расчетов по формулам ряда Фурье.</w:t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Normal"/>
        <w:jc w:val="center"/>
        <w:rPr>
          <w:rFonts w:ascii="Cambria Math" w:hAnsi="Cambria Math"/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0.637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12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</m:t>
          </m:r>
          <m:r>
            <w:rPr>
              <w:rFonts w:ascii="Cambria Math" w:hAnsi="Cambria Math"/>
            </w:rPr>
            <m:t xml:space="preserve">27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.091</m:t>
          </m:r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</m:t>
          </m:r>
          <m:r>
            <w:rPr>
              <w:rFonts w:ascii="Cambria Math" w:hAnsi="Cambria Math"/>
            </w:rPr>
            <m:t xml:space="preserve">71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Times New Roman" w:cs="Times New Roma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πf</m:t>
        </m:r>
      </m:oMath>
      <w:r>
        <w:rPr>
          <w:rFonts w:eastAsia="Times New Roman" w:cs="Times New Roman"/>
        </w:rPr>
        <w:t>=12566 рад/с</w:t>
      </w:r>
    </w:p>
    <w:p>
      <w:pPr>
        <w:pStyle w:val="Normal"/>
        <w:rPr>
          <w:rFonts w:eastAsia="Times New Roman" w:cs="Times New Roman"/>
          <w:i/>
          <w:i/>
        </w:rPr>
      </w:pPr>
      <w:r>
        <w:rPr>
          <w:rFonts w:eastAsia="Times New Roman" w:cs="Times New Roman"/>
          <w:i/>
        </w:rPr>
      </w:r>
    </w:p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В ходе эксперимента были получены амплитуды первых пяти гармоник прямоугольного сигнала с частотой 2 кГц, амплитудой 1 В и коэффициентом заполнения 50 %. </w:t>
      </w:r>
    </w:p>
    <w:tbl>
      <w:tblPr>
        <w:tblW w:w="44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795"/>
        <w:gridCol w:w="2943"/>
        <w:gridCol w:w="3204"/>
      </w:tblGrid>
      <w:tr>
        <w:trPr/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Гармоника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Расчет, В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Эксперимент, В</w:t>
            </w:r>
          </w:p>
        </w:tc>
      </w:tr>
      <w:tr>
        <w:trPr>
          <w:trHeight w:val="56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1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0,637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0.658</w:t>
            </w:r>
          </w:p>
        </w:tc>
      </w:tr>
      <w:tr>
        <w:trPr>
          <w:trHeight w:val="680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2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27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3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0,212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0.217</w:t>
            </w:r>
          </w:p>
        </w:tc>
      </w:tr>
      <w:tr>
        <w:trPr>
          <w:trHeight w:val="626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4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1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5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0,127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0.129</w:t>
            </w:r>
          </w:p>
        </w:tc>
      </w:tr>
      <w:tr>
        <w:trPr>
          <w:trHeight w:val="61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6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1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7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0.091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0.084</w:t>
            </w:r>
          </w:p>
        </w:tc>
      </w:tr>
      <w:tr>
        <w:trPr>
          <w:trHeight w:val="61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8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</w:t>
            </w:r>
          </w:p>
        </w:tc>
      </w:tr>
      <w:tr>
        <w:trPr>
          <w:trHeight w:val="614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9</w:t>
            </w:r>
          </w:p>
        </w:tc>
        <w:tc>
          <w:tcPr>
            <w:tcW w:w="29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0.071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0.070</w:t>
            </w:r>
          </w:p>
        </w:tc>
      </w:tr>
    </w:tbl>
    <w:p>
      <w:pPr>
        <w:pStyle w:val="Standard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 xml:space="preserve">Таблица 2 — Сравнение экспериментальных и расчетных значений амплитуд гармоник. </w:t>
      </w:r>
    </w:p>
    <w:p>
      <w:pPr>
        <w:pStyle w:val="Standard"/>
        <w:jc w:val="center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/>
        <w:drawing>
          <wp:inline distT="0" distB="0" distL="0" distR="0">
            <wp:extent cx="3761105" cy="2463800"/>
            <wp:effectExtent l="0" t="0" r="0" b="0"/>
            <wp:docPr id="15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46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both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>Рисунок 14 — Амплитудный спектр последовательности прямоугольных импульсов.</w:t>
      </w:r>
    </w:p>
    <w:p>
      <w:pPr>
        <w:pStyle w:val="Standard"/>
        <w:jc w:val="both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p>
      <w:pPr>
        <w:pStyle w:val="Standard"/>
        <w:rPr>
          <w:rFonts w:ascii="Times New Roman" w:hAnsi="Times New Roman" w:eastAsia="Times New Roman" w:cs="Times New Roman"/>
          <w:b/>
          <w:bCs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34343C"/>
          <w:sz w:val="28"/>
          <w:szCs w:val="28"/>
        </w:rPr>
        <w:t>3.Выводы</w:t>
      </w:r>
    </w:p>
    <w:p>
      <w:pPr>
        <w:pStyle w:val="Standard"/>
        <w:jc w:val="both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  <w:tab/>
        <w:t xml:space="preserve">В ходе лабораторной работы были изучены отличия спектрального и временного представления сигналов, а также принципы работы функционального генератора и анализатора спектра. Рассмотрены различные формы сигналов — гармонический, треугольный и прямоугольный. Экспериментально подтверждено, что для прямоугольного сигнала с коэффициентом заполнения 50 % в спектре присутствуют только нечетные гармоники. Полученные результаты соответствуют теоретическим расчетам и подтверждают справедливость разложения сигнала в ряд Фурье. </w:t>
      </w:r>
    </w:p>
    <w:p>
      <w:pPr>
        <w:pStyle w:val="Standard"/>
        <w:spacing w:before="0" w:after="160"/>
        <w:rPr>
          <w:rFonts w:ascii="Times New Roman" w:hAnsi="Times New Roman" w:eastAsia="Times New Roman" w:cs="Times New Roman"/>
          <w:color w:val="34343C"/>
          <w:sz w:val="28"/>
          <w:szCs w:val="28"/>
        </w:rPr>
      </w:pPr>
      <w:r>
        <w:rPr>
          <w:rFonts w:eastAsia="Times New Roman" w:cs="Times New Roman" w:ascii="Times New Roman" w:hAnsi="Times New Roman"/>
          <w:color w:val="34343C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Aptos" w:hAnsi="Aptos" w:eastAsia="Aptos" w:cs="Tahoma"/>
      <w:color w:val="auto"/>
      <w:kern w:val="0"/>
      <w:sz w:val="24"/>
      <w:szCs w:val="24"/>
      <w:lang w:val="ru-RU" w:eastAsia="en-US" w:bidi="ar-SA"/>
    </w:rPr>
  </w:style>
  <w:style w:type="paragraph" w:styleId="Heading2">
    <w:name w:val="heading 2"/>
    <w:basedOn w:val="Title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5b09de"/>
    <w:rPr>
      <w:b/>
      <w:bCs/>
    </w:rPr>
  </w:style>
  <w:style w:type="character" w:styleId="katex-mathml" w:customStyle="1">
    <w:name w:val="katex-mathml"/>
    <w:basedOn w:val="DefaultParagraphFont"/>
    <w:qFormat/>
    <w:rsid w:val="005b09de"/>
    <w:rPr/>
  </w:style>
  <w:style w:type="character" w:styleId="mord" w:customStyle="1">
    <w:name w:val="mord"/>
    <w:basedOn w:val="DefaultParagraphFont"/>
    <w:qFormat/>
    <w:rsid w:val="005b09de"/>
    <w:rPr/>
  </w:style>
  <w:style w:type="character" w:styleId="vlist-s" w:customStyle="1">
    <w:name w:val="vlist-s"/>
    <w:basedOn w:val="DefaultParagraphFont"/>
    <w:qFormat/>
    <w:rsid w:val="005b09de"/>
    <w:rPr/>
  </w:style>
  <w:style w:type="character" w:styleId="mspace" w:customStyle="1">
    <w:name w:val="mspace"/>
    <w:basedOn w:val="DefaultParagraphFont"/>
    <w:qFormat/>
    <w:rsid w:val="005b09de"/>
    <w:rPr/>
  </w:style>
  <w:style w:type="character" w:styleId="mrel" w:customStyle="1">
    <w:name w:val="mrel"/>
    <w:basedOn w:val="DefaultParagraphFont"/>
    <w:qFormat/>
    <w:rsid w:val="005b09de"/>
    <w:rPr/>
  </w:style>
  <w:style w:type="character" w:styleId="mbin" w:customStyle="1">
    <w:name w:val="mbin"/>
    <w:basedOn w:val="DefaultParagraphFont"/>
    <w:qFormat/>
    <w:rsid w:val="005b09de"/>
    <w:rPr/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14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 w:customStyle="1">
    <w:name w:val="Указатель"/>
    <w:basedOn w:val="Standard"/>
    <w:qFormat/>
    <w:pPr>
      <w:suppressLineNumbers/>
    </w:pPr>
    <w:rPr>
      <w:rFonts w:cs="Lucida Sans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8" w:before="0" w:after="160"/>
      <w:jc w:val="left"/>
      <w:textAlignment w:val="baseline"/>
    </w:pPr>
    <w:rPr>
      <w:rFonts w:ascii="Aptos" w:hAnsi="Aptos" w:eastAsia="Aptos" w:cs="Tahoma"/>
      <w:color w:val="auto"/>
      <w:kern w:val="0"/>
      <w:sz w:val="24"/>
      <w:szCs w:val="24"/>
      <w:lang w:val="ru-RU" w:eastAsia="en-US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ListParagraph">
    <w:name w:val="List Paragraph"/>
    <w:basedOn w:val="Standard"/>
    <w:qFormat/>
    <w:pPr>
      <w:spacing w:before="0" w:after="160"/>
      <w:ind w:left="720"/>
      <w:contextualSpacing/>
    </w:pPr>
    <w:rPr/>
  </w:style>
  <w:style w:type="paragraph" w:styleId="Style16" w:customStyle="1">
    <w:name w:val="Содержимое таблицы"/>
    <w:basedOn w:val="Normal"/>
    <w:qFormat/>
    <w:pPr>
      <w:suppressLineNumbers/>
    </w:pPr>
    <w:rPr/>
  </w:style>
  <w:style w:type="paragraph" w:styleId="Style17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ds-markdown-paragraph" w:customStyle="1">
    <w:name w:val="ds-markdown-paragraph"/>
    <w:basedOn w:val="Normal"/>
    <w:qFormat/>
    <w:rsid w:val="005b09de"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paragraph" w:styleId="Style18" w:customStyle="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Style19" w:customStyle="1">
    <w:name w:val="Без списка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2254-BE54-4CD8-A6A5-8350EEAB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LibreOffice/25.2.6.2$Linux_X86_64 LibreOffice_project/520$Build-2</Application>
  <AppVersion>15.0000</AppVersion>
  <Pages>11</Pages>
  <Words>539</Words>
  <Characters>3547</Characters>
  <CharactersWithSpaces>4182</CharactersWithSpaces>
  <Paragraphs>138</Paragraphs>
  <Company>LightKey.Store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2025-11-02T20:20:00Z</dcterms:created>
  <dc:creator>i g</dc:creator>
  <dc:description/>
  <dc:language>ru-RU</dc:language>
  <cp:lastModifiedBy/>
  <dcterms:modified xsi:type="dcterms:W3CDTF">2025-11-10T14:25:43Z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