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Yu Gothic" w:eastAsia="Yu Gothic"/>
          <w:b/>
          <w:bCs/>
          <w:color w:val="1F4E79"/>
          <w:sz w:val="34"/>
          <w:szCs w:val="34"/>
        </w:rPr>
        <w:t xml:space="preserve">ゾルベツキシマブ（ビロイ®）＋mFOLFOX6療法</w:t>
      </w:r>
    </w:p>
    <w:p>
      <w:pPr>
        <w:spacing w:after="200"/>
        <w:jc w:val="center"/>
      </w:pPr>
      <w:r>
        <w:rPr>
          <w:rFonts w:ascii="Yu Gothic" w:eastAsia="Yu Gothic"/>
          <w:b/>
          <w:bCs/>
          <w:color w:val="1F4E79"/>
          <w:sz w:val="34"/>
          <w:szCs w:val="34"/>
        </w:rPr>
        <w:t xml:space="preserve">悪心・嘔吐対策マニュアル（院内版）</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shd w:fill="DCE6F1" w:val="clear"/>
            <w:tcMar>
              <w:top w:type="dxa" w:w="60"/>
              <w:left w:type="dxa" w:w="100"/>
              <w:bottom w:type="dxa" w:w="60"/>
              <w:right w:type="dxa" w:w="100"/>
            </w:tcMar>
            <w:vAlign w:val="center"/>
          </w:tcPr>
          <w:p>
            <w:pPr>
              <w:spacing w:after="40" w:line="280"/>
              <w:jc w:val="center"/>
            </w:pPr>
            <w:r>
              <w:rPr>
                <w:rFonts w:ascii="Yu Gothic" w:eastAsia="Yu Gothic"/>
                <w:b/>
                <w:bCs/>
                <w:sz w:val="20"/>
                <w:szCs w:val="20"/>
              </w:rPr>
              <w:t xml:space="preserve">項目</w:t>
            </w:r>
          </w:p>
        </w:tc>
        <w:tc>
          <w:tcPr>
            <w:tcW w:type="dxa" w:w="7638"/>
            <w:shd w:fill="DCE6F1" w:val="clear"/>
            <w:tcMar>
              <w:top w:type="dxa" w:w="60"/>
              <w:left w:type="dxa" w:w="100"/>
              <w:bottom w:type="dxa" w:w="60"/>
              <w:right w:type="dxa" w:w="100"/>
            </w:tcMar>
            <w:vAlign w:val="center"/>
          </w:tcPr>
          <w:p>
            <w:pPr>
              <w:spacing w:after="40" w:line="280"/>
              <w:jc w:val="center"/>
            </w:pPr>
            <w:r>
              <w:rPr>
                <w:rFonts w:ascii="Yu Gothic" w:eastAsia="Yu Gothic"/>
                <w:b/>
                <w:bCs/>
                <w:sz w:val="20"/>
                <w:szCs w:val="20"/>
              </w:rPr>
              <w:t xml:space="preserve">内容</w:t>
            </w:r>
          </w:p>
        </w:tc>
      </w:tr>
      <w:tr>
        <w:tc>
          <w:tcPr>
            <w:tcW w:type="dxa" w:w="2000"/>
            <w:tcMar>
              <w:top w:type="dxa" w:w="60"/>
              <w:left w:type="dxa" w:w="100"/>
              <w:bottom w:type="dxa" w:w="60"/>
              <w:right w:type="dxa" w:w="100"/>
            </w:tcMar>
            <w:vAlign w:val="center"/>
          </w:tcPr>
          <w:p>
            <w:pPr>
              <w:spacing w:after="40" w:line="280"/>
            </w:pPr>
            <w:r>
              <w:rPr>
                <w:rFonts w:ascii="Yu Gothic" w:eastAsia="Yu Gothic"/>
                <w:b w:val="false"/>
                <w:bCs w:val="false"/>
                <w:sz w:val="20"/>
                <w:szCs w:val="20"/>
              </w:rPr>
              <w:t xml:space="preserve">対象職種</w:t>
            </w:r>
          </w:p>
        </w:tc>
        <w:tc>
          <w:tcPr>
            <w:tcW w:type="dxa" w:w="7638"/>
            <w:tcMar>
              <w:top w:type="dxa" w:w="60"/>
              <w:left w:type="dxa" w:w="100"/>
              <w:bottom w:type="dxa" w:w="60"/>
              <w:right w:type="dxa" w:w="100"/>
            </w:tcMar>
            <w:vAlign w:val="center"/>
          </w:tcPr>
          <w:p>
            <w:pPr>
              <w:spacing w:after="40" w:line="280"/>
            </w:pPr>
            <w:r>
              <w:rPr>
                <w:rFonts w:ascii="Yu Gothic" w:eastAsia="Yu Gothic"/>
                <w:b w:val="false"/>
                <w:bCs w:val="false"/>
                <w:sz w:val="20"/>
                <w:szCs w:val="20"/>
              </w:rPr>
              <w:t xml:space="preserve">医師・看護師・薬剤師</w:t>
            </w:r>
          </w:p>
        </w:tc>
      </w:tr>
      <w:tr>
        <w:tc>
          <w:tcPr>
            <w:tcW w:type="dxa" w:w="2000"/>
            <w:tcMar>
              <w:top w:type="dxa" w:w="60"/>
              <w:left w:type="dxa" w:w="100"/>
              <w:bottom w:type="dxa" w:w="60"/>
              <w:right w:type="dxa" w:w="100"/>
            </w:tcMar>
            <w:vAlign w:val="center"/>
          </w:tcPr>
          <w:p>
            <w:pPr>
              <w:spacing w:after="40" w:line="280"/>
            </w:pPr>
            <w:r>
              <w:rPr>
                <w:rFonts w:ascii="Yu Gothic" w:eastAsia="Yu Gothic"/>
                <w:b w:val="false"/>
                <w:bCs w:val="false"/>
                <w:sz w:val="20"/>
                <w:szCs w:val="20"/>
              </w:rPr>
              <w:t xml:space="preserve">対象</w:t>
            </w:r>
          </w:p>
        </w:tc>
        <w:tc>
          <w:tcPr>
            <w:tcW w:type="dxa" w:w="7638"/>
            <w:tcMar>
              <w:top w:type="dxa" w:w="60"/>
              <w:left w:type="dxa" w:w="100"/>
              <w:bottom w:type="dxa" w:w="60"/>
              <w:right w:type="dxa" w:w="100"/>
            </w:tcMar>
            <w:vAlign w:val="center"/>
          </w:tcPr>
          <w:p>
            <w:pPr>
              <w:spacing w:after="40" w:line="280"/>
            </w:pPr>
            <w:r>
              <w:rPr>
                <w:rFonts w:ascii="Yu Gothic" w:eastAsia="Yu Gothic"/>
                <w:b w:val="false"/>
                <w:bCs w:val="false"/>
                <w:sz w:val="20"/>
                <w:szCs w:val="20"/>
              </w:rPr>
              <w:t xml:space="preserve">CLDN18.2陽性・HER2陰性 切除不能進行・再発胃癌に対するゾルベツキシマブ（ビロイ®点滴静注用）＋mFOLFOX6療法（2週毎）</w:t>
            </w:r>
          </w:p>
        </w:tc>
      </w:tr>
      <w:tr>
        <w:tc>
          <w:tcPr>
            <w:tcW w:type="dxa" w:w="2000"/>
            <w:tcMar>
              <w:top w:type="dxa" w:w="60"/>
              <w:left w:type="dxa" w:w="100"/>
              <w:bottom w:type="dxa" w:w="60"/>
              <w:right w:type="dxa" w:w="100"/>
            </w:tcMar>
            <w:vAlign w:val="center"/>
          </w:tcPr>
          <w:p>
            <w:pPr>
              <w:spacing w:after="40" w:line="280"/>
            </w:pPr>
            <w:r>
              <w:rPr>
                <w:rFonts w:ascii="Yu Gothic" w:eastAsia="Yu Gothic"/>
                <w:b w:val="false"/>
                <w:bCs w:val="false"/>
                <w:sz w:val="20"/>
                <w:szCs w:val="20"/>
              </w:rPr>
              <w:t xml:space="preserve">版数</w:t>
            </w:r>
          </w:p>
        </w:tc>
        <w:tc>
          <w:tcPr>
            <w:tcW w:type="dxa" w:w="7638"/>
            <w:tcMar>
              <w:top w:type="dxa" w:w="60"/>
              <w:left w:type="dxa" w:w="100"/>
              <w:bottom w:type="dxa" w:w="60"/>
              <w:right w:type="dxa" w:w="100"/>
            </w:tcMar>
            <w:vAlign w:val="center"/>
          </w:tcPr>
          <w:p>
            <w:pPr>
              <w:spacing w:after="40" w:line="280"/>
            </w:pPr>
            <w:r>
              <w:rPr>
                <w:rFonts w:ascii="Yu Gothic" w:eastAsia="Yu Gothic"/>
                <w:b w:val="false"/>
                <w:bCs w:val="false"/>
                <w:sz w:val="20"/>
                <w:szCs w:val="20"/>
              </w:rPr>
              <w:t xml:space="preserve">第1.0版（2026年8月12日作成）</w:t>
            </w:r>
          </w:p>
        </w:tc>
      </w:tr>
      <w:tr>
        <w:tc>
          <w:tcPr>
            <w:tcW w:type="dxa" w:w="2000"/>
            <w:tcMar>
              <w:top w:type="dxa" w:w="60"/>
              <w:left w:type="dxa" w:w="100"/>
              <w:bottom w:type="dxa" w:w="60"/>
              <w:right w:type="dxa" w:w="100"/>
            </w:tcMar>
            <w:vAlign w:val="center"/>
          </w:tcPr>
          <w:p>
            <w:pPr>
              <w:spacing w:after="40" w:line="280"/>
            </w:pPr>
            <w:r>
              <w:rPr>
                <w:rFonts w:ascii="Yu Gothic" w:eastAsia="Yu Gothic"/>
                <w:b w:val="false"/>
                <w:bCs w:val="false"/>
                <w:sz w:val="20"/>
                <w:szCs w:val="20"/>
              </w:rPr>
              <w:t xml:space="preserve">承認</w:t>
            </w:r>
          </w:p>
        </w:tc>
        <w:tc>
          <w:tcPr>
            <w:tcW w:type="dxa" w:w="7638"/>
            <w:tcMar>
              <w:top w:type="dxa" w:w="60"/>
              <w:left w:type="dxa" w:w="100"/>
              <w:bottom w:type="dxa" w:w="60"/>
              <w:right w:type="dxa" w:w="100"/>
            </w:tcMar>
            <w:vAlign w:val="center"/>
          </w:tcPr>
          <w:p>
            <w:pPr>
              <w:spacing w:after="40" w:line="280"/>
            </w:pPr>
            <w:r>
              <w:rPr>
                <w:rFonts w:ascii="Yu Gothic" w:eastAsia="Yu Gothic"/>
                <w:b w:val="false"/>
                <w:bCs w:val="false"/>
                <w:sz w:val="20"/>
                <w:szCs w:val="20"/>
              </w:rPr>
              <w:t xml:space="preserve">（薬事委員会／化学療法委員会 承認欄）</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shd w:fill="EEF3FA" w:val="clear"/>
            <w:tcMar>
              <w:top w:type="dxa" w:w="100"/>
              <w:left w:type="dxa" w:w="140"/>
              <w:bottom w:type="dxa" w:w="100"/>
              <w:right w:type="dxa" w:w="140"/>
            </w:tcMar>
          </w:tcPr>
          <w:p>
            <w:pPr>
              <w:spacing w:after="40" w:line="280"/>
            </w:pPr>
            <w:r>
              <w:rPr>
                <w:rFonts w:ascii="Yu Gothic" w:eastAsia="Yu Gothic"/>
                <w:b w:val="false"/>
                <w:bCs w:val="false"/>
                <w:sz w:val="20"/>
                <w:szCs w:val="20"/>
              </w:rPr>
              <w:t xml:space="preserve">本マニュアルは初回入院投与〜2回目以降の外来移行を想定した悪心・嘔吐（CINV）対策に特化した手順書である。調製手順・血管外漏出・過敏症対応の詳細は各既存手順書を参照のこと。</w:t>
            </w:r>
          </w:p>
        </w:tc>
      </w:tr>
    </w:tbl>
    <w:p>
      <w:pPr>
        <w:pStyle w:val="Heading1"/>
        <w:pBdr>
          <w:bottom w:val="single" w:color="1F4E79" w:sz="8" w:space="2"/>
        </w:pBdr>
        <w:spacing w:after="160" w:before="320"/>
      </w:pPr>
      <w:r>
        <w:rPr>
          <w:rFonts w:ascii="Yu Gothic" w:eastAsia="Yu Gothic"/>
          <w:b/>
          <w:bCs/>
          <w:color w:val="1F4E79"/>
          <w:sz w:val="28"/>
          <w:szCs w:val="28"/>
        </w:rPr>
        <w:t xml:space="preserve">1. 目的と適用範囲</w:t>
      </w:r>
    </w:p>
    <w:p>
      <w:pPr>
        <w:pStyle w:val="ListParagraph"/>
        <w:numPr>
          <w:ilvl w:val="0"/>
          <w:numId w:val="2"/>
        </w:numPr>
        <w:spacing w:after="80" w:line="300"/>
      </w:pPr>
      <w:r>
        <w:rPr>
          <w:rFonts w:ascii="Yu Gothic" w:eastAsia="Yu Gothic"/>
          <w:b w:val="false"/>
          <w:bCs w:val="false"/>
          <w:sz w:val="21"/>
          <w:szCs w:val="21"/>
        </w:rPr>
        <w:t xml:space="preserve">ゾルベツキシマブ投与時に高頻度で発現する悪心・嘔吐について、予防（制吐療法・投与速度管理）、投与中モニタリング、発現時対応、次回投与への申し送りを職種横断で標準化する。</w:t>
      </w:r>
    </w:p>
    <w:p>
      <w:pPr>
        <w:pStyle w:val="ListParagraph"/>
        <w:numPr>
          <w:ilvl w:val="0"/>
          <w:numId w:val="2"/>
        </w:numPr>
        <w:spacing w:after="80" w:line="300"/>
      </w:pPr>
      <w:r>
        <w:rPr>
          <w:rFonts w:ascii="Yu Gothic" w:eastAsia="Yu Gothic"/>
          <w:b w:val="false"/>
          <w:bCs w:val="false"/>
          <w:sz w:val="21"/>
          <w:szCs w:val="21"/>
        </w:rPr>
        <w:t xml:space="preserve">初回は入院投与とし、本マニュアルに従って忍容性を評価のうえ外来投与へ移行する。</w:t>
      </w:r>
    </w:p>
    <w:p>
      <w:pPr>
        <w:pStyle w:val="Heading1"/>
        <w:pBdr>
          <w:bottom w:val="single" w:color="1F4E79" w:sz="8" w:space="2"/>
        </w:pBdr>
        <w:spacing w:after="160" w:before="320"/>
      </w:pPr>
      <w:r>
        <w:rPr>
          <w:rFonts w:ascii="Yu Gothic" w:eastAsia="Yu Gothic"/>
          <w:b/>
          <w:bCs/>
          <w:color w:val="1F4E79"/>
          <w:sz w:val="28"/>
          <w:szCs w:val="28"/>
        </w:rPr>
        <w:t xml:space="preserve">2. 本症例の背景と個別リスク評価</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838"/>
      </w:tblGrid>
      <w:tr>
        <w:trPr>
          <w:tblHeader/>
        </w:trPr>
        <w:tc>
          <w:tcPr>
            <w:tcW w:type="dxa" w:w="1600"/>
            <w:shd w:fill="DCE6F1" w:val="clear"/>
            <w:tcMar>
              <w:top w:type="dxa" w:w="60"/>
              <w:left w:type="dxa" w:w="100"/>
              <w:bottom w:type="dxa" w:w="60"/>
              <w:right w:type="dxa" w:w="100"/>
            </w:tcMar>
            <w:vAlign w:val="center"/>
          </w:tcPr>
          <w:p>
            <w:pPr>
              <w:spacing w:after="40" w:line="280"/>
              <w:jc w:val="center"/>
            </w:pPr>
            <w:r>
              <w:rPr>
                <w:rFonts w:ascii="Yu Gothic" w:eastAsia="Yu Gothic"/>
                <w:b/>
                <w:bCs/>
                <w:sz w:val="20"/>
                <w:szCs w:val="20"/>
              </w:rPr>
              <w:t xml:space="preserve">項目</w:t>
            </w:r>
          </w:p>
        </w:tc>
        <w:tc>
          <w:tcPr>
            <w:tcW w:type="dxa" w:w="3200"/>
            <w:shd w:fill="DCE6F1" w:val="clear"/>
            <w:tcMar>
              <w:top w:type="dxa" w:w="60"/>
              <w:left w:type="dxa" w:w="100"/>
              <w:bottom w:type="dxa" w:w="60"/>
              <w:right w:type="dxa" w:w="100"/>
            </w:tcMar>
            <w:vAlign w:val="center"/>
          </w:tcPr>
          <w:p>
            <w:pPr>
              <w:spacing w:after="40" w:line="280"/>
              <w:jc w:val="center"/>
            </w:pPr>
            <w:r>
              <w:rPr>
                <w:rFonts w:ascii="Yu Gothic" w:eastAsia="Yu Gothic"/>
                <w:b/>
                <w:bCs/>
                <w:sz w:val="20"/>
                <w:szCs w:val="20"/>
              </w:rPr>
              <w:t xml:space="preserve">内容</w:t>
            </w:r>
          </w:p>
        </w:tc>
        <w:tc>
          <w:tcPr>
            <w:tcW w:type="dxa" w:w="4838"/>
            <w:shd w:fill="DCE6F1" w:val="clear"/>
            <w:tcMar>
              <w:top w:type="dxa" w:w="60"/>
              <w:left w:type="dxa" w:w="100"/>
              <w:bottom w:type="dxa" w:w="60"/>
              <w:right w:type="dxa" w:w="100"/>
            </w:tcMar>
            <w:vAlign w:val="center"/>
          </w:tcPr>
          <w:p>
            <w:pPr>
              <w:spacing w:after="40" w:line="280"/>
              <w:jc w:val="center"/>
            </w:pPr>
            <w:r>
              <w:rPr>
                <w:rFonts w:ascii="Yu Gothic" w:eastAsia="Yu Gothic"/>
                <w:b/>
                <w:bCs/>
                <w:sz w:val="20"/>
                <w:szCs w:val="20"/>
              </w:rPr>
              <w:t xml:space="preserve">悪心・嘔吐対策上の意義</w:t>
            </w:r>
          </w:p>
        </w:tc>
      </w:tr>
      <w:tr>
        <w:tc>
          <w:tcPr>
            <w:tcW w:type="dxa" w:w="1600"/>
            <w:tcMar>
              <w:top w:type="dxa" w:w="60"/>
              <w:left w:type="dxa" w:w="100"/>
              <w:bottom w:type="dxa" w:w="60"/>
              <w:right w:type="dxa" w:w="100"/>
            </w:tcMar>
            <w:vAlign w:val="center"/>
          </w:tcPr>
          <w:p>
            <w:pPr>
              <w:spacing w:after="40" w:line="280"/>
            </w:pPr>
            <w:r>
              <w:rPr>
                <w:rFonts w:ascii="Yu Gothic" w:eastAsia="Yu Gothic"/>
                <w:b w:val="false"/>
                <w:bCs w:val="false"/>
                <w:sz w:val="20"/>
                <w:szCs w:val="20"/>
              </w:rPr>
              <w:t xml:space="preserve">年齢</w:t>
            </w:r>
          </w:p>
        </w:tc>
        <w:tc>
          <w:tcPr>
            <w:tcW w:type="dxa" w:w="3200"/>
            <w:tcMar>
              <w:top w:type="dxa" w:w="60"/>
              <w:left w:type="dxa" w:w="100"/>
              <w:bottom w:type="dxa" w:w="60"/>
              <w:right w:type="dxa" w:w="100"/>
            </w:tcMar>
            <w:vAlign w:val="center"/>
          </w:tcPr>
          <w:p>
            <w:pPr>
              <w:spacing w:after="40" w:line="280"/>
            </w:pPr>
            <w:r>
              <w:rPr>
                <w:rFonts w:ascii="Yu Gothic" w:eastAsia="Yu Gothic"/>
                <w:b w:val="false"/>
                <w:bCs w:val="false"/>
                <w:sz w:val="20"/>
                <w:szCs w:val="20"/>
              </w:rPr>
              <w:t xml:space="preserve">65歳</w:t>
            </w:r>
          </w:p>
        </w:tc>
        <w:tc>
          <w:tcPr>
            <w:tcW w:type="dxa" w:w="4838"/>
            <w:tcMar>
              <w:top w:type="dxa" w:w="60"/>
              <w:left w:type="dxa" w:w="100"/>
              <w:bottom w:type="dxa" w:w="60"/>
              <w:right w:type="dxa" w:w="100"/>
            </w:tcMar>
            <w:vAlign w:val="center"/>
          </w:tcPr>
          <w:p>
            <w:pPr>
              <w:spacing w:after="40" w:line="280"/>
            </w:pPr>
            <w:r>
              <w:rPr>
                <w:rFonts w:ascii="Yu Gothic" w:eastAsia="Yu Gothic"/>
                <w:b w:val="false"/>
                <w:bCs w:val="false"/>
                <w:sz w:val="20"/>
                <w:szCs w:val="20"/>
              </w:rPr>
              <w:t xml:space="preserve">オランザピン使用可（75歳以上の慎重投与・減量考慮の対象外）</w:t>
            </w:r>
          </w:p>
        </w:tc>
      </w:tr>
      <w:tr>
        <w:tc>
          <w:tcPr>
            <w:tcW w:type="dxa" w:w="1600"/>
            <w:tcMar>
              <w:top w:type="dxa" w:w="60"/>
              <w:left w:type="dxa" w:w="100"/>
              <w:bottom w:type="dxa" w:w="60"/>
              <w:right w:type="dxa" w:w="100"/>
            </w:tcMar>
            <w:vAlign w:val="center"/>
          </w:tcPr>
          <w:p>
            <w:pPr>
              <w:spacing w:after="40" w:line="280"/>
            </w:pPr>
            <w:r>
              <w:rPr>
                <w:rFonts w:ascii="Yu Gothic" w:eastAsia="Yu Gothic"/>
                <w:b w:val="false"/>
                <w:bCs w:val="false"/>
                <w:sz w:val="20"/>
                <w:szCs w:val="20"/>
              </w:rPr>
              <w:t xml:space="preserve">糖尿病</w:t>
            </w:r>
          </w:p>
        </w:tc>
        <w:tc>
          <w:tcPr>
            <w:tcW w:type="dxa" w:w="3200"/>
            <w:tcMar>
              <w:top w:type="dxa" w:w="60"/>
              <w:left w:type="dxa" w:w="100"/>
              <w:bottom w:type="dxa" w:w="60"/>
              <w:right w:type="dxa" w:w="100"/>
            </w:tcMar>
            <w:vAlign w:val="center"/>
          </w:tcPr>
          <w:p>
            <w:pPr>
              <w:spacing w:after="40" w:line="280"/>
            </w:pPr>
            <w:r>
              <w:rPr>
                <w:rFonts w:ascii="Yu Gothic" w:eastAsia="Yu Gothic"/>
                <w:b w:val="false"/>
                <w:bCs w:val="false"/>
                <w:sz w:val="20"/>
                <w:szCs w:val="20"/>
              </w:rPr>
              <w:t xml:space="preserve">なし</w:t>
            </w:r>
          </w:p>
        </w:tc>
        <w:tc>
          <w:tcPr>
            <w:tcW w:type="dxa" w:w="4838"/>
            <w:tcMar>
              <w:top w:type="dxa" w:w="60"/>
              <w:left w:type="dxa" w:w="100"/>
              <w:bottom w:type="dxa" w:w="60"/>
              <w:right w:type="dxa" w:w="100"/>
            </w:tcMar>
            <w:vAlign w:val="center"/>
          </w:tcPr>
          <w:p>
            <w:pPr>
              <w:spacing w:after="40" w:line="280"/>
            </w:pPr>
            <w:r>
              <w:rPr>
                <w:rFonts w:ascii="Yu Gothic" w:eastAsia="Yu Gothic"/>
                <w:b w:val="false"/>
                <w:bCs w:val="false"/>
                <w:sz w:val="20"/>
                <w:szCs w:val="20"/>
              </w:rPr>
              <w:t xml:space="preserve">オランザピン使用可（本邦では糖尿病患者に禁忌）。処方監査時に再確認済みであること</w:t>
            </w:r>
          </w:p>
        </w:tc>
      </w:tr>
      <w:tr>
        <w:tc>
          <w:tcPr>
            <w:tcW w:type="dxa" w:w="1600"/>
            <w:tcMar>
              <w:top w:type="dxa" w:w="60"/>
              <w:left w:type="dxa" w:w="100"/>
              <w:bottom w:type="dxa" w:w="60"/>
              <w:right w:type="dxa" w:w="100"/>
            </w:tcMar>
            <w:vAlign w:val="center"/>
          </w:tcPr>
          <w:p>
            <w:pPr>
              <w:spacing w:after="40" w:line="280"/>
            </w:pPr>
            <w:r>
              <w:rPr>
                <w:rFonts w:ascii="Yu Gothic" w:eastAsia="Yu Gothic"/>
                <w:b w:val="false"/>
                <w:bCs w:val="false"/>
                <w:sz w:val="20"/>
                <w:szCs w:val="20"/>
              </w:rPr>
              <w:t xml:space="preserve">手術歴</w:t>
            </w:r>
          </w:p>
        </w:tc>
        <w:tc>
          <w:tcPr>
            <w:tcW w:type="dxa" w:w="3200"/>
            <w:tcMar>
              <w:top w:type="dxa" w:w="60"/>
              <w:left w:type="dxa" w:w="100"/>
              <w:bottom w:type="dxa" w:w="60"/>
              <w:right w:type="dxa" w:w="100"/>
            </w:tcMar>
            <w:vAlign w:val="center"/>
          </w:tcPr>
          <w:p>
            <w:pPr>
              <w:spacing w:after="40" w:line="280"/>
            </w:pPr>
            <w:r>
              <w:rPr>
                <w:rFonts w:ascii="Yu Gothic" w:eastAsia="Yu Gothic"/>
                <w:b w:val="false"/>
                <w:bCs w:val="false"/>
                <w:sz w:val="20"/>
                <w:szCs w:val="20"/>
              </w:rPr>
              <w:t xml:space="preserve">胃亜全摘後</w:t>
            </w:r>
          </w:p>
        </w:tc>
        <w:tc>
          <w:tcPr>
            <w:tcW w:type="dxa" w:w="4838"/>
            <w:tcMar>
              <w:top w:type="dxa" w:w="60"/>
              <w:left w:type="dxa" w:w="100"/>
              <w:bottom w:type="dxa" w:w="60"/>
              <w:right w:type="dxa" w:w="100"/>
            </w:tcMar>
            <w:vAlign w:val="center"/>
          </w:tcPr>
          <w:p>
            <w:pPr>
              <w:spacing w:after="40" w:line="280"/>
            </w:pPr>
            <w:r>
              <w:rPr>
                <w:rFonts w:ascii="Yu Gothic" w:eastAsia="Yu Gothic"/>
                <w:b w:val="false"/>
                <w:bCs w:val="false"/>
                <w:sz w:val="20"/>
                <w:szCs w:val="20"/>
              </w:rPr>
              <w:t xml:space="preserve">残胃容量が小さく嘔吐時の誤嚥・脱水に注意。少量頻回の食事指導</w:t>
            </w:r>
          </w:p>
        </w:tc>
      </w:tr>
      <w:tr>
        <w:tc>
          <w:tcPr>
            <w:tcW w:type="dxa" w:w="1600"/>
            <w:tcMar>
              <w:top w:type="dxa" w:w="60"/>
              <w:left w:type="dxa" w:w="100"/>
              <w:bottom w:type="dxa" w:w="60"/>
              <w:right w:type="dxa" w:w="100"/>
            </w:tcMar>
            <w:vAlign w:val="center"/>
          </w:tcPr>
          <w:p>
            <w:pPr>
              <w:spacing w:after="40" w:line="280"/>
            </w:pPr>
            <w:r>
              <w:rPr>
                <w:rFonts w:ascii="Yu Gothic" w:eastAsia="Yu Gothic"/>
                <w:b w:val="false"/>
                <w:bCs w:val="false"/>
                <w:sz w:val="20"/>
                <w:szCs w:val="20"/>
              </w:rPr>
              <w:t xml:space="preserve">前治療</w:t>
            </w:r>
          </w:p>
        </w:tc>
        <w:tc>
          <w:tcPr>
            <w:tcW w:type="dxa" w:w="3200"/>
            <w:tcMar>
              <w:top w:type="dxa" w:w="60"/>
              <w:left w:type="dxa" w:w="100"/>
              <w:bottom w:type="dxa" w:w="60"/>
              <w:right w:type="dxa" w:w="100"/>
            </w:tcMar>
            <w:vAlign w:val="center"/>
          </w:tcPr>
          <w:p>
            <w:pPr>
              <w:spacing w:after="40" w:line="280"/>
            </w:pPr>
            <w:r>
              <w:rPr>
                <w:rFonts w:ascii="Yu Gothic" w:eastAsia="Yu Gothic"/>
                <w:b w:val="false"/>
                <w:bCs w:val="false"/>
                <w:sz w:val="20"/>
                <w:szCs w:val="20"/>
              </w:rPr>
              <w:t xml:space="preserve">術後補助SOX療法 完遂</w:t>
            </w:r>
          </w:p>
        </w:tc>
        <w:tc>
          <w:tcPr>
            <w:tcW w:type="dxa" w:w="4838"/>
            <w:tcMar>
              <w:top w:type="dxa" w:w="60"/>
              <w:left w:type="dxa" w:w="100"/>
              <w:bottom w:type="dxa" w:w="60"/>
              <w:right w:type="dxa" w:w="100"/>
            </w:tcMar>
            <w:vAlign w:val="center"/>
          </w:tcPr>
          <w:p>
            <w:pPr>
              <w:spacing w:after="40" w:line="280"/>
            </w:pPr>
            <w:r>
              <w:rPr>
                <w:rFonts w:ascii="Yu Gothic" w:eastAsia="Yu Gothic"/>
                <w:b w:val="false"/>
                <w:bCs w:val="false"/>
                <w:sz w:val="20"/>
                <w:szCs w:val="20"/>
              </w:rPr>
              <w:t xml:space="preserve">オキサリプラチン再投与となるため過敏症（アレルギー）リスクに留意（悪心・嘔吐との鑑別事項）。末梢神経障害の残存を投与前に評価</w:t>
            </w:r>
          </w:p>
        </w:tc>
      </w:tr>
      <w:tr>
        <w:tc>
          <w:tcPr>
            <w:tcW w:type="dxa" w:w="1600"/>
            <w:tcMar>
              <w:top w:type="dxa" w:w="60"/>
              <w:left w:type="dxa" w:w="100"/>
              <w:bottom w:type="dxa" w:w="60"/>
              <w:right w:type="dxa" w:w="100"/>
            </w:tcMar>
            <w:vAlign w:val="center"/>
          </w:tcPr>
          <w:p>
            <w:pPr>
              <w:spacing w:after="40" w:line="280"/>
            </w:pPr>
            <w:r>
              <w:rPr>
                <w:rFonts w:ascii="Yu Gothic" w:eastAsia="Yu Gothic"/>
                <w:b w:val="false"/>
                <w:bCs w:val="false"/>
                <w:sz w:val="20"/>
                <w:szCs w:val="20"/>
              </w:rPr>
              <w:t xml:space="preserve">消化管通過障害</w:t>
            </w:r>
          </w:p>
        </w:tc>
        <w:tc>
          <w:tcPr>
            <w:tcW w:type="dxa" w:w="3200"/>
            <w:tcMar>
              <w:top w:type="dxa" w:w="60"/>
              <w:left w:type="dxa" w:w="100"/>
              <w:bottom w:type="dxa" w:w="60"/>
              <w:right w:type="dxa" w:w="100"/>
            </w:tcMar>
            <w:vAlign w:val="center"/>
          </w:tcPr>
          <w:p>
            <w:pPr>
              <w:spacing w:after="40" w:line="280"/>
            </w:pPr>
            <w:r>
              <w:rPr>
                <w:rFonts w:ascii="Yu Gothic" w:eastAsia="Yu Gothic"/>
                <w:b w:val="false"/>
                <w:bCs w:val="false"/>
                <w:sz w:val="20"/>
                <w:szCs w:val="20"/>
              </w:rPr>
              <w:t xml:space="preserve">幽門狭窄・腸閉塞なし</w:t>
            </w:r>
          </w:p>
        </w:tc>
        <w:tc>
          <w:tcPr>
            <w:tcW w:type="dxa" w:w="4838"/>
            <w:tcMar>
              <w:top w:type="dxa" w:w="60"/>
              <w:left w:type="dxa" w:w="100"/>
              <w:bottom w:type="dxa" w:w="60"/>
              <w:right w:type="dxa" w:w="100"/>
            </w:tcMar>
            <w:vAlign w:val="center"/>
          </w:tcPr>
          <w:p>
            <w:pPr>
              <w:spacing w:after="40" w:line="280"/>
            </w:pPr>
            <w:r>
              <w:rPr>
                <w:rFonts w:ascii="Yu Gothic" w:eastAsia="Yu Gothic"/>
                <w:b w:val="false"/>
                <w:bCs w:val="false"/>
                <w:sz w:val="20"/>
                <w:szCs w:val="20"/>
              </w:rPr>
              <w:t xml:space="preserve">通過障害による嘔吐リスクの上乗せなし。嘔吐が遷延する場合は器質的要因の再評価を</w:t>
            </w:r>
          </w:p>
        </w:tc>
      </w:tr>
    </w:tbl>
    <w:p>
      <w:pPr>
        <w:pStyle w:val="Heading1"/>
        <w:pBdr>
          <w:bottom w:val="single" w:color="1F4E79" w:sz="8" w:space="2"/>
        </w:pBdr>
        <w:spacing w:after="160" w:before="320"/>
      </w:pPr>
      <w:r>
        <w:rPr>
          <w:rFonts w:ascii="Yu Gothic" w:eastAsia="Yu Gothic"/>
          <w:b/>
          <w:bCs/>
          <w:color w:val="1F4E79"/>
          <w:sz w:val="28"/>
          <w:szCs w:val="28"/>
        </w:rPr>
        <w:t xml:space="preserve">3. ゾルベツキシマブによる悪心・嘔吐の特徴（全職種で共有すべき知識）</w:t>
      </w:r>
    </w:p>
    <w:p>
      <w:pPr>
        <w:pStyle w:val="ListParagraph"/>
        <w:numPr>
          <w:ilvl w:val="0"/>
          <w:numId w:val="3"/>
        </w:numPr>
        <w:spacing w:after="80" w:line="300"/>
      </w:pPr>
      <w:r>
        <w:rPr>
          <w:rFonts w:ascii="Yu Gothic" w:eastAsia="Yu Gothic"/>
          <w:b/>
          <w:bCs/>
          <w:sz w:val="21"/>
          <w:szCs w:val="21"/>
        </w:rPr>
        <w:t xml:space="preserve">発現率が非常に高い：</w:t>
      </w:r>
      <w:r>
        <w:rPr>
          <w:rFonts w:ascii="Yu Gothic" w:eastAsia="Yu Gothic"/>
          <w:b w:val="false"/>
          <w:bCs w:val="false"/>
          <w:sz w:val="21"/>
          <w:szCs w:val="21"/>
        </w:rPr>
        <w:t xml:space="preserve">SPOTLIGHT試験（＋mFOLFOX6）日本人集団で悪心 82.4%（Grade 3以上 16.1%）、嘔吐 67.4%（Grade 3以上 16.1%）。プラセボ＋mFOLFOX6群（悪心 60.8%・嘔吐 35.6%）より明らかに高い。</w:t>
      </w:r>
    </w:p>
    <w:p>
      <w:pPr>
        <w:pStyle w:val="ListParagraph"/>
        <w:numPr>
          <w:ilvl w:val="0"/>
          <w:numId w:val="3"/>
        </w:numPr>
        <w:spacing w:after="80" w:line="300"/>
      </w:pPr>
      <w:r>
        <w:rPr>
          <w:rFonts w:ascii="Yu Gothic" w:eastAsia="Yu Gothic"/>
          <w:b/>
          <w:bCs/>
          <w:sz w:val="21"/>
          <w:szCs w:val="21"/>
        </w:rPr>
        <w:t xml:space="preserve">発現時期が早い：</w:t>
      </w:r>
      <w:r>
        <w:rPr>
          <w:rFonts w:ascii="Yu Gothic" w:eastAsia="Yu Gothic"/>
          <w:b w:val="false"/>
          <w:bCs w:val="false"/>
          <w:sz w:val="21"/>
          <w:szCs w:val="21"/>
        </w:rPr>
        <w:t xml:space="preserve">発現までの中央値は悪心 50分・嘔吐 38分（SPOTLIGHT）。すなわち「点滴投与中」に起こるのが最大の特徴で、従来の抗がん薬のCINV（投与数時間後〜遅発期）とは異なる。</w:t>
      </w:r>
    </w:p>
    <w:p>
      <w:pPr>
        <w:pStyle w:val="ListParagraph"/>
        <w:numPr>
          <w:ilvl w:val="0"/>
          <w:numId w:val="3"/>
        </w:numPr>
        <w:spacing w:after="80" w:line="300"/>
      </w:pPr>
      <w:r>
        <w:rPr>
          <w:rFonts w:ascii="Yu Gothic" w:eastAsia="Yu Gothic"/>
          <w:b/>
          <w:bCs/>
          <w:sz w:val="21"/>
          <w:szCs w:val="21"/>
        </w:rPr>
        <w:t xml:space="preserve">初回投与時に最も高頻度：</w:t>
      </w:r>
      <w:r>
        <w:rPr>
          <w:rFonts w:ascii="Yu Gothic" w:eastAsia="Yu Gothic"/>
          <w:b w:val="false"/>
          <w:bCs w:val="false"/>
          <w:sz w:val="21"/>
          <w:szCs w:val="21"/>
        </w:rPr>
        <w:t xml:space="preserve">初回は用量が最大（800 mg/m²）であり、悪心・嘔吐の頻度・重症度も最も高い。2回目以降（400 mg/m²）は頻度が低下する。したがって初回の管理体制が最重要（本症例は初回入院投与）。</w:t>
      </w:r>
    </w:p>
    <w:p>
      <w:pPr>
        <w:pStyle w:val="ListParagraph"/>
        <w:numPr>
          <w:ilvl w:val="0"/>
          <w:numId w:val="3"/>
        </w:numPr>
        <w:spacing w:after="80" w:line="300"/>
      </w:pPr>
      <w:r>
        <w:rPr>
          <w:rFonts w:ascii="Yu Gothic" w:eastAsia="Yu Gothic"/>
          <w:b/>
          <w:bCs/>
          <w:sz w:val="21"/>
          <w:szCs w:val="21"/>
        </w:rPr>
        <w:t xml:space="preserve">機序：</w:t>
      </w:r>
      <w:r>
        <w:rPr>
          <w:rFonts w:ascii="Yu Gothic" w:eastAsia="Yu Gothic"/>
          <w:b w:val="false"/>
          <w:bCs w:val="false"/>
          <w:sz w:val="21"/>
          <w:szCs w:val="21"/>
        </w:rPr>
        <w:t xml:space="preserve">標的のCLDN18.2は正常胃粘膜にも発現しており、on-target作用による急性の悪心・嘔吐と考えられる。5-HT3／NK1経路の遮断だけでは抑えきれない場合があり、投与速度の管理が制吐薬と同等に重要。</w:t>
      </w:r>
    </w:p>
    <w:p>
      <w:pPr>
        <w:pStyle w:val="ListParagraph"/>
        <w:numPr>
          <w:ilvl w:val="0"/>
          <w:numId w:val="3"/>
        </w:numPr>
        <w:spacing w:after="80" w:line="300"/>
      </w:pPr>
      <w:r>
        <w:rPr>
          <w:rFonts w:ascii="Yu Gothic" w:eastAsia="Yu Gothic"/>
          <w:b/>
          <w:bCs/>
          <w:sz w:val="21"/>
          <w:szCs w:val="21"/>
        </w:rPr>
        <w:t xml:space="preserve">催吐性リスク分類：</w:t>
      </w:r>
      <w:r>
        <w:rPr>
          <w:rFonts w:ascii="Yu Gothic" w:eastAsia="Yu Gothic"/>
          <w:b w:val="false"/>
          <w:bCs w:val="false"/>
          <w:sz w:val="21"/>
          <w:szCs w:val="21"/>
        </w:rPr>
        <w:t xml:space="preserve">日本癌治療学会（JSCO）制吐薬適正使用ガイドライン改訂WGの見解では、ゾルベツキシマブ併用化学療法は高度催吐性リスク相当として対応するのが妥当とされる（mFOLFOX6単独は中等度リスク）。</w:t>
      </w:r>
    </w:p>
    <w:p>
      <w:pPr>
        <w:pStyle w:val="Heading1"/>
        <w:pBdr>
          <w:bottom w:val="single" w:color="1F4E79" w:sz="8" w:space="2"/>
        </w:pBdr>
        <w:spacing w:after="160" w:before="320"/>
      </w:pPr>
      <w:r>
        <w:rPr>
          <w:rFonts w:ascii="Yu Gothic" w:eastAsia="Yu Gothic"/>
          <w:b/>
          <w:bCs/>
          <w:color w:val="1F4E79"/>
          <w:sz w:val="28"/>
          <w:szCs w:val="28"/>
        </w:rPr>
        <w:t xml:space="preserve">4. Day 1 の投与スケジュール（時系列）</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6738"/>
        <w:gridCol w:w="2000"/>
      </w:tblGrid>
      <w:tr>
        <w:trPr>
          <w:tblHeader/>
        </w:trPr>
        <w:tc>
          <w:tcPr>
            <w:tcW w:type="dxa" w:w="900"/>
            <w:shd w:fill="DCE6F1" w:val="clear"/>
            <w:tcMar>
              <w:top w:type="dxa" w:w="60"/>
              <w:left w:type="dxa" w:w="100"/>
              <w:bottom w:type="dxa" w:w="60"/>
              <w:right w:type="dxa" w:w="100"/>
            </w:tcMar>
            <w:vAlign w:val="center"/>
          </w:tcPr>
          <w:p>
            <w:pPr>
              <w:spacing w:after="40" w:line="280"/>
              <w:jc w:val="center"/>
            </w:pPr>
            <w:r>
              <w:rPr>
                <w:rFonts w:ascii="Yu Gothic" w:eastAsia="Yu Gothic"/>
                <w:b/>
                <w:bCs/>
                <w:sz w:val="20"/>
                <w:szCs w:val="20"/>
              </w:rPr>
              <w:t xml:space="preserve">順序</w:t>
            </w:r>
          </w:p>
        </w:tc>
        <w:tc>
          <w:tcPr>
            <w:tcW w:type="dxa" w:w="6738"/>
            <w:shd w:fill="DCE6F1" w:val="clear"/>
            <w:tcMar>
              <w:top w:type="dxa" w:w="60"/>
              <w:left w:type="dxa" w:w="100"/>
              <w:bottom w:type="dxa" w:w="60"/>
              <w:right w:type="dxa" w:w="100"/>
            </w:tcMar>
            <w:vAlign w:val="center"/>
          </w:tcPr>
          <w:p>
            <w:pPr>
              <w:spacing w:after="40" w:line="280"/>
              <w:jc w:val="center"/>
            </w:pPr>
            <w:r>
              <w:rPr>
                <w:rFonts w:ascii="Yu Gothic" w:eastAsia="Yu Gothic"/>
                <w:b/>
                <w:bCs/>
                <w:sz w:val="20"/>
                <w:szCs w:val="20"/>
              </w:rPr>
              <w:t xml:space="preserve">内容</w:t>
            </w:r>
          </w:p>
        </w:tc>
        <w:tc>
          <w:tcPr>
            <w:tcW w:type="dxa" w:w="2000"/>
            <w:shd w:fill="DCE6F1" w:val="clear"/>
            <w:tcMar>
              <w:top w:type="dxa" w:w="60"/>
              <w:left w:type="dxa" w:w="100"/>
              <w:bottom w:type="dxa" w:w="60"/>
              <w:right w:type="dxa" w:w="100"/>
            </w:tcMar>
            <w:vAlign w:val="center"/>
          </w:tcPr>
          <w:p>
            <w:pPr>
              <w:spacing w:after="40" w:line="280"/>
              <w:jc w:val="center"/>
            </w:pPr>
            <w:r>
              <w:rPr>
                <w:rFonts w:ascii="Yu Gothic" w:eastAsia="Yu Gothic"/>
                <w:b/>
                <w:bCs/>
                <w:sz w:val="20"/>
                <w:szCs w:val="20"/>
              </w:rPr>
              <w:t xml:space="preserve">所要時間・目安</w:t>
            </w:r>
          </w:p>
        </w:tc>
      </w:tr>
      <w:tr>
        <w:tc>
          <w:tcPr>
            <w:tcW w:type="dxa" w:w="900"/>
            <w:tcMar>
              <w:top w:type="dxa" w:w="60"/>
              <w:left w:type="dxa" w:w="100"/>
              <w:bottom w:type="dxa" w:w="60"/>
              <w:right w:type="dxa" w:w="100"/>
            </w:tcMar>
            <w:vAlign w:val="center"/>
          </w:tcPr>
          <w:p>
            <w:pPr>
              <w:spacing w:after="40" w:line="280"/>
            </w:pPr>
            <w:r>
              <w:rPr>
                <w:rFonts w:ascii="Yu Gothic" w:eastAsia="Yu Gothic"/>
                <w:b w:val="false"/>
                <w:bCs w:val="false"/>
                <w:sz w:val="20"/>
                <w:szCs w:val="20"/>
              </w:rPr>
              <w:t xml:space="preserve">①</w:t>
            </w:r>
          </w:p>
        </w:tc>
        <w:tc>
          <w:tcPr>
            <w:tcW w:type="dxa" w:w="6738"/>
            <w:tcMar>
              <w:top w:type="dxa" w:w="60"/>
              <w:left w:type="dxa" w:w="100"/>
              <w:bottom w:type="dxa" w:w="60"/>
              <w:right w:type="dxa" w:w="100"/>
            </w:tcMar>
            <w:vAlign w:val="center"/>
          </w:tcPr>
          <w:p>
            <w:pPr>
              <w:spacing w:after="40" w:line="280"/>
            </w:pPr>
            <w:r>
              <w:rPr>
                <w:rFonts w:ascii="Yu Gothic" w:eastAsia="Yu Gothic"/>
                <w:b w:val="false"/>
                <w:bCs w:val="false"/>
                <w:sz w:val="20"/>
                <w:szCs w:val="20"/>
              </w:rPr>
              <w:t xml:space="preserve">バイタル測定・体重確認・投与前診察（悪心ベースライン評価、オランザピン内服確認）</w:t>
            </w:r>
          </w:p>
        </w:tc>
        <w:tc>
          <w:tcPr>
            <w:tcW w:type="dxa" w:w="2000"/>
            <w:tcMar>
              <w:top w:type="dxa" w:w="60"/>
              <w:left w:type="dxa" w:w="100"/>
              <w:bottom w:type="dxa" w:w="60"/>
              <w:right w:type="dxa" w:w="100"/>
            </w:tcMar>
            <w:vAlign w:val="center"/>
          </w:tcPr>
          <w:p>
            <w:pPr>
              <w:spacing w:after="40" w:line="280"/>
            </w:pPr>
            <w:r>
              <w:rPr>
                <w:rFonts w:ascii="Yu Gothic" w:eastAsia="Yu Gothic"/>
                <w:b w:val="false"/>
                <w:bCs w:val="false"/>
                <w:sz w:val="20"/>
                <w:szCs w:val="20"/>
              </w:rPr>
              <w:t xml:space="preserve">—</w:t>
            </w:r>
          </w:p>
        </w:tc>
      </w:tr>
      <w:tr>
        <w:tc>
          <w:tcPr>
            <w:tcW w:type="dxa" w:w="900"/>
            <w:tcMar>
              <w:top w:type="dxa" w:w="60"/>
              <w:left w:type="dxa" w:w="100"/>
              <w:bottom w:type="dxa" w:w="60"/>
              <w:right w:type="dxa" w:w="100"/>
            </w:tcMar>
            <w:vAlign w:val="center"/>
          </w:tcPr>
          <w:p>
            <w:pPr>
              <w:spacing w:after="40" w:line="280"/>
            </w:pPr>
            <w:r>
              <w:rPr>
                <w:rFonts w:ascii="Yu Gothic" w:eastAsia="Yu Gothic"/>
                <w:b w:val="false"/>
                <w:bCs w:val="false"/>
                <w:sz w:val="20"/>
                <w:szCs w:val="20"/>
              </w:rPr>
              <w:t xml:space="preserve">②</w:t>
            </w:r>
          </w:p>
        </w:tc>
        <w:tc>
          <w:tcPr>
            <w:tcW w:type="dxa" w:w="6738"/>
            <w:tcMar>
              <w:top w:type="dxa" w:w="60"/>
              <w:left w:type="dxa" w:w="100"/>
              <w:bottom w:type="dxa" w:w="60"/>
              <w:right w:type="dxa" w:w="100"/>
            </w:tcMar>
            <w:vAlign w:val="center"/>
          </w:tcPr>
          <w:p>
            <w:pPr>
              <w:spacing w:after="40" w:line="280"/>
            </w:pPr>
            <w:r>
              <w:rPr>
                <w:rFonts w:ascii="Yu Gothic" w:eastAsia="Yu Gothic"/>
                <w:b/>
                <w:bCs/>
                <w:sz w:val="20"/>
                <w:szCs w:val="20"/>
              </w:rPr>
              <w:t xml:space="preserve">予防的制吐薬の前投与（第5章）</w:t>
            </w:r>
          </w:p>
        </w:tc>
        <w:tc>
          <w:tcPr>
            <w:tcW w:type="dxa" w:w="2000"/>
            <w:tcMar>
              <w:top w:type="dxa" w:w="60"/>
              <w:left w:type="dxa" w:w="100"/>
              <w:bottom w:type="dxa" w:w="60"/>
              <w:right w:type="dxa" w:w="100"/>
            </w:tcMar>
            <w:vAlign w:val="center"/>
          </w:tcPr>
          <w:p>
            <w:pPr>
              <w:spacing w:after="40" w:line="280"/>
            </w:pPr>
            <w:r>
              <w:rPr>
                <w:rFonts w:ascii="Yu Gothic" w:eastAsia="Yu Gothic"/>
                <w:b w:val="false"/>
                <w:bCs w:val="false"/>
                <w:sz w:val="20"/>
                <w:szCs w:val="20"/>
              </w:rPr>
              <w:t xml:space="preserve">約30分</w:t>
            </w:r>
          </w:p>
        </w:tc>
      </w:tr>
      <w:tr>
        <w:tc>
          <w:tcPr>
            <w:tcW w:type="dxa" w:w="900"/>
            <w:tcMar>
              <w:top w:type="dxa" w:w="60"/>
              <w:left w:type="dxa" w:w="100"/>
              <w:bottom w:type="dxa" w:w="60"/>
              <w:right w:type="dxa" w:w="100"/>
            </w:tcMar>
            <w:vAlign w:val="center"/>
          </w:tcPr>
          <w:p>
            <w:pPr>
              <w:spacing w:after="40" w:line="280"/>
            </w:pPr>
            <w:r>
              <w:rPr>
                <w:rFonts w:ascii="Yu Gothic" w:eastAsia="Yu Gothic"/>
                <w:b w:val="false"/>
                <w:bCs w:val="false"/>
                <w:sz w:val="20"/>
                <w:szCs w:val="20"/>
              </w:rPr>
              <w:t xml:space="preserve">③</w:t>
            </w:r>
          </w:p>
        </w:tc>
        <w:tc>
          <w:tcPr>
            <w:tcW w:type="dxa" w:w="6738"/>
            <w:tcMar>
              <w:top w:type="dxa" w:w="60"/>
              <w:left w:type="dxa" w:w="100"/>
              <w:bottom w:type="dxa" w:w="60"/>
              <w:right w:type="dxa" w:w="100"/>
            </w:tcMar>
            <w:vAlign w:val="center"/>
          </w:tcPr>
          <w:p>
            <w:pPr>
              <w:spacing w:after="40" w:line="280"/>
            </w:pPr>
            <w:r>
              <w:rPr>
                <w:rFonts w:ascii="Yu Gothic" w:eastAsia="Yu Gothic"/>
                <w:b/>
                <w:bCs/>
                <w:sz w:val="20"/>
                <w:szCs w:val="20"/>
              </w:rPr>
              <w:t xml:space="preserve">ビロイ点滴静注（初回 800 mg/m²）※必ず化学療法より先に投与</w:t>
            </w:r>
          </w:p>
        </w:tc>
        <w:tc>
          <w:tcPr>
            <w:tcW w:type="dxa" w:w="2000"/>
            <w:tcMar>
              <w:top w:type="dxa" w:w="60"/>
              <w:left w:type="dxa" w:w="100"/>
              <w:bottom w:type="dxa" w:w="60"/>
              <w:right w:type="dxa" w:w="100"/>
            </w:tcMar>
            <w:vAlign w:val="center"/>
          </w:tcPr>
          <w:p>
            <w:pPr>
              <w:spacing w:after="40" w:line="280"/>
            </w:pPr>
            <w:r>
              <w:rPr>
                <w:rFonts w:ascii="Yu Gothic" w:eastAsia="Yu Gothic"/>
                <w:b w:val="false"/>
                <w:bCs w:val="false"/>
                <w:sz w:val="20"/>
                <w:szCs w:val="20"/>
              </w:rPr>
              <w:t xml:space="preserve">2時間以上</w:t>
            </w:r>
          </w:p>
        </w:tc>
      </w:tr>
      <w:tr>
        <w:tc>
          <w:tcPr>
            <w:tcW w:type="dxa" w:w="900"/>
            <w:tcMar>
              <w:top w:type="dxa" w:w="60"/>
              <w:left w:type="dxa" w:w="100"/>
              <w:bottom w:type="dxa" w:w="60"/>
              <w:right w:type="dxa" w:w="100"/>
            </w:tcMar>
            <w:vAlign w:val="center"/>
          </w:tcPr>
          <w:p>
            <w:pPr>
              <w:spacing w:after="40" w:line="280"/>
            </w:pPr>
            <w:r>
              <w:rPr>
                <w:rFonts w:ascii="Yu Gothic" w:eastAsia="Yu Gothic"/>
                <w:b w:val="false"/>
                <w:bCs w:val="false"/>
                <w:sz w:val="20"/>
                <w:szCs w:val="20"/>
              </w:rPr>
              <w:t xml:space="preserve">④</w:t>
            </w:r>
          </w:p>
        </w:tc>
        <w:tc>
          <w:tcPr>
            <w:tcW w:type="dxa" w:w="6738"/>
            <w:tcMar>
              <w:top w:type="dxa" w:w="60"/>
              <w:left w:type="dxa" w:w="100"/>
              <w:bottom w:type="dxa" w:w="60"/>
              <w:right w:type="dxa" w:w="100"/>
            </w:tcMar>
            <w:vAlign w:val="center"/>
          </w:tcPr>
          <w:p>
            <w:pPr>
              <w:spacing w:after="40" w:line="280"/>
            </w:pPr>
            <w:r>
              <w:rPr>
                <w:rFonts w:ascii="Yu Gothic" w:eastAsia="Yu Gothic"/>
                <w:b w:val="false"/>
                <w:bCs w:val="false"/>
                <w:sz w:val="20"/>
                <w:szCs w:val="20"/>
              </w:rPr>
              <w:t xml:space="preserve">投与終了後の観察</w:t>
            </w:r>
          </w:p>
        </w:tc>
        <w:tc>
          <w:tcPr>
            <w:tcW w:type="dxa" w:w="2000"/>
            <w:tcMar>
              <w:top w:type="dxa" w:w="60"/>
              <w:left w:type="dxa" w:w="100"/>
              <w:bottom w:type="dxa" w:w="60"/>
              <w:right w:type="dxa" w:w="100"/>
            </w:tcMar>
            <w:vAlign w:val="center"/>
          </w:tcPr>
          <w:p>
            <w:pPr>
              <w:spacing w:after="40" w:line="280"/>
            </w:pPr>
            <w:r>
              <w:rPr>
                <w:rFonts w:ascii="Yu Gothic" w:eastAsia="Yu Gothic"/>
                <w:b w:val="false"/>
                <w:bCs w:val="false"/>
                <w:sz w:val="20"/>
                <w:szCs w:val="20"/>
              </w:rPr>
              <w:t xml:space="preserve">30〜60分</w:t>
            </w:r>
          </w:p>
        </w:tc>
      </w:tr>
      <w:tr>
        <w:tc>
          <w:tcPr>
            <w:tcW w:type="dxa" w:w="900"/>
            <w:tcMar>
              <w:top w:type="dxa" w:w="60"/>
              <w:left w:type="dxa" w:w="100"/>
              <w:bottom w:type="dxa" w:w="60"/>
              <w:right w:type="dxa" w:w="100"/>
            </w:tcMar>
            <w:vAlign w:val="center"/>
          </w:tcPr>
          <w:p>
            <w:pPr>
              <w:spacing w:after="40" w:line="280"/>
            </w:pPr>
            <w:r>
              <w:rPr>
                <w:rFonts w:ascii="Yu Gothic" w:eastAsia="Yu Gothic"/>
                <w:b w:val="false"/>
                <w:bCs w:val="false"/>
                <w:sz w:val="20"/>
                <w:szCs w:val="20"/>
              </w:rPr>
              <w:t xml:space="preserve">⑤</w:t>
            </w:r>
          </w:p>
        </w:tc>
        <w:tc>
          <w:tcPr>
            <w:tcW w:type="dxa" w:w="6738"/>
            <w:tcMar>
              <w:top w:type="dxa" w:w="60"/>
              <w:left w:type="dxa" w:w="100"/>
              <w:bottom w:type="dxa" w:w="60"/>
              <w:right w:type="dxa" w:w="100"/>
            </w:tcMar>
            <w:vAlign w:val="center"/>
          </w:tcPr>
          <w:p>
            <w:pPr>
              <w:spacing w:after="40" w:line="280"/>
            </w:pPr>
            <w:r>
              <w:rPr>
                <w:rFonts w:ascii="Yu Gothic" w:eastAsia="Yu Gothic"/>
                <w:b w:val="false"/>
                <w:bCs w:val="false"/>
                <w:sz w:val="20"/>
                <w:szCs w:val="20"/>
              </w:rPr>
              <w:t xml:space="preserve">mFOLFOX6：オキサリプラチン 85 mg/m²＋レボホリナート 200 mg/m²（2時間）→ 5-FU 400 mg/m² 急速静注 → 5-FU 2,400 mg/m² 持続静注（46時間）</w:t>
            </w:r>
          </w:p>
        </w:tc>
        <w:tc>
          <w:tcPr>
            <w:tcW w:type="dxa" w:w="2000"/>
            <w:tcMar>
              <w:top w:type="dxa" w:w="60"/>
              <w:left w:type="dxa" w:w="100"/>
              <w:bottom w:type="dxa" w:w="60"/>
              <w:right w:type="dxa" w:w="100"/>
            </w:tcMar>
            <w:vAlign w:val="center"/>
          </w:tcPr>
          <w:p>
            <w:pPr>
              <w:spacing w:after="40" w:line="280"/>
            </w:pPr>
            <w:r>
              <w:rPr>
                <w:rFonts w:ascii="Yu Gothic" w:eastAsia="Yu Gothic"/>
                <w:b w:val="false"/>
                <w:bCs w:val="false"/>
                <w:sz w:val="20"/>
                <w:szCs w:val="20"/>
              </w:rPr>
              <w:t xml:space="preserve">—</w:t>
            </w:r>
          </w:p>
        </w:tc>
      </w:tr>
    </w:tbl>
    <w:p>
      <w:pPr>
        <w:pStyle w:val="Heading1"/>
        <w:pBdr>
          <w:bottom w:val="single" w:color="1F4E79" w:sz="8" w:space="2"/>
        </w:pBdr>
        <w:spacing w:after="160" w:before="320"/>
      </w:pPr>
      <w:r>
        <w:rPr>
          <w:rFonts w:ascii="Yu Gothic" w:eastAsia="Yu Gothic"/>
          <w:b/>
          <w:bCs/>
          <w:color w:val="1F4E79"/>
          <w:sz w:val="28"/>
          <w:szCs w:val="28"/>
        </w:rPr>
        <w:t xml:space="preserve">5. 予防的制吐療法（高度催吐性リスクに準じた4剤併用）</w:t>
      </w:r>
    </w:p>
    <w:p>
      <w:pPr>
        <w:spacing w:after="120" w:line="300"/>
      </w:pPr>
      <w:r>
        <w:rPr>
          <w:rFonts w:ascii="Yu Gothic" w:eastAsia="Yu Gothic"/>
          <w:b/>
          <w:bCs/>
          <w:sz w:val="21"/>
          <w:szCs w:val="21"/>
        </w:rPr>
        <w:t xml:space="preserve">院内採用薬（ホスネツピタント・パロノセトロン・オランザピン・メトクロプラミド）で構成。</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800"/>
        <w:gridCol w:w="3538"/>
      </w:tblGrid>
      <w:tr>
        <w:trPr>
          <w:tblHeader/>
        </w:trPr>
        <w:tc>
          <w:tcPr>
            <w:tcW w:type="dxa" w:w="3300"/>
            <w:shd w:fill="DCE6F1" w:val="clear"/>
            <w:tcMar>
              <w:top w:type="dxa" w:w="60"/>
              <w:left w:type="dxa" w:w="100"/>
              <w:bottom w:type="dxa" w:w="60"/>
              <w:right w:type="dxa" w:w="100"/>
            </w:tcMar>
            <w:vAlign w:val="center"/>
          </w:tcPr>
          <w:p>
            <w:pPr>
              <w:spacing w:after="40" w:line="280"/>
              <w:jc w:val="center"/>
            </w:pPr>
            <w:r>
              <w:rPr>
                <w:rFonts w:ascii="Yu Gothic" w:eastAsia="Yu Gothic"/>
                <w:b/>
                <w:bCs/>
                <w:sz w:val="20"/>
                <w:szCs w:val="20"/>
              </w:rPr>
              <w:t xml:space="preserve">薬剤</w:t>
            </w:r>
          </w:p>
        </w:tc>
        <w:tc>
          <w:tcPr>
            <w:tcW w:type="dxa" w:w="2800"/>
            <w:shd w:fill="DCE6F1" w:val="clear"/>
            <w:tcMar>
              <w:top w:type="dxa" w:w="60"/>
              <w:left w:type="dxa" w:w="100"/>
              <w:bottom w:type="dxa" w:w="60"/>
              <w:right w:type="dxa" w:w="100"/>
            </w:tcMar>
            <w:vAlign w:val="center"/>
          </w:tcPr>
          <w:p>
            <w:pPr>
              <w:spacing w:after="40" w:line="280"/>
              <w:jc w:val="center"/>
            </w:pPr>
            <w:r>
              <w:rPr>
                <w:rFonts w:ascii="Yu Gothic" w:eastAsia="Yu Gothic"/>
                <w:b/>
                <w:bCs/>
                <w:sz w:val="20"/>
                <w:szCs w:val="20"/>
              </w:rPr>
              <w:t xml:space="preserve">用量・経路</w:t>
            </w:r>
          </w:p>
        </w:tc>
        <w:tc>
          <w:tcPr>
            <w:tcW w:type="dxa" w:w="3538"/>
            <w:shd w:fill="DCE6F1" w:val="clear"/>
            <w:tcMar>
              <w:top w:type="dxa" w:w="60"/>
              <w:left w:type="dxa" w:w="100"/>
              <w:bottom w:type="dxa" w:w="60"/>
              <w:right w:type="dxa" w:w="100"/>
            </w:tcMar>
            <w:vAlign w:val="center"/>
          </w:tcPr>
          <w:p>
            <w:pPr>
              <w:spacing w:after="40" w:line="280"/>
              <w:jc w:val="center"/>
            </w:pPr>
            <w:r>
              <w:rPr>
                <w:rFonts w:ascii="Yu Gothic" w:eastAsia="Yu Gothic"/>
                <w:b/>
                <w:bCs/>
                <w:sz w:val="20"/>
                <w:szCs w:val="20"/>
              </w:rPr>
              <w:t xml:space="preserve">タイミング</w:t>
            </w:r>
          </w:p>
        </w:tc>
      </w:tr>
      <w:tr>
        <w:tc>
          <w:tcPr>
            <w:tcW w:type="dxa" w:w="3300"/>
            <w:tcMar>
              <w:top w:type="dxa" w:w="60"/>
              <w:left w:type="dxa" w:w="100"/>
              <w:bottom w:type="dxa" w:w="60"/>
              <w:right w:type="dxa" w:w="100"/>
            </w:tcMar>
            <w:vAlign w:val="center"/>
          </w:tcPr>
          <w:p>
            <w:pPr>
              <w:spacing w:after="40" w:line="280"/>
            </w:pPr>
            <w:r>
              <w:rPr>
                <w:rFonts w:ascii="Yu Gothic" w:eastAsia="Yu Gothic"/>
                <w:b w:val="false"/>
                <w:bCs w:val="false"/>
                <w:sz w:val="20"/>
                <w:szCs w:val="20"/>
              </w:rPr>
              <w:t xml:space="preserve">ホスネツピタント（アロカリス®）〔NK1受容体拮抗薬〕</w:t>
            </w:r>
          </w:p>
        </w:tc>
        <w:tc>
          <w:tcPr>
            <w:tcW w:type="dxa" w:w="2800"/>
            <w:tcMar>
              <w:top w:type="dxa" w:w="60"/>
              <w:left w:type="dxa" w:w="100"/>
              <w:bottom w:type="dxa" w:w="60"/>
              <w:right w:type="dxa" w:w="100"/>
            </w:tcMar>
            <w:vAlign w:val="center"/>
          </w:tcPr>
          <w:p>
            <w:pPr>
              <w:spacing w:after="40" w:line="280"/>
            </w:pPr>
            <w:r>
              <w:rPr>
                <w:rFonts w:ascii="Yu Gothic" w:eastAsia="Yu Gothic"/>
                <w:b w:val="false"/>
                <w:bCs w:val="false"/>
                <w:sz w:val="20"/>
                <w:szCs w:val="20"/>
              </w:rPr>
              <w:t xml:space="preserve">235 mg 点滴静注（30分）</w:t>
            </w:r>
          </w:p>
        </w:tc>
        <w:tc>
          <w:tcPr>
            <w:tcW w:type="dxa" w:w="3538"/>
            <w:tcMar>
              <w:top w:type="dxa" w:w="60"/>
              <w:left w:type="dxa" w:w="100"/>
              <w:bottom w:type="dxa" w:w="60"/>
              <w:right w:type="dxa" w:w="100"/>
            </w:tcMar>
            <w:vAlign w:val="center"/>
          </w:tcPr>
          <w:p>
            <w:pPr>
              <w:spacing w:after="40" w:line="280"/>
            </w:pPr>
            <w:r>
              <w:rPr>
                <w:rFonts w:ascii="Yu Gothic" w:eastAsia="Yu Gothic"/>
                <w:b w:val="false"/>
                <w:bCs w:val="false"/>
                <w:sz w:val="20"/>
                <w:szCs w:val="20"/>
              </w:rPr>
              <w:t xml:space="preserve">Day 1 ビロイ投与前</w:t>
            </w:r>
          </w:p>
        </w:tc>
      </w:tr>
      <w:tr>
        <w:tc>
          <w:tcPr>
            <w:tcW w:type="dxa" w:w="3300"/>
            <w:tcMar>
              <w:top w:type="dxa" w:w="60"/>
              <w:left w:type="dxa" w:w="100"/>
              <w:bottom w:type="dxa" w:w="60"/>
              <w:right w:type="dxa" w:w="100"/>
            </w:tcMar>
            <w:vAlign w:val="center"/>
          </w:tcPr>
          <w:p>
            <w:pPr>
              <w:spacing w:after="40" w:line="280"/>
            </w:pPr>
            <w:r>
              <w:rPr>
                <w:rFonts w:ascii="Yu Gothic" w:eastAsia="Yu Gothic"/>
                <w:b w:val="false"/>
                <w:bCs w:val="false"/>
                <w:sz w:val="20"/>
                <w:szCs w:val="20"/>
              </w:rPr>
              <w:t xml:space="preserve">パロノセトロン（アロキシ®）〔5-HT3受容体拮抗薬〕</w:t>
            </w:r>
          </w:p>
        </w:tc>
        <w:tc>
          <w:tcPr>
            <w:tcW w:type="dxa" w:w="2800"/>
            <w:tcMar>
              <w:top w:type="dxa" w:w="60"/>
              <w:left w:type="dxa" w:w="100"/>
              <w:bottom w:type="dxa" w:w="60"/>
              <w:right w:type="dxa" w:w="100"/>
            </w:tcMar>
            <w:vAlign w:val="center"/>
          </w:tcPr>
          <w:p>
            <w:pPr>
              <w:spacing w:after="40" w:line="280"/>
            </w:pPr>
            <w:r>
              <w:rPr>
                <w:rFonts w:ascii="Yu Gothic" w:eastAsia="Yu Gothic"/>
                <w:b w:val="false"/>
                <w:bCs w:val="false"/>
                <w:sz w:val="20"/>
                <w:szCs w:val="20"/>
              </w:rPr>
              <w:t xml:space="preserve">0.75 mg 静注</w:t>
            </w:r>
          </w:p>
        </w:tc>
        <w:tc>
          <w:tcPr>
            <w:tcW w:type="dxa" w:w="3538"/>
            <w:tcMar>
              <w:top w:type="dxa" w:w="60"/>
              <w:left w:type="dxa" w:w="100"/>
              <w:bottom w:type="dxa" w:w="60"/>
              <w:right w:type="dxa" w:w="100"/>
            </w:tcMar>
            <w:vAlign w:val="center"/>
          </w:tcPr>
          <w:p>
            <w:pPr>
              <w:spacing w:after="40" w:line="280"/>
            </w:pPr>
            <w:r>
              <w:rPr>
                <w:rFonts w:ascii="Yu Gothic" w:eastAsia="Yu Gothic"/>
                <w:b w:val="false"/>
                <w:bCs w:val="false"/>
                <w:sz w:val="20"/>
                <w:szCs w:val="20"/>
              </w:rPr>
              <w:t xml:space="preserve">Day 1 ビロイ投与前</w:t>
            </w:r>
          </w:p>
        </w:tc>
      </w:tr>
      <w:tr>
        <w:tc>
          <w:tcPr>
            <w:tcW w:type="dxa" w:w="3300"/>
            <w:tcMar>
              <w:top w:type="dxa" w:w="60"/>
              <w:left w:type="dxa" w:w="100"/>
              <w:bottom w:type="dxa" w:w="60"/>
              <w:right w:type="dxa" w:w="100"/>
            </w:tcMar>
            <w:vAlign w:val="center"/>
          </w:tcPr>
          <w:p>
            <w:pPr>
              <w:spacing w:after="40" w:line="280"/>
            </w:pPr>
            <w:r>
              <w:rPr>
                <w:rFonts w:ascii="Yu Gothic" w:eastAsia="Yu Gothic"/>
                <w:b w:val="false"/>
                <w:bCs w:val="false"/>
                <w:sz w:val="20"/>
                <w:szCs w:val="20"/>
              </w:rPr>
              <w:t xml:space="preserve">デキサメタゾン</w:t>
            </w:r>
          </w:p>
        </w:tc>
        <w:tc>
          <w:tcPr>
            <w:tcW w:type="dxa" w:w="2800"/>
            <w:tcMar>
              <w:top w:type="dxa" w:w="60"/>
              <w:left w:type="dxa" w:w="100"/>
              <w:bottom w:type="dxa" w:w="60"/>
              <w:right w:type="dxa" w:w="100"/>
            </w:tcMar>
            <w:vAlign w:val="center"/>
          </w:tcPr>
          <w:p>
            <w:pPr>
              <w:spacing w:after="40" w:line="280"/>
            </w:pPr>
            <w:r>
              <w:rPr>
                <w:rFonts w:ascii="Yu Gothic" w:eastAsia="Yu Gothic"/>
                <w:b w:val="false"/>
                <w:bCs w:val="false"/>
                <w:sz w:val="20"/>
                <w:szCs w:val="20"/>
              </w:rPr>
              <w:t xml:space="preserve">9.9 mg 静注</w:t>
            </w:r>
          </w:p>
        </w:tc>
        <w:tc>
          <w:tcPr>
            <w:tcW w:type="dxa" w:w="3538"/>
            <w:tcMar>
              <w:top w:type="dxa" w:w="60"/>
              <w:left w:type="dxa" w:w="100"/>
              <w:bottom w:type="dxa" w:w="60"/>
              <w:right w:type="dxa" w:w="100"/>
            </w:tcMar>
            <w:vAlign w:val="center"/>
          </w:tcPr>
          <w:p>
            <w:pPr>
              <w:spacing w:after="40" w:line="280"/>
            </w:pPr>
            <w:r>
              <w:rPr>
                <w:rFonts w:ascii="Yu Gothic" w:eastAsia="Yu Gothic"/>
                <w:b w:val="false"/>
                <w:bCs w:val="false"/>
                <w:sz w:val="20"/>
                <w:szCs w:val="20"/>
              </w:rPr>
              <w:t xml:space="preserve">Day 1 ビロイ投与前（Day 2〜3 の内服 4〜8 mg/日は遅発期リスクに応じて考慮）</w:t>
            </w:r>
          </w:p>
        </w:tc>
      </w:tr>
      <w:tr>
        <w:tc>
          <w:tcPr>
            <w:tcW w:type="dxa" w:w="3300"/>
            <w:tcMar>
              <w:top w:type="dxa" w:w="60"/>
              <w:left w:type="dxa" w:w="100"/>
              <w:bottom w:type="dxa" w:w="60"/>
              <w:right w:type="dxa" w:w="100"/>
            </w:tcMar>
            <w:vAlign w:val="center"/>
          </w:tcPr>
          <w:p>
            <w:pPr>
              <w:spacing w:after="40" w:line="280"/>
            </w:pPr>
            <w:r>
              <w:rPr>
                <w:rFonts w:ascii="Yu Gothic" w:eastAsia="Yu Gothic"/>
                <w:b/>
                <w:bCs/>
                <w:sz w:val="20"/>
                <w:szCs w:val="20"/>
              </w:rPr>
              <w:t xml:space="preserve">オランザピン</w:t>
            </w:r>
          </w:p>
        </w:tc>
        <w:tc>
          <w:tcPr>
            <w:tcW w:type="dxa" w:w="2800"/>
            <w:tcMar>
              <w:top w:type="dxa" w:w="60"/>
              <w:left w:type="dxa" w:w="100"/>
              <w:bottom w:type="dxa" w:w="60"/>
              <w:right w:type="dxa" w:w="100"/>
            </w:tcMar>
            <w:vAlign w:val="center"/>
          </w:tcPr>
          <w:p>
            <w:pPr>
              <w:spacing w:after="40" w:line="280"/>
            </w:pPr>
            <w:r>
              <w:rPr>
                <w:rFonts w:ascii="Yu Gothic" w:eastAsia="Yu Gothic"/>
                <w:b/>
                <w:bCs/>
                <w:sz w:val="20"/>
                <w:szCs w:val="20"/>
              </w:rPr>
              <w:t xml:space="preserve">5 mg 経口 1日1回</w:t>
            </w:r>
          </w:p>
        </w:tc>
        <w:tc>
          <w:tcPr>
            <w:tcW w:type="dxa" w:w="3538"/>
            <w:tcMar>
              <w:top w:type="dxa" w:w="60"/>
              <w:left w:type="dxa" w:w="100"/>
              <w:bottom w:type="dxa" w:w="60"/>
              <w:right w:type="dxa" w:w="100"/>
            </w:tcMar>
            <w:vAlign w:val="center"/>
          </w:tcPr>
          <w:p>
            <w:pPr>
              <w:spacing w:after="40" w:line="280"/>
            </w:pPr>
            <w:r>
              <w:rPr>
                <w:rFonts w:ascii="Yu Gothic" w:eastAsia="Yu Gothic"/>
                <w:b/>
                <w:bCs/>
                <w:sz w:val="20"/>
                <w:szCs w:val="20"/>
              </w:rPr>
              <w:t xml:space="preserve">投与前日の就寝前または当日朝から開始し、Day 1〜4（計4〜5回）※下記ポイント参照</w:t>
            </w:r>
          </w:p>
        </w:tc>
      </w:tr>
    </w:tbl>
    <w:p>
      <w:pPr>
        <w:spacing w:after="60"/>
      </w:pPr>
    </w:p>
    <w:p>
      <w:pPr>
        <w:pStyle w:val="Heading2"/>
        <w:spacing w:after="120" w:before="240"/>
      </w:pPr>
      <w:r>
        <w:rPr>
          <w:rFonts w:ascii="Yu Gothic" w:eastAsia="Yu Gothic"/>
          <w:b/>
          <w:bCs/>
          <w:color w:val="1F4E79"/>
          <w:sz w:val="24"/>
          <w:szCs w:val="24"/>
        </w:rPr>
        <w:t xml:space="preserve">オランザピン使用のポイント</w:t>
      </w:r>
    </w:p>
    <w:p>
      <w:pPr>
        <w:pStyle w:val="ListParagraph"/>
        <w:numPr>
          <w:ilvl w:val="0"/>
          <w:numId w:val="2"/>
        </w:numPr>
        <w:spacing w:after="80" w:line="300"/>
      </w:pPr>
      <w:r>
        <w:rPr>
          <w:rFonts w:ascii="Yu Gothic" w:eastAsia="Yu Gothic"/>
          <w:b w:val="false"/>
          <w:bCs w:val="false"/>
          <w:sz w:val="21"/>
          <w:szCs w:val="21"/>
        </w:rPr>
        <w:t xml:space="preserve">ビロイの悪心は投与中（開始後1時間以内）に発現するため、従来どおり「Day 1 就寝前」開始では初回投与中の悪心をカバーできない。</w:t>
      </w:r>
      <w:r>
        <w:rPr>
          <w:rFonts w:ascii="Yu Gothic" w:eastAsia="Yu Gothic"/>
          <w:b/>
          <w:bCs/>
          <w:sz w:val="21"/>
          <w:szCs w:val="21"/>
        </w:rPr>
        <w:t xml:space="preserve">前日就寝前または当日朝（投与2〜3時間前）からの内服開始を推奨</w:t>
      </w:r>
      <w:r>
        <w:rPr>
          <w:rFonts w:ascii="Yu Gothic" w:eastAsia="Yu Gothic"/>
          <w:b w:val="false"/>
          <w:bCs w:val="false"/>
          <w:sz w:val="21"/>
          <w:szCs w:val="21"/>
        </w:rPr>
        <w:t xml:space="preserve">する。傾眠・ふらつきに注意（初回は入院下であり観察可能。転倒防止策を講じる）。</w:t>
      </w:r>
    </w:p>
    <w:p>
      <w:pPr>
        <w:pStyle w:val="ListParagraph"/>
        <w:numPr>
          <w:ilvl w:val="0"/>
          <w:numId w:val="2"/>
        </w:numPr>
        <w:spacing w:after="80" w:line="300"/>
      </w:pPr>
      <w:r>
        <w:rPr>
          <w:rFonts w:ascii="Yu Gothic" w:eastAsia="Yu Gothic"/>
          <w:b/>
          <w:bCs/>
          <w:sz w:val="21"/>
          <w:szCs w:val="21"/>
        </w:rPr>
        <w:t xml:space="preserve">本邦では糖尿病患者に禁忌</w:t>
      </w:r>
      <w:r>
        <w:rPr>
          <w:rFonts w:ascii="Yu Gothic" w:eastAsia="Yu Gothic"/>
          <w:b w:val="false"/>
          <w:bCs w:val="false"/>
          <w:sz w:val="21"/>
          <w:szCs w:val="21"/>
        </w:rPr>
        <w:t xml:space="preserve">（本症例は糖尿病なし・使用可）。投与期間中は血糖上昇・口渇・多飲等に留意。</w:t>
      </w:r>
    </w:p>
    <w:p>
      <w:pPr>
        <w:pStyle w:val="ListParagraph"/>
        <w:numPr>
          <w:ilvl w:val="0"/>
          <w:numId w:val="2"/>
        </w:numPr>
        <w:spacing w:after="80" w:line="300"/>
      </w:pPr>
      <w:r>
        <w:rPr>
          <w:rFonts w:ascii="Yu Gothic" w:eastAsia="Yu Gothic"/>
          <w:b w:val="false"/>
          <w:bCs w:val="false"/>
          <w:sz w:val="21"/>
          <w:szCs w:val="21"/>
        </w:rPr>
        <w:t xml:space="preserve">75歳以上では2.5 mgへの減量や適応の慎重判断が必要（本症例は65歳で該当せず）。</w:t>
      </w:r>
    </w:p>
    <w:p>
      <w:pPr>
        <w:pStyle w:val="ListParagraph"/>
        <w:numPr>
          <w:ilvl w:val="0"/>
          <w:numId w:val="2"/>
        </w:numPr>
        <w:spacing w:after="80" w:line="300"/>
      </w:pPr>
      <w:r>
        <w:rPr>
          <w:rFonts w:ascii="Yu Gothic" w:eastAsia="Yu Gothic"/>
          <w:b w:val="false"/>
          <w:bCs w:val="false"/>
          <w:sz w:val="21"/>
          <w:szCs w:val="21"/>
        </w:rPr>
        <w:t xml:space="preserve">眠気が強い場合は2.5 mgへ減量、または就寝前のみへ変更を検討。</w:t>
      </w:r>
    </w:p>
    <w:p>
      <w:pPr>
        <w:pStyle w:val="Heading1"/>
        <w:pBdr>
          <w:bottom w:val="single" w:color="1F4E79" w:sz="8" w:space="2"/>
        </w:pBdr>
        <w:spacing w:after="160" w:before="320"/>
      </w:pPr>
      <w:r>
        <w:rPr>
          <w:rFonts w:ascii="Yu Gothic" w:eastAsia="Yu Gothic"/>
          <w:b/>
          <w:bCs/>
          <w:color w:val="1F4E79"/>
          <w:sz w:val="28"/>
          <w:szCs w:val="28"/>
        </w:rPr>
        <w:t xml:space="preserve">6. ビロイの投与方法・投与速度管理</w:t>
      </w:r>
    </w:p>
    <w:p>
      <w:pPr>
        <w:spacing w:after="120" w:line="300"/>
      </w:pPr>
      <w:r>
        <w:rPr>
          <w:rFonts w:ascii="Yu Gothic" w:eastAsia="Yu Gothic"/>
          <w:b/>
          <w:bCs/>
          <w:sz w:val="21"/>
          <w:szCs w:val="21"/>
        </w:rPr>
        <w:t xml:space="preserve">総投与時間は2時間以上。低速で開始し、忍容性を確認しながら段階的に増速する。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600"/>
        <w:gridCol w:w="3438"/>
      </w:tblGrid>
      <w:tr>
        <w:trPr>
          <w:tblHeader/>
        </w:trPr>
        <w:tc>
          <w:tcPr>
            <w:tcW w:type="dxa" w:w="1500"/>
            <w:shd w:fill="DCE6F1" w:val="clear"/>
            <w:tcMar>
              <w:top w:type="dxa" w:w="60"/>
              <w:left w:type="dxa" w:w="100"/>
              <w:bottom w:type="dxa" w:w="60"/>
              <w:right w:type="dxa" w:w="100"/>
            </w:tcMar>
            <w:vAlign w:val="center"/>
          </w:tcPr>
          <w:p>
            <w:pPr>
              <w:spacing w:after="40" w:line="280"/>
              <w:jc w:val="center"/>
            </w:pPr>
            <w:r>
              <w:rPr>
                <w:rFonts w:ascii="Yu Gothic" w:eastAsia="Yu Gothic"/>
                <w:b/>
                <w:bCs/>
                <w:sz w:val="20"/>
                <w:szCs w:val="20"/>
              </w:rPr>
              <w:t xml:space="preserve">投与回</w:t>
            </w:r>
          </w:p>
        </w:tc>
        <w:tc>
          <w:tcPr>
            <w:tcW w:type="dxa" w:w="2100"/>
            <w:shd w:fill="DCE6F1" w:val="clear"/>
            <w:tcMar>
              <w:top w:type="dxa" w:w="60"/>
              <w:left w:type="dxa" w:w="100"/>
              <w:bottom w:type="dxa" w:w="60"/>
              <w:right w:type="dxa" w:w="100"/>
            </w:tcMar>
            <w:vAlign w:val="center"/>
          </w:tcPr>
          <w:p>
            <w:pPr>
              <w:spacing w:after="40" w:line="280"/>
              <w:jc w:val="center"/>
            </w:pPr>
            <w:r>
              <w:rPr>
                <w:rFonts w:ascii="Yu Gothic" w:eastAsia="Yu Gothic"/>
                <w:b/>
                <w:bCs/>
                <w:sz w:val="20"/>
                <w:szCs w:val="20"/>
              </w:rPr>
              <w:t xml:space="preserve">用量</w:t>
            </w:r>
          </w:p>
        </w:tc>
        <w:tc>
          <w:tcPr>
            <w:tcW w:type="dxa" w:w="2600"/>
            <w:shd w:fill="DCE6F1" w:val="clear"/>
            <w:tcMar>
              <w:top w:type="dxa" w:w="60"/>
              <w:left w:type="dxa" w:w="100"/>
              <w:bottom w:type="dxa" w:w="60"/>
              <w:right w:type="dxa" w:w="100"/>
            </w:tcMar>
            <w:vAlign w:val="center"/>
          </w:tcPr>
          <w:p>
            <w:pPr>
              <w:spacing w:after="40" w:line="280"/>
              <w:jc w:val="center"/>
            </w:pPr>
            <w:r>
              <w:rPr>
                <w:rFonts w:ascii="Yu Gothic" w:eastAsia="Yu Gothic"/>
                <w:b/>
                <w:bCs/>
                <w:sz w:val="20"/>
                <w:szCs w:val="20"/>
              </w:rPr>
              <w:t xml:space="preserve">開始速度</w:t>
            </w:r>
          </w:p>
        </w:tc>
        <w:tc>
          <w:tcPr>
            <w:tcW w:type="dxa" w:w="3438"/>
            <w:shd w:fill="DCE6F1" w:val="clear"/>
            <w:tcMar>
              <w:top w:type="dxa" w:w="60"/>
              <w:left w:type="dxa" w:w="100"/>
              <w:bottom w:type="dxa" w:w="60"/>
              <w:right w:type="dxa" w:w="100"/>
            </w:tcMar>
            <w:vAlign w:val="center"/>
          </w:tcPr>
          <w:p>
            <w:pPr>
              <w:spacing w:after="40" w:line="280"/>
              <w:jc w:val="center"/>
            </w:pPr>
            <w:r>
              <w:rPr>
                <w:rFonts w:ascii="Yu Gothic" w:eastAsia="Yu Gothic"/>
                <w:b/>
                <w:bCs/>
                <w:sz w:val="20"/>
                <w:szCs w:val="20"/>
              </w:rPr>
              <w:t xml:space="preserve">増速</w:t>
            </w:r>
          </w:p>
        </w:tc>
      </w:tr>
      <w:tr>
        <w:tc>
          <w:tcPr>
            <w:tcW w:type="dxa" w:w="1500"/>
            <w:tcMar>
              <w:top w:type="dxa" w:w="60"/>
              <w:left w:type="dxa" w:w="100"/>
              <w:bottom w:type="dxa" w:w="60"/>
              <w:right w:type="dxa" w:w="100"/>
            </w:tcMar>
            <w:vAlign w:val="center"/>
          </w:tcPr>
          <w:p>
            <w:pPr>
              <w:spacing w:after="40" w:line="280"/>
            </w:pPr>
            <w:r>
              <w:rPr>
                <w:rFonts w:ascii="Yu Gothic" w:eastAsia="Yu Gothic"/>
                <w:b w:val="false"/>
                <w:bCs w:val="false"/>
                <w:sz w:val="20"/>
                <w:szCs w:val="20"/>
              </w:rPr>
              <w:t xml:space="preserve">初回</w:t>
            </w:r>
          </w:p>
        </w:tc>
        <w:tc>
          <w:tcPr>
            <w:tcW w:type="dxa" w:w="2100"/>
            <w:tcMar>
              <w:top w:type="dxa" w:w="60"/>
              <w:left w:type="dxa" w:w="100"/>
              <w:bottom w:type="dxa" w:w="60"/>
              <w:right w:type="dxa" w:w="100"/>
            </w:tcMar>
            <w:vAlign w:val="center"/>
          </w:tcPr>
          <w:p>
            <w:pPr>
              <w:spacing w:after="40" w:line="280"/>
            </w:pPr>
            <w:r>
              <w:rPr>
                <w:rFonts w:ascii="Yu Gothic" w:eastAsia="Yu Gothic"/>
                <w:b w:val="false"/>
                <w:bCs w:val="false"/>
                <w:sz w:val="20"/>
                <w:szCs w:val="20"/>
              </w:rPr>
              <w:t xml:space="preserve">800 mg/m²</w:t>
            </w:r>
          </w:p>
        </w:tc>
        <w:tc>
          <w:tcPr>
            <w:tcW w:type="dxa" w:w="2600"/>
            <w:tcMar>
              <w:top w:type="dxa" w:w="60"/>
              <w:left w:type="dxa" w:w="100"/>
              <w:bottom w:type="dxa" w:w="60"/>
              <w:right w:type="dxa" w:w="100"/>
            </w:tcMar>
            <w:vAlign w:val="center"/>
          </w:tcPr>
          <w:p>
            <w:pPr>
              <w:spacing w:after="40" w:line="280"/>
            </w:pPr>
            <w:r>
              <w:rPr>
                <w:rFonts w:ascii="Yu Gothic" w:eastAsia="Yu Gothic"/>
                <w:b/>
                <w:bCs/>
                <w:sz w:val="20"/>
                <w:szCs w:val="20"/>
              </w:rPr>
              <w:t xml:space="preserve">100 mg/m²/時で開始し30〜60分継続</w:t>
            </w:r>
          </w:p>
        </w:tc>
        <w:tc>
          <w:tcPr>
            <w:tcW w:type="dxa" w:w="3438"/>
            <w:tcMar>
              <w:top w:type="dxa" w:w="60"/>
              <w:left w:type="dxa" w:w="100"/>
              <w:bottom w:type="dxa" w:w="60"/>
              <w:right w:type="dxa" w:w="100"/>
            </w:tcMar>
            <w:vAlign w:val="center"/>
          </w:tcPr>
          <w:p>
            <w:pPr>
              <w:spacing w:after="40" w:line="280"/>
            </w:pPr>
            <w:r>
              <w:rPr>
                <w:rFonts w:ascii="Yu Gothic" w:eastAsia="Yu Gothic"/>
                <w:b w:val="false"/>
                <w:bCs w:val="false"/>
                <w:sz w:val="20"/>
                <w:szCs w:val="20"/>
              </w:rPr>
              <w:t xml:space="preserve">忍容性良好（悪心・嘔吐・infusion reactionなし）なら 200 mg/m²/時 → 最大 400 mg/m²/時 へ段階的に増速</w:t>
            </w:r>
          </w:p>
        </w:tc>
      </w:tr>
      <w:tr>
        <w:tc>
          <w:tcPr>
            <w:tcW w:type="dxa" w:w="1500"/>
            <w:tcMar>
              <w:top w:type="dxa" w:w="60"/>
              <w:left w:type="dxa" w:w="100"/>
              <w:bottom w:type="dxa" w:w="60"/>
              <w:right w:type="dxa" w:w="100"/>
            </w:tcMar>
            <w:vAlign w:val="center"/>
          </w:tcPr>
          <w:p>
            <w:pPr>
              <w:spacing w:after="40" w:line="280"/>
            </w:pPr>
            <w:r>
              <w:rPr>
                <w:rFonts w:ascii="Yu Gothic" w:eastAsia="Yu Gothic"/>
                <w:b w:val="false"/>
                <w:bCs w:val="false"/>
                <w:sz w:val="20"/>
                <w:szCs w:val="20"/>
              </w:rPr>
              <w:t xml:space="preserve">2回目以降</w:t>
            </w:r>
          </w:p>
        </w:tc>
        <w:tc>
          <w:tcPr>
            <w:tcW w:type="dxa" w:w="2100"/>
            <w:tcMar>
              <w:top w:type="dxa" w:w="60"/>
              <w:left w:type="dxa" w:w="100"/>
              <w:bottom w:type="dxa" w:w="60"/>
              <w:right w:type="dxa" w:w="100"/>
            </w:tcMar>
            <w:vAlign w:val="center"/>
          </w:tcPr>
          <w:p>
            <w:pPr>
              <w:spacing w:after="40" w:line="280"/>
            </w:pPr>
            <w:r>
              <w:rPr>
                <w:rFonts w:ascii="Yu Gothic" w:eastAsia="Yu Gothic"/>
                <w:b w:val="false"/>
                <w:bCs w:val="false"/>
                <w:sz w:val="20"/>
                <w:szCs w:val="20"/>
              </w:rPr>
              <w:t xml:space="preserve">400 mg/m²（2週毎）</w:t>
            </w:r>
          </w:p>
        </w:tc>
        <w:tc>
          <w:tcPr>
            <w:tcW w:type="dxa" w:w="2600"/>
            <w:tcMar>
              <w:top w:type="dxa" w:w="60"/>
              <w:left w:type="dxa" w:w="100"/>
              <w:bottom w:type="dxa" w:w="60"/>
              <w:right w:type="dxa" w:w="100"/>
            </w:tcMar>
            <w:vAlign w:val="center"/>
          </w:tcPr>
          <w:p>
            <w:pPr>
              <w:spacing w:after="40" w:line="280"/>
            </w:pPr>
            <w:r>
              <w:rPr>
                <w:rFonts w:ascii="Yu Gothic" w:eastAsia="Yu Gothic"/>
                <w:b w:val="false"/>
                <w:bCs w:val="false"/>
                <w:sz w:val="20"/>
                <w:szCs w:val="20"/>
              </w:rPr>
              <w:t xml:space="preserve">100 mg/m²/時 で開始し30〜60分継続</w:t>
            </w:r>
          </w:p>
        </w:tc>
        <w:tc>
          <w:tcPr>
            <w:tcW w:type="dxa" w:w="3438"/>
            <w:tcMar>
              <w:top w:type="dxa" w:w="60"/>
              <w:left w:type="dxa" w:w="100"/>
              <w:bottom w:type="dxa" w:w="60"/>
              <w:right w:type="dxa" w:w="100"/>
            </w:tcMar>
            <w:vAlign w:val="center"/>
          </w:tcPr>
          <w:p>
            <w:pPr>
              <w:spacing w:after="40" w:line="280"/>
            </w:pPr>
            <w:r>
              <w:rPr>
                <w:rFonts w:ascii="Yu Gothic" w:eastAsia="Yu Gothic"/>
                <w:b w:val="false"/>
                <w:bCs w:val="false"/>
                <w:sz w:val="20"/>
                <w:szCs w:val="20"/>
              </w:rPr>
              <w:t xml:space="preserve">前回忍容できた速度を参考に同様に増速</w:t>
            </w:r>
          </w:p>
        </w:tc>
      </w:tr>
    </w:tbl>
    <w:p>
      <w:pPr>
        <w:spacing w:after="60"/>
      </w:pPr>
    </w:p>
    <w:p>
      <w:pPr>
        <w:pStyle w:val="ListParagraph"/>
        <w:numPr>
          <w:ilvl w:val="0"/>
          <w:numId w:val="2"/>
        </w:numPr>
        <w:spacing w:after="80" w:line="300"/>
      </w:pPr>
      <w:r>
        <w:rPr>
          <w:rFonts w:ascii="Yu Gothic" w:eastAsia="Yu Gothic"/>
          <w:b w:val="false"/>
          <w:bCs w:val="false"/>
          <w:sz w:val="21"/>
          <w:szCs w:val="21"/>
        </w:rPr>
        <w:t xml:space="preserve">増速の可否は看護師が症状観察のうえ、判断に迷えば医師へ確認する。「時間短縮」を目的に安易に増速しない。</w:t>
      </w:r>
    </w:p>
    <w:p>
      <w:pPr>
        <w:pStyle w:val="ListParagraph"/>
        <w:numPr>
          <w:ilvl w:val="0"/>
          <w:numId w:val="2"/>
        </w:numPr>
        <w:spacing w:after="80" w:line="300"/>
      </w:pPr>
      <w:r>
        <w:rPr>
          <w:rFonts w:ascii="Yu Gothic" w:eastAsia="Yu Gothic"/>
          <w:b w:val="false"/>
          <w:bCs w:val="false"/>
          <w:sz w:val="21"/>
          <w:szCs w:val="21"/>
        </w:rPr>
        <w:t xml:space="preserve">前回投与時に悪心・嘔吐のため減速を要した場合：</w:t>
      </w:r>
      <w:r>
        <w:rPr>
          <w:rFonts w:ascii="Yu Gothic" w:eastAsia="Yu Gothic"/>
          <w:b/>
          <w:bCs/>
          <w:sz w:val="21"/>
          <w:szCs w:val="21"/>
        </w:rPr>
        <w:t xml:space="preserve">次回は前回忍容できた速度で開始</w:t>
      </w:r>
      <w:r>
        <w:rPr>
          <w:rFonts w:ascii="Yu Gothic" w:eastAsia="Yu Gothic"/>
          <w:b w:val="false"/>
          <w:bCs w:val="false"/>
          <w:sz w:val="21"/>
          <w:szCs w:val="21"/>
        </w:rPr>
        <w:t xml:space="preserve">し、30〜60分間無症状であれば25%ずつの増速を考慮する（海外エキスパートコンセンサス）。</w:t>
      </w:r>
    </w:p>
    <w:p>
      <w:pPr>
        <w:pStyle w:val="ListParagraph"/>
        <w:numPr>
          <w:ilvl w:val="0"/>
          <w:numId w:val="2"/>
        </w:numPr>
        <w:spacing w:after="80" w:line="300"/>
      </w:pPr>
      <w:r>
        <w:rPr>
          <w:rFonts w:ascii="Yu Gothic" w:eastAsia="Yu Gothic"/>
          <w:b w:val="false"/>
          <w:bCs w:val="false"/>
          <w:sz w:val="21"/>
          <w:szCs w:val="21"/>
        </w:rPr>
        <w:t xml:space="preserve">希釈・調製は薬剤部調製手順書に従う。</w:t>
      </w:r>
    </w:p>
    <w:p>
      <w:pPr>
        <w:pStyle w:val="Heading1"/>
        <w:pBdr>
          <w:bottom w:val="single" w:color="1F4E79" w:sz="8" w:space="2"/>
        </w:pBdr>
        <w:spacing w:after="160" w:before="320"/>
      </w:pPr>
      <w:r>
        <w:rPr>
          <w:rFonts w:ascii="Yu Gothic" w:eastAsia="Yu Gothic"/>
          <w:b/>
          <w:bCs/>
          <w:color w:val="1F4E79"/>
          <w:sz w:val="28"/>
          <w:szCs w:val="28"/>
        </w:rPr>
        <w:t xml:space="preserve">7. 投与中のモニタリング（主に看護師）</w:t>
      </w:r>
    </w:p>
    <w:p>
      <w:pPr>
        <w:pStyle w:val="ListParagraph"/>
        <w:numPr>
          <w:ilvl w:val="0"/>
          <w:numId w:val="2"/>
        </w:numPr>
        <w:spacing w:after="80" w:line="300"/>
      </w:pPr>
      <w:r>
        <w:rPr>
          <w:rFonts w:ascii="Yu Gothic" w:eastAsia="Yu Gothic"/>
          <w:b/>
          <w:bCs/>
          <w:sz w:val="21"/>
          <w:szCs w:val="21"/>
        </w:rPr>
        <w:t xml:space="preserve">投与開始前：</w:t>
      </w:r>
      <w:r>
        <w:rPr>
          <w:rFonts w:ascii="Yu Gothic" w:eastAsia="Yu Gothic"/>
          <w:b w:val="false"/>
          <w:bCs w:val="false"/>
          <w:sz w:val="21"/>
          <w:szCs w:val="21"/>
        </w:rPr>
        <w:t xml:space="preserve">バイタルサイン、悪心の有無（ベースライン）、制吐薬前投与の実施確認（オランザピン内服済みかを含む）。</w:t>
      </w:r>
    </w:p>
    <w:p>
      <w:pPr>
        <w:pStyle w:val="ListParagraph"/>
        <w:numPr>
          <w:ilvl w:val="0"/>
          <w:numId w:val="2"/>
        </w:numPr>
        <w:spacing w:after="80" w:line="300"/>
      </w:pPr>
      <w:r>
        <w:rPr>
          <w:rFonts w:ascii="Yu Gothic" w:eastAsia="Yu Gothic"/>
          <w:b/>
          <w:bCs/>
          <w:sz w:val="21"/>
          <w:szCs w:val="21"/>
        </w:rPr>
        <w:t xml:space="preserve">投与開始後15分毎（最初の1時間）→ 以後30分毎：</w:t>
      </w:r>
      <w:r>
        <w:rPr>
          <w:rFonts w:ascii="Yu Gothic" w:eastAsia="Yu Gothic"/>
          <w:b w:val="false"/>
          <w:bCs w:val="false"/>
          <w:sz w:val="21"/>
          <w:szCs w:val="21"/>
        </w:rPr>
        <w:t xml:space="preserve">悪心・嘔気・気分不良、嘔吐、バイタル、過敏症状（発疹・瘙痒・顔面紅潮・呼吸困難・血圧低下・発熱・悪寒）。</w:t>
      </w:r>
    </w:p>
    <w:p>
      <w:pPr>
        <w:pStyle w:val="ListParagraph"/>
        <w:numPr>
          <w:ilvl w:val="0"/>
          <w:numId w:val="2"/>
        </w:numPr>
        <w:spacing w:after="80" w:line="300"/>
      </w:pPr>
      <w:r>
        <w:rPr>
          <w:rFonts w:ascii="Yu Gothic" w:eastAsia="Yu Gothic"/>
          <w:b/>
          <w:bCs/>
          <w:sz w:val="21"/>
          <w:szCs w:val="21"/>
        </w:rPr>
        <w:t xml:space="preserve">開始後30〜60分が好発時間帯</w:t>
      </w:r>
      <w:r>
        <w:rPr>
          <w:rFonts w:ascii="Yu Gothic" w:eastAsia="Yu Gothic"/>
          <w:b w:val="false"/>
          <w:bCs w:val="false"/>
          <w:sz w:val="21"/>
          <w:szCs w:val="21"/>
        </w:rPr>
        <w:t xml:space="preserve">であることをチームで共有し、この時間帯の訪室・声かけを強化する。</w:t>
      </w:r>
    </w:p>
    <w:p>
      <w:pPr>
        <w:pStyle w:val="ListParagraph"/>
        <w:numPr>
          <w:ilvl w:val="0"/>
          <w:numId w:val="2"/>
        </w:numPr>
        <w:spacing w:after="80" w:line="300"/>
      </w:pPr>
      <w:r>
        <w:rPr>
          <w:rFonts w:ascii="Yu Gothic" w:eastAsia="Yu Gothic"/>
          <w:b w:val="false"/>
          <w:bCs w:val="false"/>
          <w:sz w:val="21"/>
          <w:szCs w:val="21"/>
        </w:rPr>
        <w:t xml:space="preserve">ベッドサイド準備：ガーグルベースン、ティッシュ、含嗽水、必要時吸引、ナースコールの位置説明。救急カートの所在確認。</w:t>
      </w:r>
    </w:p>
    <w:p>
      <w:pPr>
        <w:pStyle w:val="ListParagraph"/>
        <w:numPr>
          <w:ilvl w:val="0"/>
          <w:numId w:val="2"/>
        </w:numPr>
        <w:spacing w:after="80" w:line="300"/>
      </w:pPr>
      <w:r>
        <w:rPr>
          <w:rFonts w:ascii="Yu Gothic" w:eastAsia="Yu Gothic"/>
          <w:b w:val="false"/>
          <w:bCs w:val="false"/>
          <w:sz w:val="21"/>
          <w:szCs w:val="21"/>
        </w:rPr>
        <w:t xml:space="preserve">患者へ「吐き気は我慢せず、感じたらすぐ知らせてください」と繰り返し伝える（早期申告→速度調整で軽症化できる）。</w:t>
      </w:r>
    </w:p>
    <w:p>
      <w:pPr>
        <w:pStyle w:val="Heading1"/>
        <w:pBdr>
          <w:bottom w:val="single" w:color="1F4E79" w:sz="8" w:space="2"/>
        </w:pBdr>
        <w:spacing w:after="160" w:before="320"/>
      </w:pPr>
      <w:r>
        <w:rPr>
          <w:rFonts w:ascii="Yu Gothic" w:eastAsia="Yu Gothic"/>
          <w:b/>
          <w:bCs/>
          <w:color w:val="1F4E79"/>
          <w:sz w:val="28"/>
          <w:szCs w:val="28"/>
        </w:rPr>
        <w:t xml:space="preserve">8. 悪心・嘔吐発現時の対応アルゴリズム</w:t>
      </w:r>
    </w:p>
    <w:p>
      <w:pPr>
        <w:pStyle w:val="Heading2"/>
        <w:spacing w:after="120" w:before="240"/>
      </w:pPr>
      <w:r>
        <w:rPr>
          <w:rFonts w:ascii="Yu Gothic" w:eastAsia="Yu Gothic"/>
          <w:b/>
          <w:bCs/>
          <w:color w:val="1F4E79"/>
          <w:sz w:val="24"/>
          <w:szCs w:val="24"/>
        </w:rPr>
        <w:t xml:space="preserve">Step 1：投与速度の調整・中断（第一対応）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tblHeader/>
        </w:trPr>
        <w:tc>
          <w:tcPr>
            <w:tcW w:type="dxa" w:w="3800"/>
            <w:shd w:fill="DCE6F1" w:val="clear"/>
            <w:tcMar>
              <w:top w:type="dxa" w:w="60"/>
              <w:left w:type="dxa" w:w="100"/>
              <w:bottom w:type="dxa" w:w="60"/>
              <w:right w:type="dxa" w:w="100"/>
            </w:tcMar>
            <w:vAlign w:val="center"/>
          </w:tcPr>
          <w:p>
            <w:pPr>
              <w:spacing w:after="40" w:line="280"/>
              <w:jc w:val="center"/>
            </w:pPr>
            <w:r>
              <w:rPr>
                <w:rFonts w:ascii="Yu Gothic" w:eastAsia="Yu Gothic"/>
                <w:b/>
                <w:bCs/>
                <w:sz w:val="20"/>
                <w:szCs w:val="20"/>
              </w:rPr>
              <w:t xml:space="preserve">症状・Grade</w:t>
            </w:r>
          </w:p>
        </w:tc>
        <w:tc>
          <w:tcPr>
            <w:tcW w:type="dxa" w:w="5838"/>
            <w:shd w:fill="DCE6F1" w:val="clear"/>
            <w:tcMar>
              <w:top w:type="dxa" w:w="60"/>
              <w:left w:type="dxa" w:w="100"/>
              <w:bottom w:type="dxa" w:w="60"/>
              <w:right w:type="dxa" w:w="100"/>
            </w:tcMar>
            <w:vAlign w:val="center"/>
          </w:tcPr>
          <w:p>
            <w:pPr>
              <w:spacing w:after="40" w:line="280"/>
              <w:jc w:val="center"/>
            </w:pPr>
            <w:r>
              <w:rPr>
                <w:rFonts w:ascii="Yu Gothic" w:eastAsia="Yu Gothic"/>
                <w:b/>
                <w:bCs/>
                <w:sz w:val="20"/>
                <w:szCs w:val="20"/>
              </w:rPr>
              <w:t xml:space="preserve">対応</w:t>
            </w:r>
          </w:p>
        </w:tc>
      </w:tr>
      <w:tr>
        <w:tc>
          <w:tcPr>
            <w:tcW w:type="dxa" w:w="3800"/>
            <w:tcMar>
              <w:top w:type="dxa" w:w="60"/>
              <w:left w:type="dxa" w:w="100"/>
              <w:bottom w:type="dxa" w:w="60"/>
              <w:right w:type="dxa" w:w="100"/>
            </w:tcMar>
            <w:vAlign w:val="center"/>
          </w:tcPr>
          <w:p>
            <w:pPr>
              <w:spacing w:after="40" w:line="280"/>
            </w:pPr>
            <w:r>
              <w:rPr>
                <w:rFonts w:ascii="Yu Gothic" w:eastAsia="Yu Gothic"/>
                <w:b w:val="false"/>
                <w:bCs w:val="false"/>
                <w:sz w:val="20"/>
                <w:szCs w:val="20"/>
              </w:rPr>
              <w:t xml:space="preserve">軽度の悪心（Grade 1：摂食に影響しない）</w:t>
            </w:r>
          </w:p>
        </w:tc>
        <w:tc>
          <w:tcPr>
            <w:tcW w:type="dxa" w:w="5838"/>
            <w:tcMar>
              <w:top w:type="dxa" w:w="60"/>
              <w:left w:type="dxa" w:w="100"/>
              <w:bottom w:type="dxa" w:w="60"/>
              <w:right w:type="dxa" w:w="100"/>
            </w:tcMar>
            <w:vAlign w:val="center"/>
          </w:tcPr>
          <w:p>
            <w:pPr>
              <w:spacing w:after="40" w:line="280"/>
            </w:pPr>
            <w:r>
              <w:rPr>
                <w:rFonts w:ascii="Yu Gothic" w:eastAsia="Yu Gothic"/>
                <w:b w:val="false"/>
                <w:bCs w:val="false"/>
                <w:sz w:val="20"/>
                <w:szCs w:val="20"/>
              </w:rPr>
              <w:t xml:space="preserve">投与速度を50%程度に減速して継続。症状消失後、慎重に再増速可</w:t>
            </w:r>
          </w:p>
        </w:tc>
      </w:tr>
      <w:tr>
        <w:tc>
          <w:tcPr>
            <w:tcW w:type="dxa" w:w="3800"/>
            <w:tcMar>
              <w:top w:type="dxa" w:w="60"/>
              <w:left w:type="dxa" w:w="100"/>
              <w:bottom w:type="dxa" w:w="60"/>
              <w:right w:type="dxa" w:w="100"/>
            </w:tcMar>
            <w:vAlign w:val="center"/>
          </w:tcPr>
          <w:p>
            <w:pPr>
              <w:spacing w:after="40" w:line="280"/>
            </w:pPr>
            <w:r>
              <w:rPr>
                <w:rFonts w:ascii="Yu Gothic" w:eastAsia="Yu Gothic"/>
                <w:b/>
                <w:bCs/>
                <w:sz w:val="20"/>
                <w:szCs w:val="20"/>
              </w:rPr>
              <w:t xml:space="preserve">Grade 2以上の悪心／Grade 2〜3の嘔吐</w:t>
            </w:r>
          </w:p>
        </w:tc>
        <w:tc>
          <w:tcPr>
            <w:tcW w:type="dxa" w:w="5838"/>
            <w:tcMar>
              <w:top w:type="dxa" w:w="60"/>
              <w:left w:type="dxa" w:w="100"/>
              <w:bottom w:type="dxa" w:w="60"/>
              <w:right w:type="dxa" w:w="100"/>
            </w:tcMar>
            <w:vAlign w:val="center"/>
          </w:tcPr>
          <w:p>
            <w:pPr>
              <w:spacing w:after="40" w:line="280"/>
            </w:pPr>
            <w:r>
              <w:rPr>
                <w:rFonts w:ascii="Yu Gothic" w:eastAsia="Yu Gothic"/>
                <w:b/>
                <w:bCs/>
                <w:sz w:val="20"/>
                <w:szCs w:val="20"/>
              </w:rPr>
              <w:t xml:space="preserve">投与を一時中断（30〜60分を目安）→ 救済制吐薬（Step 2）→ Grade 1以下へ回復後、中断前の速度の50%程度に減速して再開</w:t>
            </w:r>
          </w:p>
        </w:tc>
      </w:tr>
      <w:tr>
        <w:tc>
          <w:tcPr>
            <w:tcW w:type="dxa" w:w="3800"/>
            <w:tcMar>
              <w:top w:type="dxa" w:w="60"/>
              <w:left w:type="dxa" w:w="100"/>
              <w:bottom w:type="dxa" w:w="60"/>
              <w:right w:type="dxa" w:w="100"/>
            </w:tcMar>
            <w:vAlign w:val="center"/>
          </w:tcPr>
          <w:p>
            <w:pPr>
              <w:spacing w:after="40" w:line="280"/>
            </w:pPr>
            <w:r>
              <w:rPr>
                <w:rFonts w:ascii="Yu Gothic" w:eastAsia="Yu Gothic"/>
                <w:b/>
                <w:bCs/>
                <w:sz w:val="20"/>
                <w:szCs w:val="20"/>
              </w:rPr>
              <w:t xml:space="preserve">Grade 4の嘔吐（生命を脅かす・緊急処置を要する）</w:t>
            </w:r>
          </w:p>
        </w:tc>
        <w:tc>
          <w:tcPr>
            <w:tcW w:type="dxa" w:w="5838"/>
            <w:tcMar>
              <w:top w:type="dxa" w:w="60"/>
              <w:left w:type="dxa" w:w="100"/>
              <w:bottom w:type="dxa" w:w="60"/>
              <w:right w:type="dxa" w:w="100"/>
            </w:tcMar>
            <w:vAlign w:val="center"/>
          </w:tcPr>
          <w:p>
            <w:pPr>
              <w:spacing w:after="40" w:line="280"/>
            </w:pPr>
            <w:r>
              <w:rPr>
                <w:rFonts w:ascii="Yu Gothic" w:eastAsia="Yu Gothic"/>
                <w:b/>
                <w:bCs/>
                <w:sz w:val="20"/>
                <w:szCs w:val="20"/>
              </w:rPr>
              <w:t xml:space="preserve">投与中止（再開しない）。医師へ即時報告。輸液・電解質管理</w:t>
            </w:r>
          </w:p>
        </w:tc>
      </w:tr>
    </w:tbl>
    <w:p>
      <w:pPr>
        <w:spacing w:after="120" w:line="300"/>
      </w:pPr>
      <w:r>
        <w:rPr>
          <w:rFonts w:ascii="Yu Gothic" w:eastAsia="Yu Gothic"/>
          <w:b w:val="false"/>
          <w:bCs w:val="false"/>
          <w:sz w:val="20"/>
          <w:szCs w:val="20"/>
        </w:rPr>
        <w:t xml:space="preserve">※Grade評価はCTCAE。判断に迷う場合は中断し医師へ報告する。</w:t>
      </w:r>
    </w:p>
    <w:p>
      <w:pPr>
        <w:pStyle w:val="Heading2"/>
        <w:spacing w:after="120" w:before="240"/>
      </w:pPr>
      <w:r>
        <w:rPr>
          <w:rFonts w:ascii="Yu Gothic" w:eastAsia="Yu Gothic"/>
          <w:b/>
          <w:bCs/>
          <w:color w:val="1F4E79"/>
          <w:sz w:val="24"/>
          <w:szCs w:val="24"/>
        </w:rPr>
        <w:t xml:space="preserve">Step 2：救済（レスキュー）制吐薬</w:t>
      </w:r>
    </w:p>
    <w:p>
      <w:pPr>
        <w:pStyle w:val="ListParagraph"/>
        <w:numPr>
          <w:ilvl w:val="0"/>
          <w:numId w:val="4"/>
        </w:numPr>
        <w:spacing w:after="80" w:line="300"/>
      </w:pPr>
      <w:r>
        <w:rPr>
          <w:rFonts w:ascii="Yu Gothic" w:eastAsia="Yu Gothic"/>
          <w:b/>
          <w:bCs/>
          <w:sz w:val="21"/>
          <w:szCs w:val="21"/>
        </w:rPr>
        <w:t xml:space="preserve">メトクロプラミド 10 mg 静注</w:t>
      </w:r>
      <w:r>
        <w:rPr>
          <w:rFonts w:ascii="Yu Gothic" w:eastAsia="Yu Gothic"/>
          <w:b w:val="false"/>
          <w:bCs w:val="false"/>
          <w:sz w:val="21"/>
          <w:szCs w:val="21"/>
        </w:rPr>
        <w:t xml:space="preserve">（第一選択。1日2〜3回まで。錐体外路症状〔アカシジア・ジストニア〕に注意、若年者・高用量で出やすい）</w:t>
      </w:r>
    </w:p>
    <w:p>
      <w:pPr>
        <w:pStyle w:val="ListParagraph"/>
        <w:numPr>
          <w:ilvl w:val="0"/>
          <w:numId w:val="4"/>
        </w:numPr>
        <w:spacing w:after="80" w:line="300"/>
      </w:pPr>
      <w:r>
        <w:rPr>
          <w:rFonts w:ascii="Yu Gothic" w:eastAsia="Yu Gothic"/>
          <w:b w:val="false"/>
          <w:bCs w:val="false"/>
          <w:sz w:val="21"/>
          <w:szCs w:val="21"/>
        </w:rPr>
        <w:t xml:space="preserve">効果不十分な場合：デキサメタゾン追加静注（当日未投与分がある場合）、ヒドロキシジンやロラゼパム等の追加を医師判断で考慮</w:t>
      </w:r>
    </w:p>
    <w:p>
      <w:pPr>
        <w:pStyle w:val="ListParagraph"/>
        <w:numPr>
          <w:ilvl w:val="0"/>
          <w:numId w:val="4"/>
        </w:numPr>
        <w:spacing w:after="80" w:line="300"/>
      </w:pPr>
      <w:r>
        <w:rPr>
          <w:rFonts w:ascii="Yu Gothic" w:eastAsia="Yu Gothic"/>
          <w:b w:val="false"/>
          <w:bCs w:val="false"/>
          <w:sz w:val="21"/>
          <w:szCs w:val="21"/>
        </w:rPr>
        <w:t xml:space="preserve">嘔吐時は輸液（細胞外液）併用、電解質確認</w:t>
      </w:r>
    </w:p>
    <w:p>
      <w:pPr>
        <w:pStyle w:val="ListParagraph"/>
        <w:numPr>
          <w:ilvl w:val="0"/>
          <w:numId w:val="4"/>
        </w:numPr>
        <w:spacing w:after="80" w:line="300"/>
      </w:pPr>
      <w:r>
        <w:rPr>
          <w:rFonts w:ascii="Yu Gothic" w:eastAsia="Yu Gothic"/>
          <w:b w:val="false"/>
          <w:bCs w:val="false"/>
          <w:sz w:val="21"/>
          <w:szCs w:val="21"/>
        </w:rPr>
        <w:t xml:space="preserve">予防で使用した薬剤と同一機序の追加は原則避ける（例：パロノセトロン投与済みへの5-HT3追加）</w:t>
      </w:r>
    </w:p>
    <w:p>
      <w:pPr>
        <w:pStyle w:val="Heading2"/>
        <w:spacing w:after="120" w:before="240"/>
      </w:pPr>
      <w:r>
        <w:rPr>
          <w:rFonts w:ascii="Yu Gothic" w:eastAsia="Yu Gothic"/>
          <w:b/>
          <w:bCs/>
          <w:color w:val="1F4E79"/>
          <w:sz w:val="24"/>
          <w:szCs w:val="24"/>
        </w:rPr>
        <w:t xml:space="preserve">Step 3：過敏症・infusion reaction との鑑別</w:t>
      </w:r>
    </w:p>
    <w:p>
      <w:pPr>
        <w:pStyle w:val="ListParagraph"/>
        <w:numPr>
          <w:ilvl w:val="0"/>
          <w:numId w:val="2"/>
        </w:numPr>
        <w:spacing w:after="80" w:line="300"/>
      </w:pPr>
      <w:r>
        <w:rPr>
          <w:rFonts w:ascii="Yu Gothic" w:eastAsia="Yu Gothic"/>
          <w:b w:val="false"/>
          <w:bCs w:val="false"/>
          <w:sz w:val="21"/>
          <w:szCs w:val="21"/>
        </w:rPr>
        <w:t xml:space="preserve">悪心・嘔吐に</w:t>
      </w:r>
      <w:r>
        <w:rPr>
          <w:rFonts w:ascii="Yu Gothic" w:eastAsia="Yu Gothic"/>
          <w:b/>
          <w:bCs/>
          <w:sz w:val="21"/>
          <w:szCs w:val="21"/>
        </w:rPr>
        <w:t xml:space="preserve">発疹・瘙痒・呼吸困難・血圧変動・発熱・悪寒</w:t>
      </w:r>
      <w:r>
        <w:rPr>
          <w:rFonts w:ascii="Yu Gothic" w:eastAsia="Yu Gothic"/>
          <w:b w:val="false"/>
          <w:bCs w:val="false"/>
          <w:sz w:val="21"/>
          <w:szCs w:val="21"/>
        </w:rPr>
        <w:t xml:space="preserve">を伴う場合は過敏症／infusion reaction を疑い、当該対応手順へ切り替える（Grade 2：中断→回復後減速再開／アナフィラキシー・Grade 3以上：投与中止・再投与不可）。</w:t>
      </w:r>
    </w:p>
    <w:p>
      <w:pPr>
        <w:pStyle w:val="ListParagraph"/>
        <w:numPr>
          <w:ilvl w:val="0"/>
          <w:numId w:val="2"/>
        </w:numPr>
        <w:spacing w:after="80" w:line="300"/>
      </w:pPr>
      <w:r>
        <w:rPr>
          <w:rFonts w:ascii="Yu Gothic" w:eastAsia="Yu Gothic"/>
          <w:b w:val="false"/>
          <w:bCs w:val="false"/>
          <w:sz w:val="21"/>
          <w:szCs w:val="21"/>
        </w:rPr>
        <w:t xml:space="preserve">本症例は</w:t>
      </w:r>
      <w:r>
        <w:rPr>
          <w:rFonts w:ascii="Yu Gothic" w:eastAsia="Yu Gothic"/>
          <w:b/>
          <w:bCs/>
          <w:sz w:val="21"/>
          <w:szCs w:val="21"/>
        </w:rPr>
        <w:t xml:space="preserve">オキサリプラチン再投与例</w:t>
      </w:r>
      <w:r>
        <w:rPr>
          <w:rFonts w:ascii="Yu Gothic" w:eastAsia="Yu Gothic"/>
          <w:b w:val="false"/>
          <w:bCs w:val="false"/>
          <w:sz w:val="21"/>
          <w:szCs w:val="21"/>
        </w:rPr>
        <w:t xml:space="preserve">であり、mFOLFOX6投与中の過敏症リスクにも留意（ビロイの悪心と混同しない）。</w:t>
      </w:r>
    </w:p>
    <w:p>
      <w:pPr>
        <w:pStyle w:val="Heading2"/>
        <w:spacing w:after="120" w:before="240"/>
      </w:pPr>
      <w:r>
        <w:rPr>
          <w:rFonts w:ascii="Yu Gothic" w:eastAsia="Yu Gothic"/>
          <w:b/>
          <w:bCs/>
          <w:color w:val="1F4E79"/>
          <w:sz w:val="24"/>
          <w:szCs w:val="24"/>
        </w:rPr>
        <w:t xml:space="preserve">Step 4：記録と次回への申し送り（必須）</w:t>
      </w:r>
    </w:p>
    <w:p>
      <w:pPr>
        <w:spacing w:after="120" w:line="300"/>
      </w:pPr>
      <w:r>
        <w:rPr>
          <w:rFonts w:ascii="Yu Gothic" w:eastAsia="Yu Gothic"/>
          <w:b w:val="false"/>
          <w:bCs w:val="false"/>
          <w:sz w:val="21"/>
          <w:szCs w:val="21"/>
        </w:rPr>
        <w:t xml:space="preserve">以下を診療録・投与記録に残す：</w:t>
      </w:r>
      <w:r>
        <w:rPr>
          <w:rFonts w:ascii="Yu Gothic" w:eastAsia="Yu Gothic"/>
          <w:b/>
          <w:bCs/>
          <w:sz w:val="21"/>
          <w:szCs w:val="21"/>
        </w:rPr>
        <w:t xml:space="preserve">発現時刻（投与開始からの分数）／Grade／発現時の投与速度／実施した対応／回復までの時間／最終的に忍容できた速度</w:t>
      </w:r>
      <w:r>
        <w:rPr>
          <w:rFonts w:ascii="Yu Gothic" w:eastAsia="Yu Gothic"/>
          <w:b w:val="false"/>
          <w:bCs w:val="false"/>
          <w:sz w:val="21"/>
          <w:szCs w:val="21"/>
        </w:rPr>
        <w:t xml:space="preserve">。次回投与時は「予防的制吐薬の確実な前投与＋前回忍容速度からの開始」に反映する。</w:t>
      </w:r>
    </w:p>
    <w:p>
      <w:pPr>
        <w:pStyle w:val="Heading1"/>
        <w:pBdr>
          <w:bottom w:val="single" w:color="1F4E79" w:sz="8" w:space="2"/>
        </w:pBdr>
        <w:spacing w:after="160" w:before="320"/>
      </w:pPr>
      <w:r>
        <w:rPr>
          <w:rFonts w:ascii="Yu Gothic" w:eastAsia="Yu Gothic"/>
          <w:b/>
          <w:bCs/>
          <w:color w:val="1F4E79"/>
          <w:sz w:val="28"/>
          <w:szCs w:val="28"/>
        </w:rPr>
        <w:t xml:space="preserve">9. 2回目以降・外来移行時の留意点</w:t>
      </w:r>
    </w:p>
    <w:p>
      <w:pPr>
        <w:pStyle w:val="ListParagraph"/>
        <w:numPr>
          <w:ilvl w:val="0"/>
          <w:numId w:val="2"/>
        </w:numPr>
        <w:spacing w:after="80" w:line="300"/>
      </w:pPr>
      <w:r>
        <w:rPr>
          <w:rFonts w:ascii="Yu Gothic" w:eastAsia="Yu Gothic"/>
          <w:b w:val="false"/>
          <w:bCs w:val="false"/>
          <w:sz w:val="21"/>
          <w:szCs w:val="21"/>
        </w:rPr>
        <w:t xml:space="preserve">2回目以降は 400 mg/m²・2週毎。頻度は下がるが</w:t>
      </w:r>
      <w:r>
        <w:rPr>
          <w:rFonts w:ascii="Yu Gothic" w:eastAsia="Yu Gothic"/>
          <w:b/>
          <w:bCs/>
          <w:sz w:val="21"/>
          <w:szCs w:val="21"/>
        </w:rPr>
        <w:t xml:space="preserve">引き続き高リスクとして同じ予防的制吐療法を継続</w:t>
      </w:r>
      <w:r>
        <w:rPr>
          <w:rFonts w:ascii="Yu Gothic" w:eastAsia="Yu Gothic"/>
          <w:b w:val="false"/>
          <w:bCs w:val="false"/>
          <w:sz w:val="21"/>
          <w:szCs w:val="21"/>
        </w:rPr>
        <w:t xml:space="preserve">する。初回で問題がなくても制吐薬を自己判断で省略しない。</w:t>
      </w:r>
    </w:p>
    <w:p>
      <w:pPr>
        <w:pStyle w:val="ListParagraph"/>
        <w:numPr>
          <w:ilvl w:val="0"/>
          <w:numId w:val="2"/>
        </w:numPr>
        <w:spacing w:after="80" w:line="300"/>
      </w:pPr>
      <w:r>
        <w:rPr>
          <w:rFonts w:ascii="Yu Gothic" w:eastAsia="Yu Gothic"/>
          <w:b w:val="false"/>
          <w:bCs w:val="false"/>
          <w:sz w:val="21"/>
          <w:szCs w:val="21"/>
        </w:rPr>
        <w:t xml:space="preserve">初回の発現状況に応じて調整：発現が強かった場合はオランザピン開始の前倒し徹底・デキサメタゾン追加日数・開始速度の据え置きなどを検討。</w:t>
      </w:r>
    </w:p>
    <w:p>
      <w:pPr>
        <w:pStyle w:val="ListParagraph"/>
        <w:numPr>
          <w:ilvl w:val="0"/>
          <w:numId w:val="2"/>
        </w:numPr>
        <w:spacing w:after="80" w:line="300"/>
      </w:pPr>
      <w:r>
        <w:rPr>
          <w:rFonts w:ascii="Yu Gothic" w:eastAsia="Yu Gothic"/>
          <w:b w:val="false"/>
          <w:bCs w:val="false"/>
          <w:sz w:val="21"/>
          <w:szCs w:val="21"/>
        </w:rPr>
        <w:t xml:space="preserve">外来では投与開始後30〜60分の観察体制（リクライニング位置・訪室頻度）を確保する。</w:t>
      </w:r>
    </w:p>
    <w:p>
      <w:pPr>
        <w:pStyle w:val="ListParagraph"/>
        <w:numPr>
          <w:ilvl w:val="0"/>
          <w:numId w:val="2"/>
        </w:numPr>
        <w:spacing w:after="80" w:line="300"/>
      </w:pPr>
      <w:r>
        <w:rPr>
          <w:rFonts w:ascii="Yu Gothic" w:eastAsia="Yu Gothic"/>
          <w:b w:val="false"/>
          <w:bCs w:val="false"/>
          <w:sz w:val="21"/>
          <w:szCs w:val="21"/>
        </w:rPr>
        <w:t xml:space="preserve">帰宅後（遅発期）に備え、</w:t>
      </w:r>
      <w:r>
        <w:rPr>
          <w:rFonts w:ascii="Yu Gothic" w:eastAsia="Yu Gothic"/>
          <w:b/>
          <w:bCs/>
          <w:sz w:val="21"/>
          <w:szCs w:val="21"/>
        </w:rPr>
        <w:t xml:space="preserve">メトクロプラミド錠の頓用処方</w:t>
      </w:r>
      <w:r>
        <w:rPr>
          <w:rFonts w:ascii="Yu Gothic" w:eastAsia="Yu Gothic"/>
          <w:b w:val="false"/>
          <w:bCs w:val="false"/>
          <w:sz w:val="21"/>
          <w:szCs w:val="21"/>
        </w:rPr>
        <w:t xml:space="preserve">、内服のタイミング、嘔吐持続・経口摂取不能時の</w:t>
      </w:r>
      <w:r>
        <w:rPr>
          <w:rFonts w:ascii="Yu Gothic" w:eastAsia="Yu Gothic"/>
          <w:b/>
          <w:bCs/>
          <w:sz w:val="21"/>
          <w:szCs w:val="21"/>
        </w:rPr>
        <w:t xml:space="preserve">緊急連絡先</w:t>
      </w:r>
      <w:r>
        <w:rPr>
          <w:rFonts w:ascii="Yu Gothic" w:eastAsia="Yu Gothic"/>
          <w:b w:val="false"/>
          <w:bCs w:val="false"/>
          <w:sz w:val="21"/>
          <w:szCs w:val="21"/>
        </w:rPr>
        <w:t xml:space="preserve">を文書で渡す。</w:t>
      </w:r>
    </w:p>
    <w:p>
      <w:pPr>
        <w:pStyle w:val="ListParagraph"/>
        <w:numPr>
          <w:ilvl w:val="0"/>
          <w:numId w:val="2"/>
        </w:numPr>
        <w:spacing w:after="80" w:line="300"/>
      </w:pPr>
      <w:r>
        <w:rPr>
          <w:rFonts w:ascii="Yu Gothic" w:eastAsia="Yu Gothic"/>
          <w:b w:val="false"/>
          <w:bCs w:val="false"/>
          <w:sz w:val="21"/>
          <w:szCs w:val="21"/>
        </w:rPr>
        <w:t xml:space="preserve">5-FU持続静注（46時間）中の悪心はビロイ以外の要因も含めて評価する。</w:t>
      </w:r>
    </w:p>
    <w:p>
      <w:pPr>
        <w:pStyle w:val="Heading1"/>
        <w:pBdr>
          <w:bottom w:val="single" w:color="1F4E79" w:sz="8" w:space="2"/>
        </w:pBdr>
        <w:spacing w:after="160" w:before="320"/>
      </w:pPr>
      <w:r>
        <w:rPr>
          <w:rFonts w:ascii="Yu Gothic" w:eastAsia="Yu Gothic"/>
          <w:b/>
          <w:bCs/>
          <w:color w:val="1F4E79"/>
          <w:sz w:val="28"/>
          <w:szCs w:val="28"/>
        </w:rPr>
        <w:t xml:space="preserve">10. 職種別の役割分担</w:t>
      </w:r>
    </w:p>
    <w:p>
      <w:pPr>
        <w:pStyle w:val="Heading2"/>
        <w:spacing w:after="120" w:before="240"/>
      </w:pPr>
      <w:r>
        <w:rPr>
          <w:rFonts w:ascii="Yu Gothic" w:eastAsia="Yu Gothic"/>
          <w:b/>
          <w:bCs/>
          <w:color w:val="1F4E79"/>
          <w:sz w:val="24"/>
          <w:szCs w:val="24"/>
        </w:rPr>
        <w:t xml:space="preserve">医師</w:t>
      </w:r>
    </w:p>
    <w:p>
      <w:pPr>
        <w:pStyle w:val="ListParagraph"/>
        <w:numPr>
          <w:ilvl w:val="0"/>
          <w:numId w:val="2"/>
        </w:numPr>
        <w:spacing w:after="80" w:line="300"/>
      </w:pPr>
      <w:r>
        <w:rPr>
          <w:rFonts w:ascii="Yu Gothic" w:eastAsia="Yu Gothic"/>
          <w:b w:val="false"/>
          <w:bCs w:val="false"/>
          <w:sz w:val="21"/>
          <w:szCs w:val="21"/>
        </w:rPr>
        <w:t xml:space="preserve">レジメンオーダー（制吐薬4剤を含む）と投与前診察・投与可否判断</w:t>
      </w:r>
    </w:p>
    <w:p>
      <w:pPr>
        <w:pStyle w:val="ListParagraph"/>
        <w:numPr>
          <w:ilvl w:val="0"/>
          <w:numId w:val="2"/>
        </w:numPr>
        <w:spacing w:after="80" w:line="300"/>
      </w:pPr>
      <w:r>
        <w:rPr>
          <w:rFonts w:ascii="Yu Gothic" w:eastAsia="Yu Gothic"/>
          <w:b w:val="false"/>
          <w:bCs w:val="false"/>
          <w:sz w:val="21"/>
          <w:szCs w:val="21"/>
        </w:rPr>
        <w:t xml:space="preserve">投与中のGrade評価に基づく中断・減速再開・中止の最終判断</w:t>
      </w:r>
    </w:p>
    <w:p>
      <w:pPr>
        <w:pStyle w:val="ListParagraph"/>
        <w:numPr>
          <w:ilvl w:val="0"/>
          <w:numId w:val="2"/>
        </w:numPr>
        <w:spacing w:after="80" w:line="300"/>
      </w:pPr>
      <w:r>
        <w:rPr>
          <w:rFonts w:ascii="Yu Gothic" w:eastAsia="Yu Gothic"/>
          <w:b w:val="false"/>
          <w:bCs w:val="false"/>
          <w:sz w:val="21"/>
          <w:szCs w:val="21"/>
        </w:rPr>
        <w:t xml:space="preserve">初回結果を踏まえた次回投与計画（速度・制吐薬調整）、外来移行の判断</w:t>
      </w:r>
    </w:p>
    <w:p>
      <w:pPr>
        <w:pStyle w:val="Heading2"/>
        <w:spacing w:after="120" w:before="240"/>
      </w:pPr>
      <w:r>
        <w:rPr>
          <w:rFonts w:ascii="Yu Gothic" w:eastAsia="Yu Gothic"/>
          <w:b/>
          <w:bCs/>
          <w:color w:val="1F4E79"/>
          <w:sz w:val="24"/>
          <w:szCs w:val="24"/>
        </w:rPr>
        <w:t xml:space="preserve">薬剤師</w:t>
      </w:r>
    </w:p>
    <w:p>
      <w:pPr>
        <w:pStyle w:val="ListParagraph"/>
        <w:numPr>
          <w:ilvl w:val="0"/>
          <w:numId w:val="2"/>
        </w:numPr>
        <w:spacing w:after="80" w:line="300"/>
      </w:pPr>
      <w:r>
        <w:rPr>
          <w:rFonts w:ascii="Yu Gothic" w:eastAsia="Yu Gothic"/>
          <w:b w:val="false"/>
          <w:bCs w:val="false"/>
          <w:sz w:val="21"/>
          <w:szCs w:val="21"/>
        </w:rPr>
        <w:t xml:space="preserve">処方監査：制吐薬セットの妥当性、</w:t>
      </w:r>
      <w:r>
        <w:rPr>
          <w:rFonts w:ascii="Yu Gothic" w:eastAsia="Yu Gothic"/>
          <w:b/>
          <w:bCs/>
          <w:sz w:val="21"/>
          <w:szCs w:val="21"/>
        </w:rPr>
        <w:t xml:space="preserve">オランザピンの糖尿病禁忌チェック</w:t>
      </w:r>
      <w:r>
        <w:rPr>
          <w:rFonts w:ascii="Yu Gothic" w:eastAsia="Yu Gothic"/>
          <w:b w:val="false"/>
          <w:bCs w:val="false"/>
          <w:sz w:val="21"/>
          <w:szCs w:val="21"/>
        </w:rPr>
        <w:t xml:space="preserve">（本症例：糖尿病なし確認済みであること）、相互作用確認</w:t>
      </w:r>
    </w:p>
    <w:p>
      <w:pPr>
        <w:pStyle w:val="ListParagraph"/>
        <w:numPr>
          <w:ilvl w:val="0"/>
          <w:numId w:val="2"/>
        </w:numPr>
        <w:spacing w:after="80" w:line="300"/>
      </w:pPr>
      <w:r>
        <w:rPr>
          <w:rFonts w:ascii="Yu Gothic" w:eastAsia="Yu Gothic"/>
          <w:b w:val="false"/>
          <w:bCs w:val="false"/>
          <w:sz w:val="21"/>
          <w:szCs w:val="21"/>
        </w:rPr>
        <w:t xml:space="preserve">調製（調製手順書に従う）と投与速度指示（mL/時換算）のダブルチェック支援</w:t>
      </w:r>
    </w:p>
    <w:p>
      <w:pPr>
        <w:pStyle w:val="ListParagraph"/>
        <w:numPr>
          <w:ilvl w:val="0"/>
          <w:numId w:val="2"/>
        </w:numPr>
        <w:spacing w:after="80" w:line="300"/>
      </w:pPr>
      <w:r>
        <w:rPr>
          <w:rFonts w:ascii="Yu Gothic" w:eastAsia="Yu Gothic"/>
          <w:b w:val="false"/>
          <w:bCs w:val="false"/>
          <w:sz w:val="21"/>
          <w:szCs w:val="21"/>
        </w:rPr>
        <w:t xml:space="preserve">患者への服薬指導：オランザピンの服用タイミング（前日夜または当日朝）と眠気、退院後のレスキュー薬の使い方</w:t>
      </w:r>
    </w:p>
    <w:p>
      <w:pPr>
        <w:pStyle w:val="ListParagraph"/>
        <w:numPr>
          <w:ilvl w:val="0"/>
          <w:numId w:val="2"/>
        </w:numPr>
        <w:spacing w:after="80" w:line="300"/>
      </w:pPr>
      <w:r>
        <w:rPr>
          <w:rFonts w:ascii="Yu Gothic" w:eastAsia="Yu Gothic"/>
          <w:b w:val="false"/>
          <w:bCs w:val="false"/>
          <w:sz w:val="21"/>
          <w:szCs w:val="21"/>
        </w:rPr>
        <w:t xml:space="preserve">副作用モニタリングと次回レジメンへの提案（プロトコール見直し含む）</w:t>
      </w:r>
    </w:p>
    <w:p>
      <w:pPr>
        <w:pStyle w:val="Heading2"/>
        <w:spacing w:after="120" w:before="240"/>
      </w:pPr>
      <w:r>
        <w:rPr>
          <w:rFonts w:ascii="Yu Gothic" w:eastAsia="Yu Gothic"/>
          <w:b/>
          <w:bCs/>
          <w:color w:val="1F4E79"/>
          <w:sz w:val="24"/>
          <w:szCs w:val="24"/>
        </w:rPr>
        <w:t xml:space="preserve">看護師</w:t>
      </w:r>
    </w:p>
    <w:p>
      <w:pPr>
        <w:pStyle w:val="ListParagraph"/>
        <w:numPr>
          <w:ilvl w:val="0"/>
          <w:numId w:val="2"/>
        </w:numPr>
        <w:spacing w:after="80" w:line="300"/>
      </w:pPr>
      <w:r>
        <w:rPr>
          <w:rFonts w:ascii="Yu Gothic" w:eastAsia="Yu Gothic"/>
          <w:b w:val="false"/>
          <w:bCs w:val="false"/>
          <w:sz w:val="21"/>
          <w:szCs w:val="21"/>
        </w:rPr>
        <w:t xml:space="preserve">前投薬の確実な実施と実施時刻の記録</w:t>
      </w:r>
    </w:p>
    <w:p>
      <w:pPr>
        <w:pStyle w:val="ListParagraph"/>
        <w:numPr>
          <w:ilvl w:val="0"/>
          <w:numId w:val="2"/>
        </w:numPr>
        <w:spacing w:after="80" w:line="300"/>
      </w:pPr>
      <w:r>
        <w:rPr>
          <w:rFonts w:ascii="Yu Gothic" w:eastAsia="Yu Gothic"/>
          <w:b w:val="false"/>
          <w:bCs w:val="false"/>
          <w:sz w:val="21"/>
          <w:szCs w:val="21"/>
        </w:rPr>
        <w:t xml:space="preserve">投与速度管理（段階増速の実施・記録）と投与中の定期観察（第7章）</w:t>
      </w:r>
    </w:p>
    <w:p>
      <w:pPr>
        <w:pStyle w:val="ListParagraph"/>
        <w:numPr>
          <w:ilvl w:val="0"/>
          <w:numId w:val="2"/>
        </w:numPr>
        <w:spacing w:after="80" w:line="300"/>
      </w:pPr>
      <w:r>
        <w:rPr>
          <w:rFonts w:ascii="Yu Gothic" w:eastAsia="Yu Gothic"/>
          <w:b w:val="false"/>
          <w:bCs w:val="false"/>
          <w:sz w:val="21"/>
          <w:szCs w:val="21"/>
        </w:rPr>
        <w:t xml:space="preserve">発現時の初期対応：減速・中断、医師コール、指示に基づくレスキュー投与、嘔吐時のケア（誤嚥予防の体位、含嗽、環境整備）</w:t>
      </w:r>
    </w:p>
    <w:p>
      <w:pPr>
        <w:pStyle w:val="ListParagraph"/>
        <w:numPr>
          <w:ilvl w:val="0"/>
          <w:numId w:val="2"/>
        </w:numPr>
        <w:spacing w:after="80" w:line="300"/>
      </w:pPr>
      <w:r>
        <w:rPr>
          <w:rFonts w:ascii="Yu Gothic" w:eastAsia="Yu Gothic"/>
          <w:b w:val="false"/>
          <w:bCs w:val="false"/>
          <w:sz w:val="21"/>
          <w:szCs w:val="21"/>
        </w:rPr>
        <w:t xml:space="preserve">患者・家族への声かけと、記録・申し送り（第8章 Step 4）</w:t>
      </w:r>
    </w:p>
    <w:p>
      <w:pPr>
        <w:pStyle w:val="Heading1"/>
        <w:pBdr>
          <w:bottom w:val="single" w:color="1F4E79" w:sz="8" w:space="2"/>
        </w:pBdr>
        <w:spacing w:after="160" w:before="320"/>
      </w:pPr>
      <w:r>
        <w:rPr>
          <w:rFonts w:ascii="Yu Gothic" w:eastAsia="Yu Gothic"/>
          <w:b/>
          <w:bCs/>
          <w:color w:val="1F4E79"/>
          <w:sz w:val="28"/>
          <w:szCs w:val="28"/>
        </w:rPr>
        <w:t xml:space="preserve">11. 患者説明のポイント（初回投与前に必ず実施）</w:t>
      </w:r>
    </w:p>
    <w:p>
      <w:pPr>
        <w:pStyle w:val="ListParagraph"/>
        <w:numPr>
          <w:ilvl w:val="0"/>
          <w:numId w:val="5"/>
        </w:numPr>
        <w:spacing w:after="80" w:line="300"/>
      </w:pPr>
      <w:r>
        <w:rPr>
          <w:rFonts w:ascii="Yu Gothic" w:eastAsia="Yu Gothic"/>
          <w:b w:val="false"/>
          <w:bCs w:val="false"/>
          <w:sz w:val="21"/>
          <w:szCs w:val="21"/>
        </w:rPr>
        <w:t xml:space="preserve">「この薬は</w:t>
      </w:r>
      <w:r>
        <w:rPr>
          <w:rFonts w:ascii="Yu Gothic" w:eastAsia="Yu Gothic"/>
          <w:b/>
          <w:bCs/>
          <w:sz w:val="21"/>
          <w:szCs w:val="21"/>
        </w:rPr>
        <w:t xml:space="preserve">点滴中、特に開始後1時間以内</w:t>
      </w:r>
      <w:r>
        <w:rPr>
          <w:rFonts w:ascii="Yu Gothic" w:eastAsia="Yu Gothic"/>
          <w:b w:val="false"/>
          <w:bCs w:val="false"/>
          <w:sz w:val="21"/>
          <w:szCs w:val="21"/>
        </w:rPr>
        <w:t xml:space="preserve">に吐き気が出やすい薬です。</w:t>
      </w:r>
      <w:r>
        <w:rPr>
          <w:rFonts w:ascii="Yu Gothic" w:eastAsia="Yu Gothic"/>
          <w:b/>
          <w:bCs/>
          <w:sz w:val="21"/>
          <w:szCs w:val="21"/>
        </w:rPr>
        <w:t xml:space="preserve">我慢せず、感じたらすぐ教えてください</w:t>
      </w:r>
      <w:r>
        <w:rPr>
          <w:rFonts w:ascii="Yu Gothic" w:eastAsia="Yu Gothic"/>
          <w:b w:val="false"/>
          <w:bCs w:val="false"/>
          <w:sz w:val="21"/>
          <w:szCs w:val="21"/>
        </w:rPr>
        <w:t xml:space="preserve">。点滴の速度を調整したり薬を追加することで楽にできます。」</w:t>
      </w:r>
    </w:p>
    <w:p>
      <w:pPr>
        <w:pStyle w:val="ListParagraph"/>
        <w:numPr>
          <w:ilvl w:val="0"/>
          <w:numId w:val="5"/>
        </w:numPr>
        <w:spacing w:after="80" w:line="300"/>
      </w:pPr>
      <w:r>
        <w:rPr>
          <w:rFonts w:ascii="Yu Gothic" w:eastAsia="Yu Gothic"/>
          <w:b w:val="false"/>
          <w:bCs w:val="false"/>
          <w:sz w:val="21"/>
          <w:szCs w:val="21"/>
        </w:rPr>
        <w:t xml:space="preserve">「吐き気止めをあらかじめ組み合わせて使います。眠気の出る薬（オランザピン）が含まれるので、ふらつきに注意してください。」</w:t>
      </w:r>
    </w:p>
    <w:p>
      <w:pPr>
        <w:pStyle w:val="ListParagraph"/>
        <w:numPr>
          <w:ilvl w:val="0"/>
          <w:numId w:val="5"/>
        </w:numPr>
        <w:spacing w:after="80" w:line="300"/>
      </w:pPr>
      <w:r>
        <w:rPr>
          <w:rFonts w:ascii="Yu Gothic" w:eastAsia="Yu Gothic"/>
          <w:b w:val="false"/>
          <w:bCs w:val="false"/>
          <w:sz w:val="21"/>
          <w:szCs w:val="21"/>
        </w:rPr>
        <w:t xml:space="preserve">「多くの場合、</w:t>
      </w:r>
      <w:r>
        <w:rPr>
          <w:rFonts w:ascii="Yu Gothic" w:eastAsia="Yu Gothic"/>
          <w:b/>
          <w:bCs/>
          <w:sz w:val="21"/>
          <w:szCs w:val="21"/>
        </w:rPr>
        <w:t xml:space="preserve">初回が最も症状が強く、2回目以降は軽くなります</w:t>
      </w:r>
      <w:r>
        <w:rPr>
          <w:rFonts w:ascii="Yu Gothic" w:eastAsia="Yu Gothic"/>
          <w:b w:val="false"/>
          <w:bCs w:val="false"/>
          <w:sz w:val="21"/>
          <w:szCs w:val="21"/>
        </w:rPr>
        <w:t xml:space="preserve">。」</w:t>
      </w:r>
    </w:p>
    <w:p>
      <w:pPr>
        <w:pStyle w:val="ListParagraph"/>
        <w:numPr>
          <w:ilvl w:val="0"/>
          <w:numId w:val="5"/>
        </w:numPr>
        <w:spacing w:after="80" w:line="300"/>
      </w:pPr>
      <w:r>
        <w:rPr>
          <w:rFonts w:ascii="Yu Gothic" w:eastAsia="Yu Gothic"/>
          <w:b w:val="false"/>
          <w:bCs w:val="false"/>
          <w:sz w:val="21"/>
          <w:szCs w:val="21"/>
        </w:rPr>
        <w:t xml:space="preserve">投与前の食事は軽めに（絶食は不要）。胃の手術後でもあり、少量ずつ分けて食べる。</w:t>
      </w:r>
    </w:p>
    <w:p>
      <w:pPr>
        <w:pStyle w:val="ListParagraph"/>
        <w:numPr>
          <w:ilvl w:val="0"/>
          <w:numId w:val="5"/>
        </w:numPr>
        <w:spacing w:after="80" w:line="300"/>
      </w:pPr>
      <w:r>
        <w:rPr>
          <w:rFonts w:ascii="Yu Gothic" w:eastAsia="Yu Gothic"/>
          <w:b w:val="false"/>
          <w:bCs w:val="false"/>
          <w:sz w:val="21"/>
          <w:szCs w:val="21"/>
        </w:rPr>
        <w:t xml:space="preserve">退院後：吐き気止めの頓用薬の使い方、</w:t>
      </w:r>
      <w:r>
        <w:rPr>
          <w:rFonts w:ascii="Yu Gothic" w:eastAsia="Yu Gothic"/>
          <w:b/>
          <w:bCs/>
          <w:sz w:val="21"/>
          <w:szCs w:val="21"/>
        </w:rPr>
        <w:t xml:space="preserve">嘔吐が続く・水分が取れない場合の連絡先</w:t>
      </w:r>
      <w:r>
        <w:rPr>
          <w:rFonts w:ascii="Yu Gothic" w:eastAsia="Yu Gothic"/>
          <w:b w:val="false"/>
          <w:bCs w:val="false"/>
          <w:sz w:val="21"/>
          <w:szCs w:val="21"/>
        </w:rPr>
        <w:t xml:space="preserve">を説明し文書で渡す。</w:t>
      </w:r>
    </w:p>
    <w:p>
      <w:pPr>
        <w:pStyle w:val="Heading1"/>
        <w:pBdr>
          <w:bottom w:val="single" w:color="1F4E79" w:sz="8" w:space="2"/>
        </w:pBdr>
        <w:spacing w:after="160" w:before="320"/>
      </w:pPr>
      <w:r>
        <w:rPr>
          <w:rFonts w:ascii="Yu Gothic" w:eastAsia="Yu Gothic"/>
          <w:b/>
          <w:bCs/>
          <w:color w:val="1F4E79"/>
          <w:sz w:val="28"/>
          <w:szCs w:val="28"/>
        </w:rPr>
        <w:t xml:space="preserve">12. 本マニュアル運用上の確認事項</w:t>
      </w:r>
    </w:p>
    <w:p>
      <w:pPr>
        <w:pStyle w:val="ListParagraph"/>
        <w:numPr>
          <w:ilvl w:val="0"/>
          <w:numId w:val="2"/>
        </w:numPr>
        <w:spacing w:after="80" w:line="300"/>
      </w:pPr>
      <w:r>
        <w:rPr>
          <w:rFonts w:ascii="Yu Gothic" w:eastAsia="Yu Gothic"/>
          <w:b w:val="false"/>
          <w:bCs w:val="false"/>
          <w:sz w:val="21"/>
          <w:szCs w:val="21"/>
        </w:rPr>
        <w:t xml:space="preserve">デキサメタゾン注は制吐目的での院内採用・レジメン登録を確認のこと（本マニュアルは採用を前提に記載）。</w:t>
      </w:r>
    </w:p>
    <w:p>
      <w:pPr>
        <w:pStyle w:val="ListParagraph"/>
        <w:numPr>
          <w:ilvl w:val="0"/>
          <w:numId w:val="2"/>
        </w:numPr>
        <w:spacing w:after="80" w:line="300"/>
      </w:pPr>
      <w:r>
        <w:rPr>
          <w:rFonts w:ascii="Yu Gothic" w:eastAsia="Yu Gothic"/>
          <w:b w:val="false"/>
          <w:bCs w:val="false"/>
          <w:sz w:val="21"/>
          <w:szCs w:val="21"/>
        </w:rPr>
        <w:t xml:space="preserve">投与速度（mg/m²/時）→ 実際の流量（mL/時）への換算表は、薬剤部が患者ごとの調製量に基づき投与指示に併記する。</w:t>
      </w:r>
    </w:p>
    <w:p>
      <w:pPr>
        <w:pStyle w:val="ListParagraph"/>
        <w:numPr>
          <w:ilvl w:val="0"/>
          <w:numId w:val="2"/>
        </w:numPr>
        <w:spacing w:after="80" w:line="300"/>
      </w:pPr>
      <w:r>
        <w:rPr>
          <w:rFonts w:ascii="Yu Gothic" w:eastAsia="Yu Gothic"/>
          <w:b w:val="false"/>
          <w:bCs w:val="false"/>
          <w:sz w:val="21"/>
          <w:szCs w:val="21"/>
        </w:rPr>
        <w:t xml:space="preserve">本マニュアルは添付文書・適正使用ガイドの改訂、院内での使用経験の蓄積に応じて改訂する。</w:t>
      </w:r>
    </w:p>
    <w:p>
      <w:pPr>
        <w:pStyle w:val="Heading1"/>
        <w:pBdr>
          <w:bottom w:val="single" w:color="1F4E79" w:sz="8" w:space="2"/>
        </w:pBdr>
        <w:spacing w:after="160" w:before="320"/>
      </w:pPr>
      <w:r>
        <w:rPr>
          <w:rFonts w:ascii="Yu Gothic" w:eastAsia="Yu Gothic"/>
          <w:b/>
          <w:bCs/>
          <w:color w:val="1F4E79"/>
          <w:sz w:val="28"/>
          <w:szCs w:val="28"/>
        </w:rPr>
        <w:t xml:space="preserve">13. 参考資料</w:t>
      </w:r>
    </w:p>
    <w:p>
      <w:pPr>
        <w:pStyle w:val="ListParagraph"/>
        <w:numPr>
          <w:ilvl w:val="0"/>
          <w:numId w:val="6"/>
        </w:numPr>
        <w:spacing w:after="80" w:line="300"/>
      </w:pPr>
      <w:r>
        <w:rPr>
          <w:rFonts w:ascii="Yu Gothic" w:eastAsia="Yu Gothic"/>
          <w:b w:val="false"/>
          <w:bCs w:val="false"/>
          <w:sz w:val="21"/>
          <w:szCs w:val="21"/>
        </w:rPr>
        <w:t xml:space="preserve">ビロイ®点滴静注用100 mg 添付文書・適正使用ガイド（アステラス製薬）</w:t>
      </w:r>
    </w:p>
    <w:p>
      <w:pPr>
        <w:pStyle w:val="ListParagraph"/>
        <w:numPr>
          <w:ilvl w:val="0"/>
          <w:numId w:val="6"/>
        </w:numPr>
        <w:spacing w:after="80" w:line="300"/>
      </w:pPr>
      <w:r>
        <w:rPr>
          <w:rFonts w:ascii="Yu Gothic" w:eastAsia="Yu Gothic"/>
          <w:b w:val="false"/>
          <w:bCs w:val="false"/>
          <w:sz w:val="21"/>
          <w:szCs w:val="21"/>
        </w:rPr>
        <w:t xml:space="preserve">日本癌治療学会 制吐薬適正使用ガイドライン（2023年10月改訂 第3版）および同改訂WG「ゾルベツキシマブ併用化学療法への制吐対応に関する見解」（2024年5月）</w:t>
      </w:r>
    </w:p>
    <w:p>
      <w:pPr>
        <w:pStyle w:val="ListParagraph"/>
        <w:numPr>
          <w:ilvl w:val="0"/>
          <w:numId w:val="6"/>
        </w:numPr>
        <w:spacing w:after="80" w:line="300"/>
      </w:pPr>
      <w:r>
        <w:rPr>
          <w:rFonts w:ascii="Yu Gothic" w:eastAsia="Yu Gothic"/>
          <w:b w:val="false"/>
          <w:bCs w:val="false"/>
          <w:sz w:val="21"/>
          <w:szCs w:val="21"/>
        </w:rPr>
        <w:t xml:space="preserve">SPOTLIGHT試験・GLOW試験（第III相）および日本人サブグループ解析</w:t>
      </w:r>
    </w:p>
    <w:p>
      <w:pPr>
        <w:pStyle w:val="ListParagraph"/>
        <w:numPr>
          <w:ilvl w:val="0"/>
          <w:numId w:val="6"/>
        </w:numPr>
        <w:spacing w:after="80" w:line="300"/>
      </w:pPr>
      <w:r>
        <w:rPr>
          <w:rFonts w:ascii="Yu Gothic" w:eastAsia="Yu Gothic"/>
          <w:b w:val="false"/>
          <w:bCs w:val="false"/>
          <w:sz w:val="21"/>
          <w:szCs w:val="21"/>
        </w:rPr>
        <w:t xml:space="preserve">Klempner SJ, et al. Managing zolbetuximab-induced nausea and vomiting. ESMO Gastrointestinal Oncology 2024／RAND/UCLA修正Delphiパネルによるコンセンサスガイダンス 2024</w:t>
      </w:r>
    </w:p>
    <w:p>
      <w:pPr>
        <w:pStyle w:val="ListParagraph"/>
        <w:numPr>
          <w:ilvl w:val="0"/>
          <w:numId w:val="6"/>
        </w:numPr>
        <w:spacing w:after="80" w:line="300"/>
      </w:pPr>
      <w:r>
        <w:rPr>
          <w:rFonts w:ascii="Yu Gothic" w:eastAsia="Yu Gothic"/>
          <w:b w:val="false"/>
          <w:bCs w:val="false"/>
          <w:sz w:val="21"/>
          <w:szCs w:val="21"/>
        </w:rPr>
        <w:t xml:space="preserve">国内先行施設の公開投与マニュアル（北海道がんセンター 2025年5月 第2版 ほか）</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00" w:hanging="250"/>
      </w:pPr>
    </w:lvl>
  </w:abstractNum>
  <w:abstractNum w:abstractNumId="3" w15:restartNumberingAfterBreak="0">
    <w:multiLevelType w:val="hybridMultilevel"/>
    <w:lvl w:ilvl="0" w15:tentative="1">
      <w:start w:val="1"/>
      <w:numFmt w:val="decimal"/>
      <w:lvlText w:val="%1."/>
      <w:lvlJc w:val="start"/>
      <w:pPr>
        <w:ind w:left="500" w:hanging="300"/>
      </w:pPr>
    </w:lvl>
  </w:abstractNum>
  <w:abstractNum w:abstractNumId="4" w15:restartNumberingAfterBreak="0">
    <w:multiLevelType w:val="hybridMultilevel"/>
    <w:lvl w:ilvl="0" w15:tentative="1">
      <w:start w:val="1"/>
      <w:numFmt w:val="decimal"/>
      <w:lvlText w:val="%1."/>
      <w:lvlJc w:val="start"/>
      <w:pPr>
        <w:ind w:left="500" w:hanging="300"/>
      </w:pPr>
    </w:lvl>
  </w:abstractNum>
  <w:abstractNum w:abstractNumId="5" w15:restartNumberingAfterBreak="0">
    <w:multiLevelType w:val="hybridMultilevel"/>
    <w:lvl w:ilvl="0" w15:tentative="1">
      <w:start w:val="1"/>
      <w:numFmt w:val="decimal"/>
      <w:lvlText w:val="%1."/>
      <w:lvlJc w:val="start"/>
      <w:pPr>
        <w:ind w:left="500" w:hanging="300"/>
      </w:pPr>
    </w:lvl>
  </w:abstractNum>
  <w:abstractNum w:abstractNumId="6" w15:restartNumberingAfterBreak="0">
    <w:multiLevelType w:val="hybridMultilevel"/>
    <w:lvl w:ilvl="0" w15:tentative="1">
      <w:start w:val="1"/>
      <w:numFmt w:val="decimal"/>
      <w:lvlText w:val="%1."/>
      <w:lvlJc w:val="star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eastAsia="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2026-08-12T22:06:18.275Z</dcterms:created>
  <dcterms:modified xsi:type="dcterms:W3CDTF">2026-08-12T22:06:18.276Z</dcterms:modified>
</cp:coreProperties>
</file>

<file path=docProps/custom.xml><?xml version="1.0" encoding="utf-8"?>
<Properties xmlns="http://schemas.openxmlformats.org/officeDocument/2006/custom-properties" xmlns:vt="http://schemas.openxmlformats.org/officeDocument/2006/docPropsVTypes"/>
</file>