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de Conformité Réglementaire UE</w:t>
      </w:r>
    </w:p>
    <w:p>
      <w:pPr>
        <w:jc w:val="center"/>
      </w:pPr>
      <w:r>
        <w:rPr>
          <w:i/>
          <w:sz w:val="28"/>
        </w:rPr>
        <w:t>Rapport d'Intelligence Réglementaire</w:t>
      </w:r>
    </w:p>
    <w:p>
      <w:pPr>
        <w:jc w:val="center"/>
      </w:pPr>
      <w:r>
        <w:t>Généré le : 20 August 2026</w:t>
      </w:r>
    </w:p>
    <w:p>
      <w:r>
        <w:br w:type="page"/>
      </w:r>
    </w:p>
    <w:p>
      <w:r/>
      <w:r>
        <w:rPr>
          <w:b/>
        </w:rPr>
        <w:t>Analyse de Conformité Réglementaire UE – Renault</w:t>
      </w:r>
      <w:r/>
    </w:p>
    <w:p>
      <w:r/>
      <w:r>
        <w:rPr>
          <w:i/>
        </w:rPr>
        <w:t>Secteur : Industrie automobile – Focus IA, émissions et reporting de durabilité</w:t>
      </w:r>
      <w:r/>
    </w:p>
    <w:p>
      <w:r>
        <w:t>---</w:t>
      </w:r>
    </w:p>
    <w:p>
      <w:pPr>
        <w:pStyle w:val="Heading2"/>
      </w:pPr>
      <w:r>
        <w:t>1️⃣ PROFIL DE L’ENTREPRISE</w:t>
      </w:r>
    </w:p>
    <w:p>
      <w:r>
        <w:t>| Élément | Description |</w:t>
      </w:r>
    </w:p>
    <w:p>
      <w:r>
        <w:t>|---|---|</w:t>
      </w:r>
    </w:p>
    <w:p>
      <w:r>
        <w:t xml:space="preserve">| </w:t>
      </w:r>
      <w:r>
        <w:rPr>
          <w:b/>
        </w:rPr>
        <w:t>Nom</w:t>
      </w:r>
      <w:r>
        <w:t xml:space="preserve"> | Renault S.A. |</w:t>
      </w:r>
    </w:p>
    <w:p>
      <w:r>
        <w:t xml:space="preserve">| </w:t>
      </w:r>
      <w:r>
        <w:rPr>
          <w:b/>
        </w:rPr>
        <w:t>Activités principales</w:t>
      </w:r>
      <w:r>
        <w:t xml:space="preserve"> | Conception, fabrication, assemblage et commercialisation de véhicules (voitures particulières, utilitaires, véhicules électriques et hybrides) ; services de mobilité connectée (télémétrie, logiciels embarqués, IA pour conduite assistée et autonome). |</w:t>
      </w:r>
    </w:p>
    <w:p>
      <w:r>
        <w:t xml:space="preserve">| </w:t>
      </w:r>
      <w:r>
        <w:rPr>
          <w:b/>
        </w:rPr>
        <w:t>Classification sectorielle</w:t>
      </w:r>
      <w:r>
        <w:t xml:space="preserve"> | NACE Rev.2 : 2910 – Construction de véhicules automobiles, remorques et carrosseries. |</w:t>
      </w:r>
    </w:p>
    <w:p>
      <w:r>
        <w:t xml:space="preserve">| </w:t>
      </w:r>
      <w:r>
        <w:rPr>
          <w:b/>
        </w:rPr>
        <w:t>Couverture géographique UE</w:t>
      </w:r>
      <w:r>
        <w:t xml:space="preserve"> | Usines de production (France, Espagne, Slovénie, Maroc – hors UE, mais exportation UE), centres R&amp;D (France, Allemagne, Suède, Italie), réseaux de distribution dans 27 États membres. |</w:t>
      </w:r>
    </w:p>
    <w:p>
      <w:r>
        <w:t>---</w:t>
      </w:r>
    </w:p>
    <w:p>
      <w:pPr>
        <w:pStyle w:val="Heading2"/>
      </w:pPr>
      <w:r>
        <w:t>2️⃣ CARTOGRAPHIE RÉGLEMENTAIRE</w:t>
      </w:r>
    </w:p>
    <w:p>
      <w:pPr>
        <w:pStyle w:val="Heading3"/>
      </w:pPr>
      <w:r>
        <w:t>2.1. Tableau synthétique des textes applicables (IA, émissions, durabilité)</w:t>
      </w:r>
    </w:p>
    <w:p>
      <w:r>
        <w:t>| Domaine | Règlement / Directive | Référence | Publication | Entrée en vigueur / Phase | Principales exigences pour Renault |</w:t>
      </w:r>
    </w:p>
    <w:p>
      <w:r>
        <w:t>|---|---|---|---|---|---|</w:t>
      </w:r>
    </w:p>
    <w:p>
      <w:r>
        <w:t xml:space="preserve">| </w:t>
      </w:r>
      <w:r>
        <w:rPr>
          <w:b/>
        </w:rPr>
        <w:t>IA &amp; Numérique</w:t>
      </w:r>
      <w:r>
        <w:t xml:space="preserve"> | </w:t>
      </w:r>
      <w:r>
        <w:rPr>
          <w:b/>
        </w:rPr>
        <w:t>Règlement IA (Artificial Intelligence Act)</w:t>
      </w:r>
      <w:r>
        <w:t xml:space="preserve"> | COM/2021/206 final (proposé) – en cours de procédure législative (prévu 2024‑2025). | 21 avril 2021 | Application prévue 2026 (phase transitoire 2024‑2025). | • Classification des systèmes IA (haute, limite, minimale). &lt;br&gt;• Obligations de conformité (gestion des risques, documentation technique, surveillance post‑mise sur le marché). &lt;br&gt;• Évaluation d’impact (EU AI‑Risk Assessment). &lt;br&gt;• Inscription au registre UE des systèmes IA à haut risque. |</w:t>
      </w:r>
    </w:p>
    <w:p>
      <w:r>
        <w:t xml:space="preserve">|  | </w:t>
      </w:r>
      <w:r>
        <w:rPr>
          <w:b/>
        </w:rPr>
        <w:t>Règlement sur les services numériques (Digital Services Act – DSA)</w:t>
      </w:r>
      <w:r>
        <w:t xml:space="preserve"> | Règ. (UE) 2022/2065 | 16 déc 2022 | 16 févr 2024 (plateformes en ligne). | • Responsabilité des services de plateforme (ex. services de mise à disposition d’applications tierces dans les véhicules connectés). &lt;br&gt;• Obligation de transparence sur les algorithmes de recommandation. |</w:t>
      </w:r>
    </w:p>
    <w:p>
      <w:r>
        <w:t xml:space="preserve">|  | </w:t>
      </w:r>
      <w:r>
        <w:rPr>
          <w:b/>
        </w:rPr>
        <w:t>Règlement ePrivacy (proposé)</w:t>
      </w:r>
      <w:r>
        <w:t xml:space="preserve"> | COM/2023/0018 | 2023 | En cours – adoption attendue 2025‑2026. | • Consentement explicite pour le suivi des données de localisation et de télémétrie dans les véhicules connectés. |</w:t>
      </w:r>
    </w:p>
    <w:p>
      <w:r>
        <w:t xml:space="preserve">| </w:t>
      </w:r>
      <w:r>
        <w:rPr>
          <w:b/>
        </w:rPr>
        <w:t>Émissions &amp; Environnement</w:t>
      </w:r>
      <w:r>
        <w:t xml:space="preserve"> | </w:t>
      </w:r>
      <w:r>
        <w:rPr>
          <w:b/>
        </w:rPr>
        <w:t>Règlement sur les émissions de CO₂ des voitures neuves</w:t>
      </w:r>
      <w:r>
        <w:t xml:space="preserve"> | Règ. (UE) 2019/631 (modifié par Règ. 2023/1151) | 12 juil 2019 / 27 nov 2023 | 1 jan 2020 – 2035 (cibles progressives). | • Limites d’émissions (95 g CO₂/km 2020 → 59 g 2030, 0 g 2035). &lt;br&gt;• Obligations de reporting annuel (déclaration de conformité, certification). |</w:t>
      </w:r>
    </w:p>
    <w:p>
      <w:r>
        <w:t xml:space="preserve">|  | </w:t>
      </w:r>
      <w:r>
        <w:rPr>
          <w:b/>
        </w:rPr>
        <w:t>Directive 2007/46/CE – Type-Approval</w:t>
      </w:r>
      <w:r>
        <w:t xml:space="preserve"> (modifiée par Règ. EU 2018/858) | Règ. (UE) 2018/858 | 30 jan 2018 | 2021‑2024 (phase transitoire). | • Homologation des véhicules (sécurité, émissions, cybersécurité). &lt;br&gt;• Intégration de logiciels embarqués et IA dans le processus d’homologation. |</w:t>
      </w:r>
    </w:p>
    <w:p>
      <w:r>
        <w:t xml:space="preserve">|  | </w:t>
      </w:r>
      <w:r>
        <w:rPr>
          <w:b/>
        </w:rPr>
        <w:t>Règlement sur les carburants alternatifs (Renewable Energy Directive – RED II)</w:t>
      </w:r>
      <w:r>
        <w:t xml:space="preserve"> | Directive 2009/28/CE (modifiée) | 2009 | 1 jan 2021 (révision en cours). | • Quotas de carburants renouvelables, exigences de traçabilité. |</w:t>
      </w:r>
    </w:p>
    <w:p>
      <w:r>
        <w:t xml:space="preserve">| </w:t>
      </w:r>
      <w:r>
        <w:rPr>
          <w:b/>
        </w:rPr>
        <w:t>Durabilité &amp; Reporting</w:t>
      </w:r>
      <w:r>
        <w:t xml:space="preserve"> | </w:t>
      </w:r>
      <w:r>
        <w:rPr>
          <w:b/>
        </w:rPr>
        <w:t>Corporate Sustainability Reporting Directive (CSRD)</w:t>
      </w:r>
      <w:r>
        <w:t xml:space="preserve"> | Directive 2022/2464 | 5 juin 2022 | Application progressive 2024‑2026 (grandes entreprises). Renault, en tant que société cotée, doit publier à partir de 2025 (exercice 2024). |</w:t>
      </w:r>
    </w:p>
    <w:p>
      <w:r>
        <w:t xml:space="preserve">|  | </w:t>
      </w:r>
      <w:r>
        <w:rPr>
          <w:b/>
        </w:rPr>
        <w:t>Taxonomie verte UE</w:t>
      </w:r>
      <w:r>
        <w:t xml:space="preserve"> | Règ. (UE) 2020/852 + Règ. (UE) 2021/2139 (développement) | 18 juin 2020 / 21 juil 2021 | 2022‑2024 (déclarations annuelles). | • Classification des activités économiques (production de véhicules électriques, batteries) comme durables selon critères de performance environnementale. |</w:t>
      </w:r>
    </w:p>
    <w:p>
      <w:r>
        <w:t xml:space="preserve">|  | </w:t>
      </w:r>
      <w:r>
        <w:rPr>
          <w:b/>
        </w:rPr>
        <w:t>European Climate Law (2021) – objectif net‑zéro 2050</w:t>
      </w:r>
      <w:r>
        <w:t xml:space="preserve"> | Règ. (UE) 2021/1119 | 4 juil 2021 | 2021‑2050 | • Objectifs de réduction des émissions de GES à l’échelle du groupe ; alignement du plan stratégique. |</w:t>
      </w:r>
    </w:p>
    <w:p>
      <w:r>
        <w:t xml:space="preserve">|  | </w:t>
      </w:r>
      <w:r>
        <w:rPr>
          <w:b/>
        </w:rPr>
        <w:t>Règlement sur la due‑diligence en chaîne d'approvisionnement (Corporate Due‑Diligence Directive – CDD‑D)</w:t>
      </w:r>
      <w:r>
        <w:t xml:space="preserve"> | Proposition COM/2023/0018 (en cours). | 2023 | Adoption prévue 2025‑2026. | • Identification, prévention et atténuation des impacts RSE dans la chaîne d'approvisionnement (ex. minerais de batterie, fournisseurs de pièces). |</w:t>
      </w:r>
    </w:p>
    <w:p>
      <w:r>
        <w:t xml:space="preserve">| </w:t>
      </w:r>
      <w:r>
        <w:rPr>
          <w:b/>
        </w:rPr>
        <w:t>Sécurité des produits &amp; Cybersécurité</w:t>
      </w:r>
      <w:r>
        <w:t xml:space="preserve"> | </w:t>
      </w:r>
      <w:r>
        <w:rPr>
          <w:b/>
        </w:rPr>
        <w:t>Règlement sur la cybersécurité des produits (Cybersecurity Act)</w:t>
      </w:r>
      <w:r>
        <w:t xml:space="preserve"> | Règ. (UE) 2019/881 | 17 juil 2019 | 2021‑2022 (certification UE). | • Certification de cybersécurité pour les systèmes embarqués IA, exigences de mise à jour et de résilience. |</w:t>
      </w:r>
    </w:p>
    <w:p>
      <w:r>
        <w:t xml:space="preserve">|  | </w:t>
      </w:r>
      <w:r>
        <w:rPr>
          <w:b/>
        </w:rPr>
        <w:t>Directive sur les déchets d'équipements électriques et électroniques (WEEE)</w:t>
      </w:r>
      <w:r>
        <w:t xml:space="preserve"> | Directive 2012/19/UE (modifiée) | 4 jul 2012 | 2018‑2023 (mise à jour). | • Gestion du recyclage des véhicules en fin de vie, obligations de collecte et de reporting. |</w:t>
      </w:r>
    </w:p>
    <w:p>
      <w:r>
        <w:t xml:space="preserve">&gt; </w:t>
      </w:r>
      <w:r>
        <w:rPr>
          <w:b/>
        </w:rPr>
        <w:t>Note</w:t>
      </w:r>
      <w:r>
        <w:t xml:space="preserve"> : Les textes en cours de procédure législative (AI Act, ePrivacy, CDD‑D) sont indiqués avec les dates prévues de mise en application, mais restent sujets à modification lors du trialogue.</w:t>
      </w:r>
    </w:p>
    <w:p>
      <w:r>
        <w:t>---</w:t>
      </w:r>
    </w:p>
    <w:p>
      <w:pPr>
        <w:pStyle w:val="Heading2"/>
      </w:pPr>
      <w:r>
        <w:t>3️⃣ ÉVALUATION DES RISQUES DE CONFORMITÉ</w:t>
      </w:r>
    </w:p>
    <w:p>
      <w:r>
        <w:t>| Risque | Réglementation concernée | Criticité* | Lacunes potentielles | Sanctions possibles |</w:t>
      </w:r>
    </w:p>
    <w:p>
      <w:r>
        <w:t>|---|---|---|---|---|</w:t>
      </w:r>
    </w:p>
    <w:p>
      <w:r>
        <w:t xml:space="preserve">| </w:t>
      </w:r>
      <w:r>
        <w:rPr>
          <w:b/>
        </w:rPr>
        <w:t>IA à haut risque (conduite autonome, assistance avancée)</w:t>
      </w:r>
      <w:r>
        <w:t xml:space="preserve"> | AI Act (haute‑risque) | Élevée | • Documentation technique incomplète. &lt;br&gt;• Absence de système de gouvernance IA (comité d’éthique). &lt;br&gt;• Insuffisance de la surveillance post‑déploiement. | Amendes jusqu’à 6 % du chiffre d’affaires mondial (CA) ou 30 M €, selon le texte final. |</w:t>
      </w:r>
    </w:p>
    <w:p>
      <w:r>
        <w:t xml:space="preserve">| </w:t>
      </w:r>
      <w:r>
        <w:rPr>
          <w:b/>
        </w:rPr>
        <w:t>Non‑respect des limites CO₂</w:t>
      </w:r>
      <w:r>
        <w:t xml:space="preserve"> | Règ. (UE) 2019/631 + 2023/1151 | Élevée | • Déviation des objectifs 2030/2035. &lt;br&gt;• Méthodes de calcul des émissions non alignées (dérogations). | Amendes administratives (jusqu’à 1 % du CA) + restrictions d’accès au marché UE. |</w:t>
      </w:r>
    </w:p>
    <w:p>
      <w:r>
        <w:t xml:space="preserve">| </w:t>
      </w:r>
      <w:r>
        <w:rPr>
          <w:b/>
        </w:rPr>
        <w:t>Déficit de reporting CSRD / Taxonomie</w:t>
      </w:r>
      <w:r>
        <w:t xml:space="preserve"> | CSRD, Taxonomie UE | Moyenne | • Données ESG non vérifiées. &lt;br&gt;• Classification Taxonomie incertaine (ex. batterie). | Amendes (jusqu’à 2 % du CA) + risque réputationnel. |</w:t>
      </w:r>
    </w:p>
    <w:p>
      <w:r>
        <w:t xml:space="preserve">| </w:t>
      </w:r>
      <w:r>
        <w:rPr>
          <w:b/>
        </w:rPr>
        <w:t>Cybersécurité des systèmes IA embarqués</w:t>
      </w:r>
      <w:r>
        <w:t xml:space="preserve"> | Cybersecurity Act | Moyenne | • Certification CE non obtenue pour certaines versions logicielles. &lt;br&gt;• Processus de mise à jour OTA (over‑the‑air) non conformes. | Retrait du marché, sanctions financières, obligations de rappel. |</w:t>
      </w:r>
    </w:p>
    <w:p>
      <w:r>
        <w:t xml:space="preserve">| </w:t>
      </w:r>
      <w:r>
        <w:rPr>
          <w:b/>
        </w:rPr>
        <w:t>Obligations de due‑diligence chaîne d’approvisionnement</w:t>
      </w:r>
      <w:r>
        <w:t xml:space="preserve"> | CDD‑D (proposition) | Faible‑Moyenne (en attente) | • Traçabilité des minerais de batteries, fournisseurs critiques. | Amendes (jusqu’à 0,5 % du CA) + actions en justice. |</w:t>
      </w:r>
    </w:p>
    <w:p>
      <w:r>
        <w:t xml:space="preserve">| </w:t>
      </w:r>
      <w:r>
        <w:rPr>
          <w:b/>
        </w:rPr>
        <w:t>Non‑conformité ePrivacy (télémétrie véhicules)</w:t>
      </w:r>
      <w:r>
        <w:t xml:space="preserve"> | ePrivacy (proposé) | Faible‑Moyenne | • Consentement utilisateur non explicite pour collecte de données de localisation. | Amendes jusqu’à 4 % du CA (similaire RGPD). |</w:t>
      </w:r>
    </w:p>
    <w:p>
      <w:r>
        <w:t>\*Criticité évaluée selon l’impact potentiel sur le business, la probabilité d’occurrence et la sévérité des sanctions.</w:t>
      </w:r>
    </w:p>
    <w:p>
      <w:r>
        <w:t>---</w:t>
      </w:r>
    </w:p>
    <w:p>
      <w:pPr>
        <w:pStyle w:val="Heading2"/>
      </w:pPr>
      <w:r>
        <w:t>4️⃣ DOMAINES RÉGLEMENTAIRES PRINCIPAUX – Détails et Conseils Actionnables</w:t>
      </w:r>
    </w:p>
    <w:p>
      <w:pPr>
        <w:pStyle w:val="Heading3"/>
      </w:pPr>
      <w:r>
        <w:t>4.1. **Protection des données – RGPD &amp; ePrivacy**</w:t>
      </w:r>
    </w:p>
    <w:p>
      <w:r>
        <w:t>| Exigence clé | Application à Renault | Action immédiate |</w:t>
      </w:r>
    </w:p>
    <w:p>
      <w:r>
        <w:t>|---|---|---|</w:t>
      </w:r>
    </w:p>
    <w:p>
      <w:r>
        <w:t>| Consentement éclairé &amp; droit d’accès | Données de télémétrie, services connectés, profils conducteur. | - Mettre à jour les UI/UX des systèmes d’infodivertissement pour inclure un consentement granulaire (Article 7 RGPD). &lt;br&gt;- Implémenter un portail client « My Data » (Article 15‑20). |</w:t>
      </w:r>
    </w:p>
    <w:p>
      <w:r>
        <w:t>| Minimisation &amp; limitation de finalité | Collecte de données pour IA (ex. ADAS). | - Réaliser un Data‑Mapping (Article 30). &lt;br&gt;- Définir des DPIA (Data Protection Impact Assessment) pour chaque fonction IA (Article 35). |</w:t>
      </w:r>
    </w:p>
    <w:p>
      <w:r>
        <w:t>| Notification de violation | Risques de cyber‑attaque sur véhicules connectés. | - Élaborer un plan de réponse aux incidents (72 h) conforme à l’Article 33. |</w:t>
      </w:r>
    </w:p>
    <w:p>
      <w:r>
        <w:t>| ePrivacy (proposé) | Suivi en temps réel, géolocalisation. | - Préparer un mécanisme de consentement « opt‑in » avant le lancement de nouvelles fonctionnalités de suivi. |</w:t>
      </w:r>
    </w:p>
    <w:p>
      <w:pPr>
        <w:pStyle w:val="Heading3"/>
      </w:pPr>
      <w:r>
        <w:t>4.2. **IA &amp; Numérique – AI Act &amp; DSA**</w:t>
      </w:r>
    </w:p>
    <w:p>
      <w:r>
        <w:t>| Exigence | Impact sur Renault | Mesure concrète |</w:t>
      </w:r>
    </w:p>
    <w:p>
      <w:r>
        <w:t>|---|---|---|</w:t>
      </w:r>
    </w:p>
    <w:p>
      <w:r>
        <w:t xml:space="preserve">| Classification des systèmes IA | Systèmes de conduite assistée (niveau 2‑3) considérés comme </w:t>
      </w:r>
      <w:r>
        <w:rPr>
          <w:b/>
        </w:rPr>
        <w:t>haute‑risque</w:t>
      </w:r>
      <w:r>
        <w:t xml:space="preserve"> (Art. 6‑9). | - Créer un registre interne des IA (type, usage, niveau de risque). &lt;br&gt;- Nommer un </w:t>
      </w:r>
      <w:r>
        <w:rPr>
          <w:i/>
        </w:rPr>
        <w:t>AI Compliance Officer</w:t>
      </w:r>
      <w:r>
        <w:t xml:space="preserve"> (Art. 13). |</w:t>
      </w:r>
    </w:p>
    <w:p>
      <w:r>
        <w:t xml:space="preserve">| Documentation technique &amp; audit | Besoin de dossier complet (architecture, dataset, tests). | - Déployer un </w:t>
      </w:r>
      <w:r>
        <w:rPr>
          <w:b/>
        </w:rPr>
        <w:t>AI Lifecycle Management Platform</w:t>
      </w:r>
      <w:r>
        <w:t xml:space="preserve"> (exigences Art. 11‑12). |</w:t>
      </w:r>
    </w:p>
    <w:p>
      <w:r>
        <w:t>| Surveillance post‑marché | Monitoring continu des performances et incidents. | - Mettre en place un tableau de bord KPI IA (taux de détection d’anomalies, incidents de sécurité). |</w:t>
      </w:r>
    </w:p>
    <w:p>
      <w:r>
        <w:t>| Transparence des algorithmes (DSA) | Plateformes de services connectés (R-Link, Renault‑Connect). | - Publier une notice d’explicabilité (Art. 10‑12 DSA) accessible aux usagers. |</w:t>
      </w:r>
    </w:p>
    <w:p>
      <w:r>
        <w:t xml:space="preserve">| Conformité cybersécurité (Cybersecurity Act) | Logiciels embarqués, OTA. | - Obtenir la </w:t>
      </w:r>
      <w:r>
        <w:rPr>
          <w:b/>
        </w:rPr>
        <w:t>Certification UE de cybersécurité</w:t>
      </w:r>
      <w:r>
        <w:t xml:space="preserve"> (EN 50581) pour chaque version majeure. &lt;br&gt;- Formaliser un processus de mise à jour sécurisé (signatures numériques, Art. 9). |</w:t>
      </w:r>
    </w:p>
    <w:p>
      <w:pPr>
        <w:pStyle w:val="Heading3"/>
      </w:pPr>
      <w:r>
        <w:t>4.3. **Environnement – Emissions, CSRD, Taxonomie, Green Deal**</w:t>
      </w:r>
    </w:p>
    <w:p>
      <w:r>
        <w:t>| Exigence | Application | Action recommandée |</w:t>
      </w:r>
    </w:p>
    <w:p>
      <w:r>
        <w:t>|---|---|---|</w:t>
      </w:r>
    </w:p>
    <w:p>
      <w:r>
        <w:t xml:space="preserve">| Limites CO₂ (95 → 59 g km⁻¹) | Tous les modèles vendus UE. | - Accélérer le </w:t>
      </w:r>
      <w:r>
        <w:rPr>
          <w:b/>
        </w:rPr>
        <w:t>programme “Electrify Europe”</w:t>
      </w:r>
      <w:r>
        <w:t xml:space="preserve"> : objectif 50 % de VAE (véhicules à énergie) d’ici 2030. &lt;br&gt;- Utiliser des </w:t>
      </w:r>
      <w:r>
        <w:rPr>
          <w:b/>
        </w:rPr>
        <w:t>facteurs d’émission standardisés</w:t>
      </w:r>
      <w:r>
        <w:t xml:space="preserve"> (Euro‑stat, REACH). |</w:t>
      </w:r>
    </w:p>
    <w:p>
      <w:r>
        <w:t xml:space="preserve">| Reporting CSRD | Déclaration ESG consolidée (2025). | - Mettre en place un </w:t>
      </w:r>
      <w:r>
        <w:rPr>
          <w:b/>
        </w:rPr>
        <w:t>Data Warehouse ESG</w:t>
      </w:r>
      <w:r>
        <w:t xml:space="preserve"> aligné aux normes EFRAG (ESRS). &lt;br&gt;- Nommer un </w:t>
      </w:r>
      <w:r>
        <w:rPr>
          <w:i/>
        </w:rPr>
        <w:t>Chief Sustainability Officer</w:t>
      </w:r>
      <w:r>
        <w:t xml:space="preserve"> (CSO) chargé du reporting. |</w:t>
      </w:r>
    </w:p>
    <w:p>
      <w:r>
        <w:t xml:space="preserve">| Taxonomie verte | Classification des activités “Manufacturing of electric vehicles” comme durable (Art. 3‑4). | - Calculer le </w:t>
      </w:r>
      <w:r>
        <w:rPr>
          <w:b/>
        </w:rPr>
        <w:t>pourcentage d’actifs</w:t>
      </w:r>
      <w:r>
        <w:t xml:space="preserve"> (capex, opex) qui répond aux critères Taxonomie. &lt;br&gt;- Publier les déclarations Taxonomie dans le rapport annuel. |</w:t>
      </w:r>
    </w:p>
    <w:p>
      <w:r>
        <w:t xml:space="preserve">| Gestion des déchets (WEEE) | Fin de vie des véhicules. | - Renforcer les accords avec des </w:t>
      </w:r>
      <w:r>
        <w:rPr>
          <w:b/>
        </w:rPr>
        <w:t>recyclers agréés</w:t>
      </w:r>
      <w:r>
        <w:t xml:space="preserve">. &lt;br&gt;- Implémenter le </w:t>
      </w:r>
      <w:r>
        <w:rPr>
          <w:b/>
        </w:rPr>
        <w:t>tracking des pièces</w:t>
      </w:r>
      <w:r>
        <w:t xml:space="preserve"> (numéro de série) pour le recyclage. |</w:t>
      </w:r>
    </w:p>
    <w:p>
      <w:r>
        <w:t xml:space="preserve">| Green Deal – Objectif net‑zéro 2050 | Stratégie de réduction globale du groupe. | - Définir une feuille de route </w:t>
      </w:r>
      <w:r>
        <w:rPr>
          <w:b/>
        </w:rPr>
        <w:t>Science‑Based Targets</w:t>
      </w:r>
      <w:r>
        <w:t xml:space="preserve"> (SBTi). &lt;br&gt;- Intégrer les objectifs dans le </w:t>
      </w:r>
      <w:r>
        <w:rPr>
          <w:b/>
        </w:rPr>
        <w:t>Plan Stratégique 2024‑2030</w:t>
      </w:r>
      <w:r>
        <w:t>. |</w:t>
      </w:r>
    </w:p>
    <w:p>
      <w:pPr>
        <w:pStyle w:val="Heading3"/>
      </w:pPr>
      <w:r>
        <w:t>4.4. **Sécurité des produits – Homologation &amp; CE Mark**</w:t>
      </w:r>
    </w:p>
    <w:p>
      <w:r>
        <w:t>| Exigence | Impact | Action |</w:t>
      </w:r>
    </w:p>
    <w:p>
      <w:r>
        <w:t>|---|---|---|</w:t>
      </w:r>
    </w:p>
    <w:p>
      <w:r>
        <w:t>| Type‑Approval (Règ. 2018/858) | Nécessite validation des fonctions IA et cybersécurité avant mise sur le marché. | - Aligner les</w:t>
      </w:r>
    </w:p>
    <w:p>
      <w:r>
        <w:br w:type="page"/>
      </w:r>
    </w:p>
    <w:p>
      <w:pPr>
        <w:pStyle w:val="Heading2"/>
      </w:pPr>
      <w:r>
        <w:t>Informations du Document</w:t>
      </w:r>
    </w:p>
    <w:p>
      <w:pPr>
        <w:pStyle w:val="Caption"/>
      </w:pPr>
      <w:r>
        <w:t>Généré le : 20-08-2026 15:26:07</w:t>
      </w:r>
    </w:p>
    <w:p>
      <w:pPr>
        <w:pStyle w:val="Caption"/>
      </w:pPr>
      <w:r>
        <w:t>Source : Sources officielles UE (eur-lex.europa.eu, ec.europa.eu)</w:t>
      </w:r>
    </w:p>
    <w:p>
      <w:pPr>
        <w:pStyle w:val="Caption"/>
      </w:pPr>
      <w:r>
        <w:t>Avertissement : Ce rapport est à des fins d'information uniquement.</w:t>
      </w:r>
    </w:p>
    <w:p>
      <w:pPr>
        <w:pStyle w:val="Caption"/>
      </w:pPr>
      <w:r>
        <w:t>Recommandation : Consultez un conseil juridique pour des questions de conformité spécifiques.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