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Assignment 2 - Git &amp; GitHub Fundamentals</w:t>
      </w:r>
    </w:p>
    <w:p>
      <w:pPr>
        <w:jc w:val="center"/>
      </w:pPr>
      <w:r>
        <w:rPr>
          <w:b/>
          <w:sz w:val="28"/>
        </w:rPr>
        <w:t>Group Report</w:t>
      </w:r>
    </w:p>
    <w:p>
      <w:pPr>
        <w:jc w:val="center"/>
      </w:pPr>
      <w:r>
        <w:rPr>
          <w:b w:val="0"/>
          <w:sz w:val="24"/>
        </w:rPr>
        <w:t>GitHub Collaboration &amp; Automation</w:t>
      </w:r>
    </w:p>
    <w:p>
      <w:pPr>
        <w:jc w:val="center"/>
      </w:pPr>
      <w:r>
        <w:rPr>
          <w:b w:val="0"/>
          <w:sz w:val="28"/>
        </w:rPr>
        <w:t>Unit Converter</w:t>
      </w:r>
    </w:p>
    <w:p/>
    <w:tbl>
      <w:tblPr>
        <w:tblStyle w:val="TableGrid"/>
        <w:tblW w:type="auto" w:w="0"/>
        <w:jc w:val="center"/>
        <w:tblLayout w:type="fixed"/>
        <w:tblLook w:firstColumn="1" w:firstRow="1" w:lastColumn="0" w:lastRow="0" w:noHBand="0" w:noVBand="1" w:val="04A0"/>
      </w:tblPr>
      <w:tblGrid>
        <w:gridCol w:w="2448"/>
        <w:gridCol w:w="6480"/>
      </w:tblGrid>
      <w:tr>
        <w:trPr>
          <w:tblHeader w:val="true"/>
          <w:cantSplit/>
        </w:trPr>
        <w:tc>
          <w:tcPr>
            <w:tcW w:type="dxa" w:w="2448"/>
            <w:vAlign w:val="center"/>
          </w:tcPr>
          <w:p>
            <w:pPr>
              <w:spacing w:line="252" w:lineRule="auto" w:after="80" w:before="80"/>
            </w:pPr>
            <w:r>
              <w:rPr>
                <w:rFonts w:ascii="Times New Roman" w:hAnsi="Times New Roman"/>
                <w:b/>
                <w:color w:val="000000"/>
                <w:sz w:val="21"/>
              </w:rPr>
              <w:t>Field</w:t>
            </w:r>
          </w:p>
        </w:tc>
        <w:tc>
          <w:tcPr>
            <w:tcW w:type="dxa" w:w="6480"/>
            <w:vAlign w:val="center"/>
          </w:tcPr>
          <w:p>
            <w:pPr>
              <w:spacing w:line="252" w:lineRule="auto" w:after="80" w:before="80"/>
            </w:pPr>
            <w:r>
              <w:rPr>
                <w:rFonts w:ascii="Times New Roman" w:hAnsi="Times New Roman"/>
                <w:b/>
                <w:color w:val="000000"/>
                <w:sz w:val="21"/>
              </w:rPr>
              <w:t>Details</w:t>
            </w:r>
          </w:p>
        </w:tc>
      </w:tr>
      <w:tr>
        <w:trPr>
          <w:cantSplit/>
        </w:trPr>
        <w:tc>
          <w:tcPr>
            <w:tcW w:type="dxa" w:w="2448"/>
            <w:vAlign w:val="center"/>
          </w:tcPr>
          <w:p>
            <w:pPr>
              <w:spacing w:line="252" w:lineRule="auto" w:after="80" w:before="80"/>
            </w:pPr>
            <w:r>
              <w:rPr>
                <w:rFonts w:ascii="Times New Roman" w:hAnsi="Times New Roman"/>
                <w:b w:val="0"/>
                <w:color w:val="000000"/>
                <w:sz w:val="21"/>
              </w:rPr>
              <w:t>Group Size</w:t>
            </w:r>
          </w:p>
        </w:tc>
        <w:tc>
          <w:tcPr>
            <w:tcW w:type="dxa" w:w="6480"/>
            <w:vAlign w:val="center"/>
          </w:tcPr>
          <w:p>
            <w:pPr>
              <w:spacing w:line="252" w:lineRule="auto" w:after="80" w:before="80"/>
            </w:pPr>
            <w:r>
              <w:rPr>
                <w:rFonts w:ascii="Times New Roman" w:hAnsi="Times New Roman"/>
                <w:b w:val="0"/>
                <w:color w:val="000000"/>
                <w:sz w:val="21"/>
              </w:rPr>
              <w:t>2 members</w:t>
            </w:r>
          </w:p>
        </w:tc>
      </w:tr>
      <w:tr>
        <w:trPr>
          <w:cantSplit/>
        </w:trPr>
        <w:tc>
          <w:tcPr>
            <w:tcW w:type="dxa" w:w="2448"/>
            <w:vAlign w:val="center"/>
          </w:tcPr>
          <w:p>
            <w:pPr>
              <w:spacing w:line="252" w:lineRule="auto" w:after="80" w:before="80"/>
            </w:pPr>
            <w:r>
              <w:rPr>
                <w:rFonts w:ascii="Times New Roman" w:hAnsi="Times New Roman"/>
                <w:b w:val="0"/>
                <w:color w:val="000000"/>
                <w:sz w:val="21"/>
              </w:rPr>
              <w:t>Chosen Theme</w:t>
            </w:r>
          </w:p>
        </w:tc>
        <w:tc>
          <w:tcPr>
            <w:tcW w:type="dxa" w:w="6480"/>
            <w:vAlign w:val="center"/>
          </w:tcPr>
          <w:p>
            <w:pPr>
              <w:spacing w:line="252" w:lineRule="auto" w:after="80" w:before="80"/>
            </w:pPr>
            <w:r>
              <w:rPr>
                <w:rFonts w:ascii="Times New Roman" w:hAnsi="Times New Roman"/>
                <w:b w:val="0"/>
                <w:color w:val="000000"/>
                <w:sz w:val="21"/>
              </w:rPr>
              <w:t>Unit Converter</w:t>
            </w:r>
          </w:p>
        </w:tc>
      </w:tr>
      <w:tr>
        <w:trPr>
          <w:cantSplit/>
        </w:trPr>
        <w:tc>
          <w:tcPr>
            <w:tcW w:type="dxa" w:w="2448"/>
            <w:vAlign w:val="center"/>
          </w:tcPr>
          <w:p>
            <w:pPr>
              <w:spacing w:line="252" w:lineRule="auto" w:after="80" w:before="80"/>
            </w:pPr>
            <w:r>
              <w:rPr>
                <w:rFonts w:ascii="Times New Roman" w:hAnsi="Times New Roman"/>
                <w:b w:val="0"/>
                <w:color w:val="000000"/>
                <w:sz w:val="21"/>
              </w:rPr>
              <w:t>Full Names</w:t>
            </w:r>
          </w:p>
        </w:tc>
        <w:tc>
          <w:tcPr>
            <w:tcW w:type="dxa" w:w="6480"/>
            <w:vAlign w:val="center"/>
          </w:tcPr>
          <w:p>
            <w:pPr>
              <w:spacing w:line="252" w:lineRule="auto" w:after="80" w:before="80"/>
            </w:pPr>
            <w:r>
              <w:rPr>
                <w:rFonts w:ascii="Times New Roman" w:hAnsi="Times New Roman"/>
                <w:b w:val="0"/>
                <w:color w:val="000000"/>
                <w:sz w:val="21"/>
              </w:rPr>
              <w:t>Reda Alalach; Hajar Ouaghad</w:t>
            </w:r>
          </w:p>
        </w:tc>
      </w:tr>
      <w:tr>
        <w:trPr>
          <w:cantSplit/>
        </w:trPr>
        <w:tc>
          <w:tcPr>
            <w:tcW w:type="dxa" w:w="2448"/>
            <w:vAlign w:val="center"/>
          </w:tcPr>
          <w:p>
            <w:pPr>
              <w:spacing w:line="252" w:lineRule="auto" w:after="80" w:before="80"/>
            </w:pPr>
            <w:r>
              <w:rPr>
                <w:rFonts w:ascii="Times New Roman" w:hAnsi="Times New Roman"/>
                <w:b w:val="0"/>
                <w:color w:val="000000"/>
                <w:sz w:val="21"/>
              </w:rPr>
              <w:t>Student IDs</w:t>
            </w:r>
          </w:p>
        </w:tc>
        <w:tc>
          <w:tcPr>
            <w:tcW w:type="dxa" w:w="6480"/>
            <w:vAlign w:val="center"/>
          </w:tcPr>
          <w:p>
            <w:pPr>
              <w:spacing w:line="252" w:lineRule="auto" w:after="80" w:before="80"/>
            </w:pPr>
            <w:r>
              <w:rPr>
                <w:rFonts w:ascii="Times New Roman" w:hAnsi="Times New Roman"/>
                <w:b w:val="0"/>
                <w:color w:val="000000"/>
                <w:sz w:val="21"/>
              </w:rPr>
              <w:t>Reda Alalach: 200762</w:t>
              <w:br/>
              <w:t>Hajar Ouaghad: 168053</w:t>
            </w:r>
          </w:p>
        </w:tc>
      </w:tr>
      <w:tr>
        <w:trPr>
          <w:cantSplit/>
        </w:trPr>
        <w:tc>
          <w:tcPr>
            <w:tcW w:type="dxa" w:w="2448"/>
            <w:vAlign w:val="center"/>
          </w:tcPr>
          <w:p>
            <w:pPr>
              <w:spacing w:line="252" w:lineRule="auto" w:after="80" w:before="80"/>
            </w:pPr>
            <w:r>
              <w:rPr>
                <w:rFonts w:ascii="Times New Roman" w:hAnsi="Times New Roman"/>
                <w:b w:val="0"/>
                <w:color w:val="000000"/>
                <w:sz w:val="21"/>
              </w:rPr>
              <w:t>GitHub Usernames</w:t>
            </w:r>
          </w:p>
        </w:tc>
        <w:tc>
          <w:tcPr>
            <w:tcW w:type="dxa" w:w="6480"/>
            <w:vAlign w:val="center"/>
          </w:tcPr>
          <w:p>
            <w:pPr>
              <w:spacing w:line="252" w:lineRule="auto" w:after="80" w:before="80"/>
            </w:pPr>
            <w:r>
              <w:rPr>
                <w:rFonts w:ascii="Times New Roman" w:hAnsi="Times New Roman"/>
                <w:b w:val="0"/>
                <w:color w:val="000000"/>
                <w:sz w:val="21"/>
              </w:rPr>
              <w:t>Reda Alalach: redaalch</w:t>
              <w:br/>
              <w:t>Hajar Ouaghad: HJ-OGH</w:t>
            </w:r>
          </w:p>
        </w:tc>
      </w:tr>
      <w:tr>
        <w:trPr>
          <w:cantSplit/>
        </w:trPr>
        <w:tc>
          <w:tcPr>
            <w:tcW w:type="dxa" w:w="2448"/>
            <w:vAlign w:val="center"/>
          </w:tcPr>
          <w:p>
            <w:pPr>
              <w:spacing w:line="252" w:lineRule="auto" w:after="80" w:before="80"/>
            </w:pPr>
            <w:r>
              <w:rPr>
                <w:rFonts w:ascii="Times New Roman" w:hAnsi="Times New Roman"/>
                <w:b w:val="0"/>
                <w:color w:val="000000"/>
                <w:sz w:val="21"/>
              </w:rPr>
              <w:t>GitHub Repository URL</w:t>
            </w:r>
          </w:p>
        </w:tc>
        <w:tc>
          <w:tcPr>
            <w:tcW w:type="dxa" w:w="6480"/>
            <w:vAlign w:val="center"/>
          </w:tcPr>
          <w:p>
            <w:pPr>
              <w:spacing w:line="252" w:lineRule="auto" w:after="80" w:before="80"/>
            </w:pPr>
            <w:r>
              <w:rPr>
                <w:rFonts w:ascii="Times New Roman" w:hAnsi="Times New Roman"/>
                <w:b w:val="0"/>
                <w:color w:val="000000"/>
                <w:sz w:val="21"/>
              </w:rPr>
              <w:t>https://github.com/redaalch/unit-converter-team2</w:t>
            </w:r>
          </w:p>
        </w:tc>
      </w:tr>
      <w:tr>
        <w:trPr>
          <w:cantSplit/>
        </w:trPr>
        <w:tc>
          <w:tcPr>
            <w:tcW w:type="dxa" w:w="2448"/>
            <w:vAlign w:val="center"/>
          </w:tcPr>
          <w:p>
            <w:pPr>
              <w:spacing w:line="252" w:lineRule="auto" w:after="80" w:before="80"/>
            </w:pPr>
            <w:r>
              <w:rPr>
                <w:rFonts w:ascii="Times New Roman" w:hAnsi="Times New Roman"/>
                <w:b w:val="0"/>
                <w:color w:val="000000"/>
                <w:sz w:val="21"/>
              </w:rPr>
              <w:t>GitHub Pages URL</w:t>
            </w:r>
          </w:p>
        </w:tc>
        <w:tc>
          <w:tcPr>
            <w:tcW w:type="dxa" w:w="6480"/>
            <w:vAlign w:val="center"/>
          </w:tcPr>
          <w:p>
            <w:pPr>
              <w:spacing w:line="252" w:lineRule="auto" w:after="80" w:before="80"/>
            </w:pPr>
            <w:r>
              <w:rPr>
                <w:rFonts w:ascii="Times New Roman" w:hAnsi="Times New Roman"/>
                <w:b w:val="0"/>
                <w:color w:val="000000"/>
                <w:sz w:val="21"/>
              </w:rPr>
              <w:t>https://redaalch.github.io/unit-converter-team2/</w:t>
            </w:r>
          </w:p>
        </w:tc>
      </w:tr>
    </w:tbl>
    <w:p>
      <w:pPr>
        <w:spacing w:after="0"/>
      </w:pPr>
    </w:p>
    <w:p>
      <w:pPr>
        <w:jc w:val="center"/>
      </w:pPr>
      <w:r>
        <w:rPr>
          <w:b w:val="0"/>
        </w:rPr>
        <w:t>28 October 2026</w:t>
      </w:r>
    </w:p>
    <w:p>
      <w:pPr>
        <w:sectPr>
          <w:pgSz w:w="11906" w:h="16838"/>
          <w:pgMar w:top="1440" w:right="1440" w:bottom="1440" w:left="1440" w:header="576" w:footer="576" w:gutter="0"/>
          <w:cols w:space="720"/>
          <w:docGrid w:linePitch="360"/>
        </w:sectPr>
      </w:pPr>
    </w:p>
    <w:p>
      <w:pPr>
        <w:pStyle w:val="Heading1"/>
      </w:pPr>
      <w:r>
        <w:t>1. Project &amp; Role Distribution</w:t>
      </w:r>
    </w:p>
    <w:p>
      <w:r>
        <w:rPr>
          <w:b w:val="0"/>
        </w:rPr>
        <w:t>Our two-member group built a Python unit converter with two comparable feature areas. Reda handled temperature conversion between Celsius, Fahrenheit, and Kelvin. Hajar handled length conversion between meters, kilometers, and miles. Each member owned a separate feature branch and contributed testable program logic and unit tests.</w:t>
      </w:r>
    </w:p>
    <w:tbl>
      <w:tblPr>
        <w:tblStyle w:val="TableGrid"/>
        <w:tblW w:type="auto" w:w="0"/>
        <w:jc w:val="center"/>
        <w:tblLayout w:type="fixed"/>
        <w:tblLook w:firstColumn="1" w:firstRow="1" w:lastColumn="0" w:lastRow="0" w:noHBand="0" w:noVBand="1" w:val="04A0"/>
      </w:tblPr>
      <w:tblGrid>
        <w:gridCol w:w="1872"/>
        <w:gridCol w:w="2304"/>
        <w:gridCol w:w="4752"/>
      </w:tblGrid>
      <w:tr>
        <w:trPr>
          <w:tblHeader w:val="true"/>
          <w:cantSplit/>
        </w:trPr>
        <w:tc>
          <w:tcPr>
            <w:tcW w:type="dxa" w:w="1872"/>
            <w:vAlign w:val="center"/>
          </w:tcPr>
          <w:p>
            <w:pPr>
              <w:spacing w:line="252" w:lineRule="auto" w:after="80" w:before="80"/>
            </w:pPr>
            <w:r>
              <w:rPr>
                <w:rFonts w:ascii="Times New Roman" w:hAnsi="Times New Roman"/>
                <w:b/>
                <w:color w:val="000000"/>
                <w:sz w:val="21"/>
              </w:rPr>
              <w:t>Member</w:t>
            </w:r>
          </w:p>
        </w:tc>
        <w:tc>
          <w:tcPr>
            <w:tcW w:type="dxa" w:w="2304"/>
            <w:vAlign w:val="center"/>
          </w:tcPr>
          <w:p>
            <w:pPr>
              <w:spacing w:line="252" w:lineRule="auto" w:after="80" w:before="80"/>
            </w:pPr>
            <w:r>
              <w:rPr>
                <w:rFonts w:ascii="Times New Roman" w:hAnsi="Times New Roman"/>
                <w:b/>
                <w:color w:val="000000"/>
                <w:sz w:val="21"/>
              </w:rPr>
              <w:t>Feature</w:t>
            </w:r>
          </w:p>
        </w:tc>
        <w:tc>
          <w:tcPr>
            <w:tcW w:type="dxa" w:w="4752"/>
            <w:vAlign w:val="center"/>
          </w:tcPr>
          <w:p>
            <w:pPr>
              <w:spacing w:line="252" w:lineRule="auto" w:after="80" w:before="80"/>
            </w:pPr>
            <w:r>
              <w:rPr>
                <w:rFonts w:ascii="Times New Roman" w:hAnsi="Times New Roman"/>
                <w:b/>
                <w:color w:val="000000"/>
                <w:sz w:val="21"/>
              </w:rPr>
              <w:t>Additional work</w:t>
            </w:r>
          </w:p>
        </w:tc>
      </w:tr>
      <w:tr>
        <w:trPr>
          <w:cantSplit/>
        </w:trPr>
        <w:tc>
          <w:tcPr>
            <w:tcW w:type="dxa" w:w="1872"/>
            <w:vAlign w:val="center"/>
          </w:tcPr>
          <w:p>
            <w:pPr>
              <w:spacing w:line="252" w:lineRule="auto" w:after="80" w:before="80"/>
            </w:pPr>
            <w:r>
              <w:rPr>
                <w:rFonts w:ascii="Times New Roman" w:hAnsi="Times New Roman"/>
                <w:b w:val="0"/>
                <w:color w:val="000000"/>
                <w:sz w:val="21"/>
              </w:rPr>
              <w:t>Reda Alalach</w:t>
            </w:r>
          </w:p>
        </w:tc>
        <w:tc>
          <w:tcPr>
            <w:tcW w:type="dxa" w:w="2304"/>
            <w:vAlign w:val="center"/>
          </w:tcPr>
          <w:p>
            <w:pPr>
              <w:spacing w:line="252" w:lineRule="auto" w:after="80" w:before="80"/>
            </w:pPr>
            <w:r>
              <w:rPr>
                <w:rFonts w:ascii="Times New Roman" w:hAnsi="Times New Roman"/>
                <w:b w:val="0"/>
                <w:color w:val="000000"/>
                <w:sz w:val="21"/>
              </w:rPr>
              <w:t>Temperature conversion</w:t>
            </w:r>
          </w:p>
        </w:tc>
        <w:tc>
          <w:tcPr>
            <w:tcW w:type="dxa" w:w="4752"/>
            <w:vAlign w:val="center"/>
          </w:tcPr>
          <w:p>
            <w:pPr>
              <w:spacing w:line="252" w:lineRule="auto" w:after="80" w:before="80"/>
            </w:pPr>
            <w:r>
              <w:rPr>
                <w:rFonts w:ascii="Times New Roman" w:hAnsi="Times New Roman"/>
                <w:b w:val="0"/>
                <w:color w:val="000000"/>
                <w:sz w:val="21"/>
              </w:rPr>
              <w:t>Repository setup, CI workflow, main ruleset, and README conflict resolution.</w:t>
            </w:r>
          </w:p>
        </w:tc>
      </w:tr>
      <w:tr>
        <w:trPr>
          <w:cantSplit/>
        </w:trPr>
        <w:tc>
          <w:tcPr>
            <w:tcW w:type="dxa" w:w="1872"/>
            <w:vAlign w:val="center"/>
          </w:tcPr>
          <w:p>
            <w:pPr>
              <w:spacing w:line="252" w:lineRule="auto" w:after="80" w:before="80"/>
            </w:pPr>
            <w:r>
              <w:rPr>
                <w:rFonts w:ascii="Times New Roman" w:hAnsi="Times New Roman"/>
                <w:b w:val="0"/>
                <w:color w:val="000000"/>
                <w:sz w:val="21"/>
              </w:rPr>
              <w:t>Hajar Ouaghad</w:t>
            </w:r>
          </w:p>
        </w:tc>
        <w:tc>
          <w:tcPr>
            <w:tcW w:type="dxa" w:w="2304"/>
            <w:vAlign w:val="center"/>
          </w:tcPr>
          <w:p>
            <w:pPr>
              <w:spacing w:line="252" w:lineRule="auto" w:after="80" w:before="80"/>
            </w:pPr>
            <w:r>
              <w:rPr>
                <w:rFonts w:ascii="Times New Roman" w:hAnsi="Times New Roman"/>
                <w:b w:val="0"/>
                <w:color w:val="000000"/>
                <w:sz w:val="21"/>
              </w:rPr>
              <w:t>Length conversion</w:t>
            </w:r>
          </w:p>
        </w:tc>
        <w:tc>
          <w:tcPr>
            <w:tcW w:type="dxa" w:w="4752"/>
            <w:vAlign w:val="center"/>
          </w:tcPr>
          <w:p>
            <w:pPr>
              <w:spacing w:line="252" w:lineRule="auto" w:after="80" w:before="80"/>
            </w:pPr>
            <w:r>
              <w:rPr>
                <w:rFonts w:ascii="Times New Roman" w:hAnsi="Times New Roman"/>
                <w:b w:val="0"/>
                <w:color w:val="000000"/>
                <w:sz w:val="21"/>
              </w:rPr>
              <w:t>Static project page, final visible page update, and peer reviews.</w:t>
            </w:r>
          </w:p>
        </w:tc>
      </w:tr>
    </w:tbl>
    <w:p>
      <w:pPr>
        <w:spacing w:after="0"/>
      </w:pPr>
    </w:p>
    <w:p>
      <w:pPr>
        <w:pStyle w:val="Heading1"/>
      </w:pPr>
      <w:r>
        <w:t>2. Branches, Commits &amp; Contributions</w:t>
      </w:r>
    </w:p>
    <w:p>
      <w:r>
        <w:rPr>
          <w:b w:val="0"/>
        </w:rPr>
        <w:t>Reda recorded the temperature implementation and its tests in two separate commits. Hajar made two initial length-feature commits and then added a third commit to address review feedback. Feature development used branches and Pull Requests into main.</w:t>
      </w:r>
    </w:p>
    <w:tbl>
      <w:tblPr>
        <w:tblStyle w:val="TableGrid"/>
        <w:tblW w:type="auto" w:w="0"/>
        <w:jc w:val="center"/>
        <w:tblLayout w:type="fixed"/>
        <w:tblLook w:firstColumn="1" w:firstRow="1" w:lastColumn="0" w:lastRow="0" w:noHBand="0" w:noVBand="1" w:val="04A0"/>
      </w:tblPr>
      <w:tblGrid>
        <w:gridCol w:w="2880"/>
        <w:gridCol w:w="6048"/>
      </w:tblGrid>
      <w:tr>
        <w:trPr>
          <w:tblHeader w:val="true"/>
          <w:cantSplit/>
        </w:trPr>
        <w:tc>
          <w:tcPr>
            <w:tcW w:type="dxa" w:w="2880"/>
            <w:vAlign w:val="center"/>
          </w:tcPr>
          <w:p>
            <w:pPr>
              <w:spacing w:line="252" w:lineRule="auto" w:after="80" w:before="80"/>
            </w:pPr>
            <w:r>
              <w:rPr>
                <w:rFonts w:ascii="Times New Roman" w:hAnsi="Times New Roman"/>
                <w:b/>
                <w:color w:val="000000"/>
                <w:sz w:val="21"/>
              </w:rPr>
              <w:t>Member and branch</w:t>
            </w:r>
          </w:p>
        </w:tc>
        <w:tc>
          <w:tcPr>
            <w:tcW w:type="dxa" w:w="6048"/>
            <w:vAlign w:val="center"/>
          </w:tcPr>
          <w:p>
            <w:pPr>
              <w:spacing w:line="252" w:lineRule="auto" w:after="80" w:before="80"/>
            </w:pPr>
            <w:r>
              <w:rPr>
                <w:rFonts w:ascii="Times New Roman" w:hAnsi="Times New Roman"/>
                <w:b/>
                <w:color w:val="000000"/>
                <w:sz w:val="21"/>
              </w:rPr>
              <w:t>Meaningful feature commits</w:t>
            </w:r>
          </w:p>
        </w:tc>
      </w:tr>
      <w:tr>
        <w:trPr>
          <w:cantSplit/>
        </w:trPr>
        <w:tc>
          <w:tcPr>
            <w:tcW w:type="dxa" w:w="2880"/>
            <w:vAlign w:val="center"/>
          </w:tcPr>
          <w:p>
            <w:pPr>
              <w:spacing w:line="252" w:lineRule="auto" w:after="80" w:before="80"/>
            </w:pPr>
            <w:r>
              <w:rPr>
                <w:rFonts w:ascii="Times New Roman" w:hAnsi="Times New Roman"/>
                <w:b w:val="0"/>
                <w:color w:val="000000"/>
                <w:sz w:val="21"/>
              </w:rPr>
              <w:t>Reda</w:t>
              <w:br/>
              <w:t>feature/temperature</w:t>
            </w:r>
          </w:p>
        </w:tc>
        <w:tc>
          <w:tcPr>
            <w:tcW w:type="dxa" w:w="6048"/>
            <w:vAlign w:val="center"/>
          </w:tcPr>
          <w:p>
            <w:pPr>
              <w:spacing w:line="252" w:lineRule="auto" w:after="80" w:before="80"/>
            </w:pPr>
            <w:r>
              <w:rPr>
                <w:rFonts w:ascii="Times New Roman" w:hAnsi="Times New Roman"/>
                <w:b w:val="0"/>
                <w:color w:val="000000"/>
                <w:sz w:val="21"/>
              </w:rPr>
              <w:t>2f4c937: Add validated Celsius Fahrenheit and Kelvin conversions</w:t>
              <w:br/>
              <w:t>28a0953: Test temperature conversions boundaries and invalid inputs</w:t>
            </w:r>
          </w:p>
        </w:tc>
      </w:tr>
      <w:tr>
        <w:trPr>
          <w:cantSplit/>
        </w:trPr>
        <w:tc>
          <w:tcPr>
            <w:tcW w:type="dxa" w:w="2880"/>
            <w:vAlign w:val="center"/>
          </w:tcPr>
          <w:p>
            <w:pPr>
              <w:spacing w:line="252" w:lineRule="auto" w:after="80" w:before="80"/>
            </w:pPr>
            <w:r>
              <w:rPr>
                <w:rFonts w:ascii="Times New Roman" w:hAnsi="Times New Roman"/>
                <w:b w:val="0"/>
                <w:color w:val="000000"/>
                <w:sz w:val="21"/>
              </w:rPr>
              <w:t>Hajar</w:t>
              <w:br/>
              <w:t>feature/length-conversions</w:t>
            </w:r>
          </w:p>
        </w:tc>
        <w:tc>
          <w:tcPr>
            <w:tcW w:type="dxa" w:w="6048"/>
            <w:vAlign w:val="center"/>
          </w:tcPr>
          <w:p>
            <w:pPr>
              <w:spacing w:line="252" w:lineRule="auto" w:after="80" w:before="80"/>
            </w:pPr>
            <w:r>
              <w:rPr>
                <w:rFonts w:ascii="Times New Roman" w:hAnsi="Times New Roman"/>
                <w:b w:val="0"/>
                <w:color w:val="000000"/>
                <w:sz w:val="21"/>
              </w:rPr>
              <w:t>a129ecd: Add length conversion functions</w:t>
              <w:br/>
              <w:t>6df4292: Add length conversion unit tests</w:t>
              <w:br/>
              <w:t>f11ac27: Reject non-finite length values</w:t>
            </w:r>
          </w:p>
        </w:tc>
      </w:tr>
    </w:tbl>
    <w:p>
      <w:pPr>
        <w:spacing w:after="0"/>
      </w:pPr>
    </w:p>
    <w:p>
      <w:pPr>
        <w:keepNext/>
        <w:spacing w:line="240" w:lineRule="auto" w:before="120" w:after="80"/>
        <w:jc w:val="center"/>
      </w:pPr>
      <w:r>
        <w:drawing>
          <wp:inline xmlns:a="http://schemas.openxmlformats.org/drawingml/2006/main" xmlns:pic="http://schemas.openxmlformats.org/drawingml/2006/picture">
            <wp:extent cx="5577840" cy="3314021"/>
            <wp:docPr id="1" name="Picture 1"/>
            <wp:cNvGraphicFramePr>
              <a:graphicFrameLocks noChangeAspect="1"/>
            </wp:cNvGraphicFramePr>
            <a:graphic>
              <a:graphicData uri="http://schemas.openxmlformats.org/drawingml/2006/picture">
                <pic:pic>
                  <pic:nvPicPr>
                    <pic:cNvPr id="0" name="LengthFeaturePR.png"/>
                    <pic:cNvPicPr/>
                  </pic:nvPicPr>
                  <pic:blipFill>
                    <a:blip r:embed="rId10"/>
                    <a:stretch>
                      <a:fillRect/>
                    </a:stretch>
                  </pic:blipFill>
                  <pic:spPr>
                    <a:xfrm>
                      <a:off x="0" y="0"/>
                      <a:ext cx="5577840" cy="3314021"/>
                    </a:xfrm>
                    <a:prstGeom prst="rect"/>
                  </pic:spPr>
                </pic:pic>
              </a:graphicData>
            </a:graphic>
          </wp:inline>
        </w:drawing>
      </w:r>
    </w:p>
    <w:p>
      <w:pPr>
        <w:pStyle w:val="Caption"/>
        <w:jc w:val="center"/>
      </w:pPr>
      <w:r>
        <w:t>Figure 1. Hajar's length PR contains the implementation, tests, and review correction in three commits.</w:t>
      </w:r>
    </w:p>
    <w:p>
      <w:pPr>
        <w:pStyle w:val="Heading1"/>
      </w:pPr>
      <w:r>
        <w:t>3. Pull Requests &amp; Code Review</w:t>
      </w:r>
    </w:p>
    <w:p>
      <w:r>
        <w:rPr>
          <w:b w:val="0"/>
        </w:rPr>
        <w:t>Reda authored temperature PR #1, which Hajar reviewed. Her line comment requested a regression test to verify that a temperature below absolute zero would still be rejected when the source and target units were identical. Hajar then approved the PR. The comment addressed validation order and the same-unit early return.</w:t>
      </w:r>
    </w:p>
    <w:p>
      <w:pPr>
        <w:keepNext/>
        <w:spacing w:line="240" w:lineRule="auto" w:before="120" w:after="80"/>
        <w:jc w:val="center"/>
      </w:pPr>
      <w:r>
        <w:drawing>
          <wp:inline xmlns:a="http://schemas.openxmlformats.org/drawingml/2006/main" xmlns:pic="http://schemas.openxmlformats.org/drawingml/2006/picture">
            <wp:extent cx="5577840" cy="3309664"/>
            <wp:docPr id="2" name="Picture 2"/>
            <wp:cNvGraphicFramePr>
              <a:graphicFrameLocks noChangeAspect="1"/>
            </wp:cNvGraphicFramePr>
            <a:graphic>
              <a:graphicData uri="http://schemas.openxmlformats.org/drawingml/2006/picture">
                <pic:pic>
                  <pic:nvPicPr>
                    <pic:cNvPr id="0" name="TempPRreview.png"/>
                    <pic:cNvPicPr/>
                  </pic:nvPicPr>
                  <pic:blipFill>
                    <a:blip r:embed="rId11"/>
                    <a:stretch>
                      <a:fillRect/>
                    </a:stretch>
                  </pic:blipFill>
                  <pic:spPr>
                    <a:xfrm>
                      <a:off x="0" y="0"/>
                      <a:ext cx="5577840" cy="3309664"/>
                    </a:xfrm>
                    <a:prstGeom prst="rect"/>
                  </pic:spPr>
                </pic:pic>
              </a:graphicData>
            </a:graphic>
          </wp:inline>
        </w:drawing>
      </w:r>
    </w:p>
    <w:p>
      <w:pPr>
        <w:pStyle w:val="Caption"/>
        <w:jc w:val="center"/>
      </w:pPr>
      <w:r>
        <w:t>Figure 2. Hajar requests a regression test for absolute-zero validation with identical source and target units.</w:t>
      </w:r>
    </w:p>
    <w:p>
      <w:pPr>
        <w:keepNext/>
        <w:spacing w:line="240" w:lineRule="auto" w:before="120" w:after="80"/>
        <w:jc w:val="center"/>
      </w:pPr>
      <w:r>
        <w:drawing>
          <wp:inline xmlns:a="http://schemas.openxmlformats.org/drawingml/2006/main" xmlns:pic="http://schemas.openxmlformats.org/drawingml/2006/picture">
            <wp:extent cx="5577840" cy="3320558"/>
            <wp:docPr id="3" name="Picture 3"/>
            <wp:cNvGraphicFramePr>
              <a:graphicFrameLocks noChangeAspect="1"/>
            </wp:cNvGraphicFramePr>
            <a:graphic>
              <a:graphicData uri="http://schemas.openxmlformats.org/drawingml/2006/picture">
                <pic:pic>
                  <pic:nvPicPr>
                    <pic:cNvPr id="0" name="TempPRreview2.png"/>
                    <pic:cNvPicPr/>
                  </pic:nvPicPr>
                  <pic:blipFill>
                    <a:blip r:embed="rId12"/>
                    <a:stretch>
                      <a:fillRect/>
                    </a:stretch>
                  </pic:blipFill>
                  <pic:spPr>
                    <a:xfrm>
                      <a:off x="0" y="0"/>
                      <a:ext cx="5577840" cy="3320558"/>
                    </a:xfrm>
                    <a:prstGeom prst="rect"/>
                  </pic:spPr>
                </pic:pic>
              </a:graphicData>
            </a:graphic>
          </wp:inline>
        </w:drawing>
      </w:r>
    </w:p>
    <w:p>
      <w:pPr>
        <w:pStyle w:val="Caption"/>
        <w:jc w:val="center"/>
      </w:pPr>
      <w:r>
        <w:t>Figure 3. Hajar's submitted approval of the temperature PR before its merge.</w:t>
      </w:r>
    </w:p>
    <w:p>
      <w:r>
        <w:rPr>
          <w:b w:val="0"/>
        </w:rPr>
        <w:t>Hajar authored length PR #2, which Reda reviewed. Reda submitted Request changes because NaN and positive infinity passed through the original negative-value check. Hajar added math.isfinite validation and tests for NaN and both infinities in commit f11ac27 on the same feature/length-conversions branch. Reda verified the correction, reran the tests, and approved the existing PR before it was merged.</w:t>
      </w:r>
    </w:p>
    <w:p>
      <w:pPr>
        <w:spacing w:line="240" w:lineRule="auto"/>
      </w:pPr>
      <w:hyperlink r:id="rId13">
        <w:r>
          <w:rPr>
            <w:rFonts w:ascii="Times New Roman" w:hAnsi="Times New Roman"/>
            <w:color w:val="000000"/>
            <w:u w:val="single"/>
          </w:rPr>
          <w:t>Length PR #2: requested changes, correction, and approval</w:t>
        </w:r>
      </w:hyperlink>
    </w:p>
    <w:p>
      <w:pPr>
        <w:pStyle w:val="Heading1"/>
      </w:pPr>
      <w:r>
        <w:t>4. Merge Conflict</w:t>
      </w:r>
    </w:p>
    <w:p>
      <w:r>
        <w:rPr>
          <w:b w:val="0"/>
        </w:rPr>
        <w:t>Both status branches began at main commit 2a4b4e9, where README.md contained "Project status: Development in progress." Hajar created conflict/length-status and changed the line to "Project status: Length conversion completed." Reda created conflict/temperature-status and changed the same line to "Project status: Temperature conversion completed."</w:t>
      </w:r>
    </w:p>
    <w:p>
      <w:pPr>
        <w:keepNext/>
        <w:spacing w:line="240" w:lineRule="auto" w:before="120" w:after="80"/>
        <w:jc w:val="center"/>
      </w:pPr>
      <w:r>
        <w:drawing>
          <wp:inline xmlns:a="http://schemas.openxmlformats.org/drawingml/2006/main" xmlns:pic="http://schemas.openxmlformats.org/drawingml/2006/picture">
            <wp:extent cx="5577840" cy="3322737"/>
            <wp:docPr id="4" name="Picture 4"/>
            <wp:cNvGraphicFramePr>
              <a:graphicFrameLocks noChangeAspect="1"/>
            </wp:cNvGraphicFramePr>
            <a:graphic>
              <a:graphicData uri="http://schemas.openxmlformats.org/drawingml/2006/picture">
                <pic:pic>
                  <pic:nvPicPr>
                    <pic:cNvPr id="0" name="MergeConflict2.png"/>
                    <pic:cNvPicPr/>
                  </pic:nvPicPr>
                  <pic:blipFill>
                    <a:blip r:embed="rId14"/>
                    <a:stretch>
                      <a:fillRect/>
                    </a:stretch>
                  </pic:blipFill>
                  <pic:spPr>
                    <a:xfrm>
                      <a:off x="0" y="0"/>
                      <a:ext cx="5577840" cy="3322737"/>
                    </a:xfrm>
                    <a:prstGeom prst="rect"/>
                  </pic:spPr>
                </pic:pic>
              </a:graphicData>
            </a:graphic>
          </wp:inline>
        </w:drawing>
      </w:r>
    </w:p>
    <w:p>
      <w:pPr>
        <w:pStyle w:val="Caption"/>
        <w:jc w:val="center"/>
      </w:pPr>
      <w:r>
        <w:t>Figure 4. Hajar's first status PR changes the shared README line before it is merged into main.</w:t>
      </w:r>
    </w:p>
    <w:p>
      <w:r>
        <w:rPr>
          <w:b w:val="0"/>
        </w:rPr>
        <w:t>Hajar's PR #4 was reviewed and merged first. On Reda's branch, git fetch origin followed by git merge origin/main produced a content conflict in README.md. Current/HEAD represented Reda's temperature status. Incoming/origin/main represented Hajar's length status already merged into main. The captured conflict contained:</w:t>
      </w:r>
    </w:p>
    <w:p>
      <w:pPr>
        <w:keepLines/>
        <w:spacing w:line="240" w:lineRule="auto" w:after="160"/>
      </w:pPr>
      <w:r>
        <w:rPr>
          <w:rFonts w:ascii="Courier New" w:hAnsi="Courier New"/>
          <w:sz w:val="19"/>
        </w:rPr>
        <w:t>&lt;&lt;&lt;&lt;&lt;&lt;&lt; HEAD</w:t>
        <w:br/>
        <w:t>Project status: Temperature conversion completed.</w:t>
        <w:br/>
        <w:t>=======</w:t>
        <w:br/>
        <w:t>Project status: Length conversion completed.</w:t>
        <w:br/>
        <w:t>&gt;&gt;&gt;&gt;&gt;&gt;&gt; origin/main</w:t>
      </w:r>
    </w:p>
    <w:p>
      <w:r>
        <w:rPr>
          <w:b w:val="0"/>
        </w:rPr>
        <w:t>Reda combined both statements into one final line:</w:t>
      </w:r>
    </w:p>
    <w:p>
      <w:pPr>
        <w:keepLines/>
        <w:spacing w:line="240" w:lineRule="auto" w:after="160"/>
      </w:pPr>
      <w:r>
        <w:rPr>
          <w:rFonts w:ascii="Courier New" w:hAnsi="Courier New"/>
          <w:sz w:val="19"/>
        </w:rPr>
        <w:t>Project status: Temperature and length conversions completed.</w:t>
      </w:r>
    </w:p>
    <w:p>
      <w:r>
        <w:rPr>
          <w:b w:val="0"/>
        </w:rPr>
        <w:t>The resolved file was staged, all tests passed, and merge commit 8e1e0a2 recorded the resolution with parents 0e426f7 and b49bdd2. Reda pushed it to the same PR #6. Hajar reviewed the combined status and removal of conflict markers, approved the PR, and the resolution was merged.</w:t>
      </w:r>
    </w:p>
    <w:p>
      <w:pPr>
        <w:keepNext/>
        <w:spacing w:line="240" w:lineRule="auto" w:before="120" w:after="80"/>
        <w:jc w:val="center"/>
      </w:pPr>
      <w:r>
        <w:drawing>
          <wp:inline xmlns:a="http://schemas.openxmlformats.org/drawingml/2006/main" xmlns:pic="http://schemas.openxmlformats.org/drawingml/2006/picture">
            <wp:extent cx="5577840" cy="3327094"/>
            <wp:docPr id="5" name="Picture 5"/>
            <wp:cNvGraphicFramePr>
              <a:graphicFrameLocks noChangeAspect="1"/>
            </wp:cNvGraphicFramePr>
            <a:graphic>
              <a:graphicData uri="http://schemas.openxmlformats.org/drawingml/2006/picture">
                <pic:pic>
                  <pic:nvPicPr>
                    <pic:cNvPr id="0" name="MergeConflict.png"/>
                    <pic:cNvPicPr/>
                  </pic:nvPicPr>
                  <pic:blipFill>
                    <a:blip r:embed="rId15"/>
                    <a:stretch>
                      <a:fillRect/>
                    </a:stretch>
                  </pic:blipFill>
                  <pic:spPr>
                    <a:xfrm>
                      <a:off x="0" y="0"/>
                      <a:ext cx="5577840" cy="3327094"/>
                    </a:xfrm>
                    <a:prstGeom prst="rect"/>
                  </pic:spPr>
                </pic:pic>
              </a:graphicData>
            </a:graphic>
          </wp:inline>
        </w:drawing>
      </w:r>
    </w:p>
    <w:p>
      <w:pPr>
        <w:pStyle w:val="Caption"/>
        <w:jc w:val="center"/>
      </w:pPr>
      <w:r>
        <w:t>Figure 5. Hajar approves the resolved status PR; GitHub shows passing checks and no remaining merge conflict.</w:t>
      </w:r>
    </w:p>
    <w:p>
      <w:pPr>
        <w:pStyle w:val="Heading1"/>
      </w:pPr>
      <w:r>
        <w:t>5. Unit Tests</w:t>
      </w:r>
    </w:p>
    <w:p>
      <w:r>
        <w:rPr>
          <w:b w:val="0"/>
        </w:rPr>
        <w:t>The final suite contains 15 test functions that expand to 39 pytest cases through parameterization: 29 temperature cases and 10 length cases. Both members exceed the requirement of three meaningful tests for a two-member group. Tests use pytest.approx where floating-point conversion results need approximate comparison.</w:t>
      </w:r>
    </w:p>
    <w:tbl>
      <w:tblPr>
        <w:tblStyle w:val="TableGrid"/>
        <w:tblW w:type="auto" w:w="0"/>
        <w:jc w:val="center"/>
        <w:tblLayout w:type="fixed"/>
        <w:tblLook w:firstColumn="1" w:firstRow="1" w:lastColumn="0" w:lastRow="0" w:noHBand="0" w:noVBand="1" w:val="04A0"/>
      </w:tblPr>
      <w:tblGrid>
        <w:gridCol w:w="1728"/>
        <w:gridCol w:w="3600"/>
        <w:gridCol w:w="3600"/>
      </w:tblGrid>
      <w:tr>
        <w:trPr>
          <w:tblHeader w:val="true"/>
          <w:cantSplit/>
        </w:trPr>
        <w:tc>
          <w:tcPr>
            <w:tcW w:type="dxa" w:w="1728"/>
            <w:vAlign w:val="center"/>
          </w:tcPr>
          <w:p>
            <w:pPr>
              <w:spacing w:line="252" w:lineRule="auto" w:after="80" w:before="80"/>
            </w:pPr>
            <w:r>
              <w:rPr>
                <w:rFonts w:ascii="Times New Roman" w:hAnsi="Times New Roman"/>
                <w:b/>
                <w:color w:val="000000"/>
                <w:sz w:val="21"/>
              </w:rPr>
              <w:t>Category</w:t>
            </w:r>
          </w:p>
        </w:tc>
        <w:tc>
          <w:tcPr>
            <w:tcW w:type="dxa" w:w="3600"/>
            <w:vAlign w:val="center"/>
          </w:tcPr>
          <w:p>
            <w:pPr>
              <w:spacing w:line="252" w:lineRule="auto" w:after="80" w:before="80"/>
            </w:pPr>
            <w:r>
              <w:rPr>
                <w:rFonts w:ascii="Times New Roman" w:hAnsi="Times New Roman"/>
                <w:b/>
                <w:color w:val="000000"/>
                <w:sz w:val="21"/>
              </w:rPr>
              <w:t>Temperature example</w:t>
            </w:r>
          </w:p>
        </w:tc>
        <w:tc>
          <w:tcPr>
            <w:tcW w:type="dxa" w:w="3600"/>
            <w:vAlign w:val="center"/>
          </w:tcPr>
          <w:p>
            <w:pPr>
              <w:spacing w:line="252" w:lineRule="auto" w:after="80" w:before="80"/>
            </w:pPr>
            <w:r>
              <w:rPr>
                <w:rFonts w:ascii="Times New Roman" w:hAnsi="Times New Roman"/>
                <w:b/>
                <w:color w:val="000000"/>
                <w:sz w:val="21"/>
              </w:rPr>
              <w:t>Length example</w:t>
            </w:r>
          </w:p>
        </w:tc>
      </w:tr>
      <w:tr>
        <w:trPr>
          <w:cantSplit/>
        </w:trPr>
        <w:tc>
          <w:tcPr>
            <w:tcW w:type="dxa" w:w="1728"/>
            <w:vAlign w:val="center"/>
          </w:tcPr>
          <w:p>
            <w:pPr>
              <w:spacing w:line="252" w:lineRule="auto" w:after="80" w:before="80"/>
            </w:pPr>
            <w:r>
              <w:rPr>
                <w:rFonts w:ascii="Times New Roman" w:hAnsi="Times New Roman"/>
                <w:b w:val="0"/>
                <w:color w:val="000000"/>
                <w:sz w:val="21"/>
              </w:rPr>
              <w:t>Normal behavior</w:t>
            </w:r>
          </w:p>
        </w:tc>
        <w:tc>
          <w:tcPr>
            <w:tcW w:type="dxa" w:w="3600"/>
            <w:vAlign w:val="center"/>
          </w:tcPr>
          <w:p>
            <w:pPr>
              <w:spacing w:line="252" w:lineRule="auto" w:after="80" w:before="80"/>
            </w:pPr>
            <w:r>
              <w:rPr>
                <w:rFonts w:ascii="Times New Roman" w:hAnsi="Times New Roman"/>
                <w:b w:val="0"/>
                <w:color w:val="000000"/>
                <w:sz w:val="21"/>
              </w:rPr>
              <w:t>0 C converts to approximately 32 F.</w:t>
            </w:r>
          </w:p>
        </w:tc>
        <w:tc>
          <w:tcPr>
            <w:tcW w:type="dxa" w:w="3600"/>
            <w:vAlign w:val="center"/>
          </w:tcPr>
          <w:p>
            <w:pPr>
              <w:spacing w:line="252" w:lineRule="auto" w:after="80" w:before="80"/>
            </w:pPr>
            <w:r>
              <w:rPr>
                <w:rFonts w:ascii="Times New Roman" w:hAnsi="Times New Roman"/>
                <w:b w:val="0"/>
                <w:color w:val="000000"/>
                <w:sz w:val="21"/>
              </w:rPr>
              <w:t>1 mile converts to approximately 1609.344 meters.</w:t>
            </w:r>
          </w:p>
        </w:tc>
      </w:tr>
      <w:tr>
        <w:trPr>
          <w:cantSplit/>
        </w:trPr>
        <w:tc>
          <w:tcPr>
            <w:tcW w:type="dxa" w:w="1728"/>
            <w:vAlign w:val="center"/>
          </w:tcPr>
          <w:p>
            <w:pPr>
              <w:spacing w:line="252" w:lineRule="auto" w:after="80" w:before="80"/>
            </w:pPr>
            <w:r>
              <w:rPr>
                <w:rFonts w:ascii="Times New Roman" w:hAnsi="Times New Roman"/>
                <w:b w:val="0"/>
                <w:color w:val="000000"/>
                <w:sz w:val="21"/>
              </w:rPr>
              <w:t>Boundary or edge case</w:t>
            </w:r>
          </w:p>
        </w:tc>
        <w:tc>
          <w:tcPr>
            <w:tcW w:type="dxa" w:w="3600"/>
            <w:vAlign w:val="center"/>
          </w:tcPr>
          <w:p>
            <w:pPr>
              <w:spacing w:line="252" w:lineRule="auto" w:after="80" w:before="80"/>
            </w:pPr>
            <w:r>
              <w:rPr>
                <w:rFonts w:ascii="Times New Roman" w:hAnsi="Times New Roman"/>
                <w:b w:val="0"/>
                <w:color w:val="000000"/>
                <w:sz w:val="21"/>
              </w:rPr>
              <w:t>Absolute zero converts to 0 K; same-unit values are preserved.</w:t>
            </w:r>
          </w:p>
        </w:tc>
        <w:tc>
          <w:tcPr>
            <w:tcW w:type="dxa" w:w="3600"/>
            <w:vAlign w:val="center"/>
          </w:tcPr>
          <w:p>
            <w:pPr>
              <w:spacing w:line="252" w:lineRule="auto" w:after="80" w:before="80"/>
            </w:pPr>
            <w:r>
              <w:rPr>
                <w:rFonts w:ascii="Times New Roman" w:hAnsi="Times New Roman"/>
                <w:b w:val="0"/>
                <w:color w:val="000000"/>
                <w:sz w:val="21"/>
              </w:rPr>
              <w:t>Zero length converts to zero; same-unit values are preserved.</w:t>
            </w:r>
          </w:p>
        </w:tc>
      </w:tr>
      <w:tr>
        <w:trPr>
          <w:cantSplit/>
        </w:trPr>
        <w:tc>
          <w:tcPr>
            <w:tcW w:type="dxa" w:w="1728"/>
            <w:vAlign w:val="center"/>
          </w:tcPr>
          <w:p>
            <w:pPr>
              <w:spacing w:line="252" w:lineRule="auto" w:after="80" w:before="80"/>
            </w:pPr>
            <w:r>
              <w:rPr>
                <w:rFonts w:ascii="Times New Roman" w:hAnsi="Times New Roman"/>
                <w:b w:val="0"/>
                <w:color w:val="000000"/>
                <w:sz w:val="21"/>
              </w:rPr>
              <w:t>Invalid input or error</w:t>
            </w:r>
          </w:p>
        </w:tc>
        <w:tc>
          <w:tcPr>
            <w:tcW w:type="dxa" w:w="3600"/>
            <w:vAlign w:val="center"/>
          </w:tcPr>
          <w:p>
            <w:pPr>
              <w:spacing w:line="252" w:lineRule="auto" w:after="80" w:before="80"/>
            </w:pPr>
            <w:r>
              <w:rPr>
                <w:rFonts w:ascii="Times New Roman" w:hAnsi="Times New Roman"/>
                <w:b w:val="0"/>
                <w:color w:val="000000"/>
                <w:sz w:val="21"/>
              </w:rPr>
              <w:t>Below-absolute-zero values, invalid units, and non-finite input raise ValueError.</w:t>
            </w:r>
          </w:p>
        </w:tc>
        <w:tc>
          <w:tcPr>
            <w:tcW w:type="dxa" w:w="3600"/>
            <w:vAlign w:val="center"/>
          </w:tcPr>
          <w:p>
            <w:pPr>
              <w:spacing w:line="252" w:lineRule="auto" w:after="80" w:before="80"/>
            </w:pPr>
            <w:r>
              <w:rPr>
                <w:rFonts w:ascii="Times New Roman" w:hAnsi="Times New Roman"/>
                <w:b w:val="0"/>
                <w:color w:val="000000"/>
                <w:sz w:val="21"/>
              </w:rPr>
              <w:t>Negative length, invalid units, NaN, and infinity raise ValueError.</w:t>
            </w:r>
          </w:p>
        </w:tc>
      </w:tr>
    </w:tbl>
    <w:p>
      <w:pPr>
        <w:spacing w:after="0"/>
      </w:pPr>
    </w:p>
    <w:p>
      <w:pPr>
        <w:keepNext/>
        <w:spacing w:line="240" w:lineRule="auto" w:before="120" w:after="80"/>
        <w:jc w:val="center"/>
      </w:pPr>
      <w:r>
        <w:drawing>
          <wp:inline xmlns:a="http://schemas.openxmlformats.org/drawingml/2006/main" xmlns:pic="http://schemas.openxmlformats.org/drawingml/2006/picture">
            <wp:extent cx="5577840" cy="3486150"/>
            <wp:docPr id="6" name="Picture 6"/>
            <wp:cNvGraphicFramePr>
              <a:graphicFrameLocks noChangeAspect="1"/>
            </wp:cNvGraphicFramePr>
            <a:graphic>
              <a:graphicData uri="http://schemas.openxmlformats.org/drawingml/2006/picture">
                <pic:pic>
                  <pic:nvPicPr>
                    <pic:cNvPr id="0" name="LengthUnittests.png"/>
                    <pic:cNvPicPr/>
                  </pic:nvPicPr>
                  <pic:blipFill>
                    <a:blip r:embed="rId16"/>
                    <a:stretch>
                      <a:fillRect/>
                    </a:stretch>
                  </pic:blipFill>
                  <pic:spPr>
                    <a:xfrm>
                      <a:off x="0" y="0"/>
                      <a:ext cx="5577840" cy="3486150"/>
                    </a:xfrm>
                    <a:prstGeom prst="rect"/>
                  </pic:spPr>
                </pic:pic>
              </a:graphicData>
            </a:graphic>
          </wp:inline>
        </w:drawing>
      </w:r>
    </w:p>
    <w:p>
      <w:pPr>
        <w:pStyle w:val="Caption"/>
        <w:jc w:val="center"/>
      </w:pPr>
      <w:r>
        <w:t>Figure 6. Hajar's local feature branch passes all 10 length cases; the terminal identifies Python 3.13.2.</w:t>
      </w:r>
    </w:p>
    <w:p>
      <w:r>
        <w:rPr>
          <w:b w:val="0"/>
        </w:rPr>
        <w:t>The complete main suite was verified again at commit f70959a with python3 -m pytest -q: 39 passed. That verification used Python 3.10.12. GitHub Actions also passed the full suite using Python 3.12.15.</w:t>
      </w:r>
    </w:p>
    <w:p>
      <w:pPr>
        <w:pStyle w:val="Heading1"/>
      </w:pPr>
      <w:r>
        <w:t>6. Continuous Integration</w:t>
      </w:r>
    </w:p>
    <w:p>
      <w:r>
        <w:rPr>
          <w:b w:val="0"/>
        </w:rPr>
        <w:t>The Tests workflow is stored in .github/workflows/tests.yml and runs on push and pull_request events. Its Python tests job uses ubuntu-latest, prepares Python 3.12, installs requirements.txt, and runs python -m pytest -q. The workflow grants read-only access to repository contents and has a five-minute job timeout.</w:t>
      </w:r>
    </w:p>
    <w:p>
      <w:pPr>
        <w:keepNext/>
        <w:spacing w:line="240" w:lineRule="auto" w:before="120" w:after="80"/>
        <w:jc w:val="center"/>
      </w:pPr>
      <w:r>
        <w:drawing>
          <wp:inline xmlns:a="http://schemas.openxmlformats.org/drawingml/2006/main" xmlns:pic="http://schemas.openxmlformats.org/drawingml/2006/picture">
            <wp:extent cx="5577840" cy="3329273"/>
            <wp:docPr id="7" name="Picture 7"/>
            <wp:cNvGraphicFramePr>
              <a:graphicFrameLocks noChangeAspect="1"/>
            </wp:cNvGraphicFramePr>
            <a:graphic>
              <a:graphicData uri="http://schemas.openxmlformats.org/drawingml/2006/picture">
                <pic:pic>
                  <pic:nvPicPr>
                    <pic:cNvPr id="0" name="Test1.png"/>
                    <pic:cNvPicPr/>
                  </pic:nvPicPr>
                  <pic:blipFill>
                    <a:blip r:embed="rId17"/>
                    <a:stretch>
                      <a:fillRect/>
                    </a:stretch>
                  </pic:blipFill>
                  <pic:spPr>
                    <a:xfrm>
                      <a:off x="0" y="0"/>
                      <a:ext cx="5577840" cy="3329273"/>
                    </a:xfrm>
                    <a:prstGeom prst="rect"/>
                  </pic:spPr>
                </pic:pic>
              </a:graphicData>
            </a:graphic>
          </wp:inline>
        </w:drawing>
      </w:r>
    </w:p>
    <w:p>
      <w:pPr>
        <w:pStyle w:val="Caption"/>
        <w:jc w:val="center"/>
      </w:pPr>
      <w:r>
        <w:t>Figure 7. The initial push run succeeds at commit f5861f4. This screenshot was taken before the controlled failure.</w:t>
      </w:r>
    </w:p>
    <w:p>
      <w:r>
        <w:rPr>
          <w:b w:val="0"/>
        </w:rPr>
        <w:t>After the initial successful run, Reda added a temporary test that called pytest.fail. The failed run reported one failed case and 39 passing application cases. The logs identified the controlled demo test and exit code 1. Reda inspected the output, removed the temporary file in commit e58a0fd on the same ci/pytest branch, and pushed the correction. The later push and PR runs passed all 39 cases. The final branch diff contained only the workflow file.</w:t>
      </w:r>
    </w:p>
    <w:p>
      <w:pPr>
        <w:keepNext/>
        <w:spacing w:line="240" w:lineRule="auto" w:before="120" w:after="80"/>
        <w:jc w:val="center"/>
      </w:pPr>
      <w:r>
        <w:drawing>
          <wp:inline xmlns:a="http://schemas.openxmlformats.org/drawingml/2006/main" xmlns:pic="http://schemas.openxmlformats.org/drawingml/2006/picture">
            <wp:extent cx="5577840" cy="3107031"/>
            <wp:docPr id="8" name="Picture 8"/>
            <wp:cNvGraphicFramePr>
              <a:graphicFrameLocks noChangeAspect="1"/>
            </wp:cNvGraphicFramePr>
            <a:graphic>
              <a:graphicData uri="http://schemas.openxmlformats.org/drawingml/2006/picture">
                <pic:pic>
                  <pic:nvPicPr>
                    <pic:cNvPr id="0" name="Test3.png"/>
                    <pic:cNvPicPr/>
                  </pic:nvPicPr>
                  <pic:blipFill>
                    <a:blip r:embed="rId18"/>
                    <a:stretch>
                      <a:fillRect/>
                    </a:stretch>
                  </pic:blipFill>
                  <pic:spPr>
                    <a:xfrm>
                      <a:off x="0" y="0"/>
                      <a:ext cx="5577840" cy="3107031"/>
                    </a:xfrm>
                    <a:prstGeom prst="rect"/>
                  </pic:spPr>
                </pic:pic>
              </a:graphicData>
            </a:graphic>
          </wp:inline>
        </w:drawing>
      </w:r>
    </w:p>
    <w:p>
      <w:pPr>
        <w:pStyle w:val="Caption"/>
        <w:jc w:val="center"/>
      </w:pPr>
      <w:r>
        <w:t>Figure 8. The controlled pytest failure at commit 55a0d0b causes the CI push run to fail.</w:t>
      </w:r>
    </w:p>
    <w:tbl>
      <w:tblPr>
        <w:tblStyle w:val="TableGrid"/>
        <w:tblW w:type="auto" w:w="0"/>
        <w:jc w:val="center"/>
        <w:tblLayout w:type="fixed"/>
        <w:tblLook w:firstColumn="1" w:firstRow="1" w:lastColumn="0" w:lastRow="0" w:noHBand="0" w:noVBand="1" w:val="04A0"/>
      </w:tblPr>
      <w:tblGrid>
        <w:gridCol w:w="2160"/>
        <w:gridCol w:w="1440"/>
        <w:gridCol w:w="5328"/>
      </w:tblGrid>
      <w:tr>
        <w:trPr>
          <w:tblHeader w:val="true"/>
          <w:cantSplit/>
        </w:trPr>
        <w:tc>
          <w:tcPr>
            <w:tcW w:type="dxa" w:w="2160"/>
            <w:vAlign w:val="center"/>
          </w:tcPr>
          <w:p>
            <w:pPr>
              <w:spacing w:line="252" w:lineRule="auto" w:after="80" w:before="80"/>
            </w:pPr>
            <w:r>
              <w:rPr>
                <w:rFonts w:ascii="Times New Roman" w:hAnsi="Times New Roman"/>
                <w:b/>
                <w:color w:val="000000"/>
                <w:sz w:val="21"/>
              </w:rPr>
              <w:t>Stage</w:t>
            </w:r>
          </w:p>
        </w:tc>
        <w:tc>
          <w:tcPr>
            <w:tcW w:type="dxa" w:w="1440"/>
            <w:vAlign w:val="center"/>
          </w:tcPr>
          <w:p>
            <w:pPr>
              <w:spacing w:line="252" w:lineRule="auto" w:after="80" w:before="80"/>
            </w:pPr>
            <w:r>
              <w:rPr>
                <w:rFonts w:ascii="Times New Roman" w:hAnsi="Times New Roman"/>
                <w:b/>
                <w:color w:val="000000"/>
                <w:sz w:val="21"/>
              </w:rPr>
              <w:t>Commit</w:t>
            </w:r>
          </w:p>
        </w:tc>
        <w:tc>
          <w:tcPr>
            <w:tcW w:type="dxa" w:w="5328"/>
            <w:vAlign w:val="center"/>
          </w:tcPr>
          <w:p>
            <w:pPr>
              <w:spacing w:line="252" w:lineRule="auto" w:after="80" w:before="80"/>
            </w:pPr>
            <w:r>
              <w:rPr>
                <w:rFonts w:ascii="Times New Roman" w:hAnsi="Times New Roman"/>
                <w:b/>
                <w:color w:val="000000"/>
                <w:sz w:val="21"/>
              </w:rPr>
              <w:t>Recorded result</w:t>
            </w:r>
          </w:p>
        </w:tc>
      </w:tr>
      <w:tr>
        <w:trPr>
          <w:cantSplit/>
        </w:trPr>
        <w:tc>
          <w:tcPr>
            <w:tcW w:type="dxa" w:w="2160"/>
            <w:vAlign w:val="center"/>
          </w:tcPr>
          <w:p>
            <w:pPr>
              <w:spacing w:line="252" w:lineRule="auto" w:after="80" w:before="80"/>
            </w:pPr>
            <w:r>
              <w:rPr>
                <w:rFonts w:ascii="Times New Roman" w:hAnsi="Times New Roman"/>
                <w:b w:val="0"/>
                <w:color w:val="000000"/>
                <w:sz w:val="21"/>
              </w:rPr>
              <w:t>Initial workflow</w:t>
            </w:r>
          </w:p>
        </w:tc>
        <w:tc>
          <w:tcPr>
            <w:tcW w:type="dxa" w:w="1440"/>
            <w:vAlign w:val="center"/>
          </w:tcPr>
          <w:p>
            <w:pPr>
              <w:spacing w:line="252" w:lineRule="auto" w:after="80" w:before="80"/>
            </w:pPr>
            <w:r>
              <w:rPr>
                <w:rFonts w:ascii="Times New Roman" w:hAnsi="Times New Roman"/>
                <w:b w:val="0"/>
                <w:color w:val="000000"/>
                <w:sz w:val="21"/>
              </w:rPr>
              <w:t>f5861f4</w:t>
            </w:r>
          </w:p>
        </w:tc>
        <w:tc>
          <w:tcPr>
            <w:tcW w:type="dxa" w:w="5328"/>
            <w:vAlign w:val="center"/>
          </w:tcPr>
          <w:p>
            <w:pPr>
              <w:spacing w:line="252" w:lineRule="auto" w:after="80" w:before="80"/>
            </w:pPr>
            <w:r>
              <w:rPr>
                <w:rFonts w:ascii="Times New Roman" w:hAnsi="Times New Roman"/>
                <w:b w:val="0"/>
                <w:color w:val="000000"/>
                <w:sz w:val="21"/>
              </w:rPr>
              <w:t>Success; see Figure 7.</w:t>
            </w:r>
          </w:p>
        </w:tc>
      </w:tr>
      <w:tr>
        <w:trPr>
          <w:cantSplit/>
        </w:trPr>
        <w:tc>
          <w:tcPr>
            <w:tcW w:type="dxa" w:w="2160"/>
            <w:vAlign w:val="center"/>
          </w:tcPr>
          <w:p>
            <w:pPr>
              <w:spacing w:line="252" w:lineRule="auto" w:after="80" w:before="80"/>
            </w:pPr>
            <w:r>
              <w:rPr>
                <w:rFonts w:ascii="Times New Roman" w:hAnsi="Times New Roman"/>
                <w:b w:val="0"/>
                <w:color w:val="000000"/>
                <w:sz w:val="21"/>
              </w:rPr>
              <w:t>Controlled failing test</w:t>
            </w:r>
          </w:p>
        </w:tc>
        <w:tc>
          <w:tcPr>
            <w:tcW w:type="dxa" w:w="1440"/>
            <w:vAlign w:val="center"/>
          </w:tcPr>
          <w:p>
            <w:pPr>
              <w:spacing w:line="252" w:lineRule="auto" w:after="80" w:before="80"/>
            </w:pPr>
            <w:r>
              <w:rPr>
                <w:rFonts w:ascii="Times New Roman" w:hAnsi="Times New Roman"/>
                <w:b w:val="0"/>
                <w:color w:val="000000"/>
                <w:sz w:val="21"/>
              </w:rPr>
              <w:t>55a0d0b</w:t>
            </w:r>
          </w:p>
        </w:tc>
        <w:tc>
          <w:tcPr>
            <w:tcW w:type="dxa" w:w="5328"/>
            <w:vAlign w:val="center"/>
          </w:tcPr>
          <w:p>
            <w:pPr>
              <w:spacing w:line="252" w:lineRule="auto" w:after="80" w:before="80"/>
            </w:pPr>
            <w:r>
              <w:rPr>
                <w:rFonts w:ascii="Times New Roman" w:hAnsi="Times New Roman"/>
                <w:b w:val="0"/>
                <w:color w:val="000000"/>
                <w:sz w:val="21"/>
              </w:rPr>
              <w:t>Failure; 1 failed and 39 passed.</w:t>
            </w:r>
          </w:p>
        </w:tc>
      </w:tr>
      <w:tr>
        <w:trPr>
          <w:cantSplit/>
        </w:trPr>
        <w:tc>
          <w:tcPr>
            <w:tcW w:type="dxa" w:w="2160"/>
            <w:vAlign w:val="center"/>
          </w:tcPr>
          <w:p>
            <w:pPr>
              <w:spacing w:line="252" w:lineRule="auto" w:after="80" w:before="80"/>
            </w:pPr>
            <w:r>
              <w:rPr>
                <w:rFonts w:ascii="Times New Roman" w:hAnsi="Times New Roman"/>
                <w:b w:val="0"/>
                <w:color w:val="000000"/>
                <w:sz w:val="21"/>
              </w:rPr>
              <w:t>Correction</w:t>
            </w:r>
          </w:p>
        </w:tc>
        <w:tc>
          <w:tcPr>
            <w:tcW w:type="dxa" w:w="1440"/>
            <w:vAlign w:val="center"/>
          </w:tcPr>
          <w:p>
            <w:pPr>
              <w:spacing w:line="252" w:lineRule="auto" w:after="80" w:before="80"/>
            </w:pPr>
            <w:r>
              <w:rPr>
                <w:rFonts w:ascii="Times New Roman" w:hAnsi="Times New Roman"/>
                <w:b w:val="0"/>
                <w:color w:val="000000"/>
                <w:sz w:val="21"/>
              </w:rPr>
              <w:t>e58a0fd</w:t>
            </w:r>
          </w:p>
        </w:tc>
        <w:tc>
          <w:tcPr>
            <w:tcW w:type="dxa" w:w="5328"/>
            <w:vAlign w:val="center"/>
          </w:tcPr>
          <w:p>
            <w:pPr>
              <w:spacing w:line="252" w:lineRule="auto" w:after="80" w:before="80"/>
            </w:pPr>
            <w:r>
              <w:rPr>
                <w:rFonts w:ascii="Times New Roman" w:hAnsi="Times New Roman"/>
                <w:b w:val="0"/>
                <w:color w:val="000000"/>
                <w:sz w:val="21"/>
              </w:rPr>
              <w:t>Success after removing the demo; 39 passed.</w:t>
            </w:r>
          </w:p>
        </w:tc>
      </w:tr>
    </w:tbl>
    <w:p>
      <w:pPr>
        <w:spacing w:after="0"/>
      </w:pPr>
    </w:p>
    <w:p>
      <w:pPr>
        <w:spacing w:line="240" w:lineRule="auto"/>
      </w:pPr>
      <w:hyperlink r:id="rId19">
        <w:r>
          <w:rPr>
            <w:rFonts w:ascii="Times New Roman" w:hAnsi="Times New Roman"/>
            <w:color w:val="000000"/>
            <w:u w:val="single"/>
          </w:rPr>
          <w:t>Failed PR run: 40589847428</w:t>
        </w:r>
      </w:hyperlink>
    </w:p>
    <w:p>
      <w:pPr>
        <w:spacing w:line="240" w:lineRule="auto"/>
      </w:pPr>
      <w:hyperlink r:id="rId20">
        <w:r>
          <w:rPr>
            <w:rFonts w:ascii="Times New Roman" w:hAnsi="Times New Roman"/>
            <w:color w:val="000000"/>
            <w:u w:val="single"/>
          </w:rPr>
          <w:t>Successful PR run after correction: 40589970912</w:t>
        </w:r>
      </w:hyperlink>
    </w:p>
    <w:p>
      <w:pPr>
        <w:pStyle w:val="Heading1"/>
      </w:pPr>
      <w:r>
        <w:t>7. Ruleset &amp; Protected main</w:t>
      </w:r>
    </w:p>
    <w:p>
      <w:r>
        <w:rPr>
          <w:b w:val="0"/>
        </w:rPr>
        <w:t>The active Protect main ruleset targets refs/heads/main. It requires a Pull Request and at least one approving review, blocks branch deletion and force pushes, and has an empty bypass list. New commits dismiss stale approvals. The Python tests status check from GitHub Actions must pass, and the branch must be tested with the latest main code before merging.</w:t>
      </w:r>
    </w:p>
    <w:p>
      <w:r>
        <w:rPr>
          <w:b w:val="0"/>
        </w:rPr>
        <w:t>During the CI exercise, PR #3 was blocked while its checks failed and approval was missing. After the correction, the checks passed while the review requirement still prevented merging. Hajar's approval satisfied the remaining review requirement before the PR was merged. Figure 9 records the review request and required approval in the workflow PR.</w:t>
      </w:r>
    </w:p>
    <w:p>
      <w:pPr>
        <w:keepNext/>
        <w:spacing w:line="240" w:lineRule="auto" w:before="120" w:after="80"/>
        <w:jc w:val="center"/>
      </w:pPr>
      <w:r>
        <w:drawing>
          <wp:inline xmlns:a="http://schemas.openxmlformats.org/drawingml/2006/main" xmlns:pic="http://schemas.openxmlformats.org/drawingml/2006/picture">
            <wp:extent cx="5577840" cy="3327094"/>
            <wp:docPr id="9" name="Picture 9"/>
            <wp:cNvGraphicFramePr>
              <a:graphicFrameLocks noChangeAspect="1"/>
            </wp:cNvGraphicFramePr>
            <a:graphic>
              <a:graphicData uri="http://schemas.openxmlformats.org/drawingml/2006/picture">
                <pic:pic>
                  <pic:nvPicPr>
                    <pic:cNvPr id="0" name="Workflow.png"/>
                    <pic:cNvPicPr/>
                  </pic:nvPicPr>
                  <pic:blipFill>
                    <a:blip r:embed="rId21"/>
                    <a:stretch>
                      <a:fillRect/>
                    </a:stretch>
                  </pic:blipFill>
                  <pic:spPr>
                    <a:xfrm>
                      <a:off x="0" y="0"/>
                      <a:ext cx="5577840" cy="3327094"/>
                    </a:xfrm>
                    <a:prstGeom prst="rect"/>
                  </pic:spPr>
                </pic:pic>
              </a:graphicData>
            </a:graphic>
          </wp:inline>
        </w:drawing>
      </w:r>
    </w:p>
    <w:p>
      <w:pPr>
        <w:pStyle w:val="Caption"/>
        <w:jc w:val="center"/>
      </w:pPr>
      <w:r>
        <w:t>Figure 9. Workflow PR #3 shows the required approval; its description states the CI requirement.</w:t>
      </w:r>
    </w:p>
    <w:p>
      <w:pPr>
        <w:spacing w:line="240" w:lineRule="auto"/>
      </w:pPr>
      <w:hyperlink r:id="rId22">
        <w:r>
          <w:rPr>
            <w:rFonts w:ascii="Times New Roman" w:hAnsi="Times New Roman"/>
            <w:color w:val="000000"/>
            <w:u w:val="single"/>
          </w:rPr>
          <w:t>Final Protect main ruleset</w:t>
        </w:r>
      </w:hyperlink>
    </w:p>
    <w:p>
      <w:pPr>
        <w:pStyle w:val="Heading1"/>
      </w:pPr>
      <w:r>
        <w:t>8. Continuous Deployment</w:t>
      </w:r>
    </w:p>
    <w:p>
      <w:r>
        <w:rPr>
          <w:b w:val="0"/>
        </w:rPr>
        <w:t>GitHub Pages publishes the static project page from the main branch and /docs folder, using docs/index.html as its entry file. Hajar added the page through PR #5 on feature/project-pages. The page includes the project title and theme, both team members, a feature overview, and setup and test instructions.</w:t>
      </w:r>
    </w:p>
    <w:p>
      <w:r>
        <w:rPr>
          <w:b w:val="0"/>
        </w:rPr>
        <w:t>Hajar then used feature/final-page-update and PR #7 to add a visible sentence about collaborative development, automated testing, and continuous integration. That change was committed as 97d7e8d and merged into main at f70959a. The Pages build for f70959a completed successfully, and the new sentence was verified on the live page with HTTP 200.</w:t>
      </w:r>
    </w:p>
    <w:p>
      <w:pPr>
        <w:spacing w:line="240" w:lineRule="auto"/>
      </w:pPr>
      <w:hyperlink r:id="rId23">
        <w:r>
          <w:rPr>
            <w:rFonts w:ascii="Times New Roman" w:hAnsi="Times New Roman"/>
            <w:color w:val="000000"/>
            <w:u w:val="single"/>
          </w:rPr>
          <w:t>Live GitHub Pages project page</w:t>
        </w:r>
      </w:hyperlink>
    </w:p>
    <w:p>
      <w:pPr>
        <w:keepNext/>
        <w:spacing w:line="240" w:lineRule="auto" w:before="120" w:after="80"/>
        <w:jc w:val="center"/>
      </w:pPr>
      <w:r>
        <w:drawing>
          <wp:inline xmlns:a="http://schemas.openxmlformats.org/drawingml/2006/main" xmlns:pic="http://schemas.openxmlformats.org/drawingml/2006/picture">
            <wp:extent cx="5577840" cy="3342346"/>
            <wp:docPr id="10" name="Picture 10"/>
            <wp:cNvGraphicFramePr>
              <a:graphicFrameLocks noChangeAspect="1"/>
            </wp:cNvGraphicFramePr>
            <a:graphic>
              <a:graphicData uri="http://schemas.openxmlformats.org/drawingml/2006/picture">
                <pic:pic>
                  <pic:nvPicPr>
                    <pic:cNvPr id="0" name="Page.png"/>
                    <pic:cNvPicPr/>
                  </pic:nvPicPr>
                  <pic:blipFill>
                    <a:blip r:embed="rId24"/>
                    <a:stretch>
                      <a:fillRect/>
                    </a:stretch>
                  </pic:blipFill>
                  <pic:spPr>
                    <a:xfrm>
                      <a:off x="0" y="0"/>
                      <a:ext cx="5577840" cy="3342346"/>
                    </a:xfrm>
                    <a:prstGeom prst="rect"/>
                  </pic:spPr>
                </pic:pic>
              </a:graphicData>
            </a:graphic>
          </wp:inline>
        </w:drawing>
      </w:r>
    </w:p>
    <w:p>
      <w:pPr>
        <w:pStyle w:val="Caption"/>
        <w:jc w:val="center"/>
      </w:pPr>
      <w:r>
        <w:t>Figure 10. The published page shows both members and the description update introduced through PR #7.</w:t>
      </w:r>
    </w:p>
    <w:p>
      <w:pPr>
        <w:pStyle w:val="Heading1"/>
      </w:pPr>
      <w:r>
        <w:t>9. Contribution Summary</w:t>
      </w:r>
    </w:p>
    <w:tbl>
      <w:tblPr>
        <w:tblStyle w:val="TableGrid"/>
        <w:tblW w:type="auto" w:w="0"/>
        <w:jc w:val="center"/>
        <w:tblLayout w:type="fixed"/>
        <w:tblLook w:firstColumn="1" w:firstRow="1" w:lastColumn="0" w:lastRow="0" w:noHBand="0" w:noVBand="1" w:val="04A0"/>
      </w:tblPr>
      <w:tblGrid>
        <w:gridCol w:w="1584"/>
        <w:gridCol w:w="3960"/>
        <w:gridCol w:w="3384"/>
      </w:tblGrid>
      <w:tr>
        <w:trPr>
          <w:tblHeader w:val="true"/>
          <w:cantSplit/>
        </w:trPr>
        <w:tc>
          <w:tcPr>
            <w:tcW w:type="dxa" w:w="1584"/>
            <w:vAlign w:val="center"/>
          </w:tcPr>
          <w:p>
            <w:pPr>
              <w:spacing w:line="252" w:lineRule="auto" w:after="80" w:before="80"/>
            </w:pPr>
            <w:r>
              <w:rPr>
                <w:rFonts w:ascii="Times New Roman" w:hAnsi="Times New Roman"/>
                <w:b/>
                <w:color w:val="000000"/>
                <w:sz w:val="21"/>
              </w:rPr>
              <w:t>Member</w:t>
            </w:r>
          </w:p>
        </w:tc>
        <w:tc>
          <w:tcPr>
            <w:tcW w:type="dxa" w:w="3960"/>
            <w:vAlign w:val="center"/>
          </w:tcPr>
          <w:p>
            <w:pPr>
              <w:spacing w:line="252" w:lineRule="auto" w:after="80" w:before="80"/>
            </w:pPr>
            <w:r>
              <w:rPr>
                <w:rFonts w:ascii="Times New Roman" w:hAnsi="Times New Roman"/>
                <w:b/>
                <w:color w:val="000000"/>
                <w:sz w:val="21"/>
              </w:rPr>
              <w:t>Branches and PRs</w:t>
            </w:r>
          </w:p>
        </w:tc>
        <w:tc>
          <w:tcPr>
            <w:tcW w:type="dxa" w:w="3384"/>
            <w:vAlign w:val="center"/>
          </w:tcPr>
          <w:p>
            <w:pPr>
              <w:spacing w:line="252" w:lineRule="auto" w:after="80" w:before="80"/>
            </w:pPr>
            <w:r>
              <w:rPr>
                <w:rFonts w:ascii="Times New Roman" w:hAnsi="Times New Roman"/>
                <w:b/>
                <w:color w:val="000000"/>
                <w:sz w:val="21"/>
              </w:rPr>
              <w:t>Feature and test contribution</w:t>
            </w:r>
          </w:p>
        </w:tc>
      </w:tr>
      <w:tr>
        <w:trPr>
          <w:cantSplit/>
        </w:trPr>
        <w:tc>
          <w:tcPr>
            <w:tcW w:type="dxa" w:w="1584"/>
            <w:vAlign w:val="center"/>
          </w:tcPr>
          <w:p>
            <w:pPr>
              <w:spacing w:line="252" w:lineRule="auto" w:after="80" w:before="80"/>
            </w:pPr>
            <w:r>
              <w:rPr>
                <w:rFonts w:ascii="Times New Roman" w:hAnsi="Times New Roman"/>
                <w:b w:val="0"/>
                <w:color w:val="000000"/>
                <w:sz w:val="21"/>
              </w:rPr>
              <w:t>Reda Alalach</w:t>
            </w:r>
          </w:p>
        </w:tc>
        <w:tc>
          <w:tcPr>
            <w:tcW w:type="dxa" w:w="3960"/>
            <w:vAlign w:val="center"/>
          </w:tcPr>
          <w:p>
            <w:pPr>
              <w:spacing w:line="252" w:lineRule="auto" w:after="80" w:before="80"/>
            </w:pPr>
            <w:r>
              <w:rPr>
                <w:rFonts w:ascii="Times New Roman" w:hAnsi="Times New Roman"/>
                <w:b w:val="0"/>
                <w:color w:val="000000"/>
                <w:sz w:val="21"/>
              </w:rPr>
              <w:t>Authored PRs #1, #3, #6.</w:t>
              <w:br/>
              <w:t>Reviewed PRs #2, #4, #5, #7.</w:t>
              <w:br/>
              <w:t>Branches: feature/temperature; ci/pytest; conflict/temperature-status.</w:t>
            </w:r>
          </w:p>
        </w:tc>
        <w:tc>
          <w:tcPr>
            <w:tcW w:type="dxa" w:w="3384"/>
            <w:vAlign w:val="center"/>
          </w:tcPr>
          <w:p>
            <w:pPr>
              <w:spacing w:line="252" w:lineRule="auto" w:after="80" w:before="80"/>
            </w:pPr>
            <w:r>
              <w:rPr>
                <w:rFonts w:ascii="Times New Roman" w:hAnsi="Times New Roman"/>
                <w:b w:val="0"/>
                <w:color w:val="000000"/>
                <w:sz w:val="21"/>
              </w:rPr>
              <w:t>Temperature converter; 7 test functions / 29 cases; CI and ruleset setup; README conflict resolution.</w:t>
            </w:r>
          </w:p>
        </w:tc>
      </w:tr>
      <w:tr>
        <w:trPr>
          <w:cantSplit/>
        </w:trPr>
        <w:tc>
          <w:tcPr>
            <w:tcW w:type="dxa" w:w="1584"/>
            <w:vAlign w:val="center"/>
          </w:tcPr>
          <w:p>
            <w:pPr>
              <w:spacing w:line="252" w:lineRule="auto" w:after="80" w:before="80"/>
            </w:pPr>
            <w:r>
              <w:rPr>
                <w:rFonts w:ascii="Times New Roman" w:hAnsi="Times New Roman"/>
                <w:b w:val="0"/>
                <w:color w:val="000000"/>
                <w:sz w:val="21"/>
              </w:rPr>
              <w:t>Hajar Ouaghad</w:t>
            </w:r>
          </w:p>
        </w:tc>
        <w:tc>
          <w:tcPr>
            <w:tcW w:type="dxa" w:w="3960"/>
            <w:vAlign w:val="center"/>
          </w:tcPr>
          <w:p>
            <w:pPr>
              <w:spacing w:line="252" w:lineRule="auto" w:after="80" w:before="80"/>
            </w:pPr>
            <w:r>
              <w:rPr>
                <w:rFonts w:ascii="Times New Roman" w:hAnsi="Times New Roman"/>
                <w:b w:val="0"/>
                <w:color w:val="000000"/>
                <w:sz w:val="21"/>
              </w:rPr>
              <w:t>Authored PRs #2, #4, #5, #7.</w:t>
              <w:br/>
              <w:t>Reviewed PRs #1, #3, #6.</w:t>
              <w:br/>
              <w:t>Branches: feature/length-conversions; conflict/length-status; feature/project-pages; feature/final-page-update.</w:t>
            </w:r>
          </w:p>
        </w:tc>
        <w:tc>
          <w:tcPr>
            <w:tcW w:type="dxa" w:w="3384"/>
            <w:vAlign w:val="center"/>
          </w:tcPr>
          <w:p>
            <w:pPr>
              <w:spacing w:line="252" w:lineRule="auto" w:after="80" w:before="80"/>
            </w:pPr>
            <w:r>
              <w:rPr>
                <w:rFonts w:ascii="Times New Roman" w:hAnsi="Times New Roman"/>
                <w:b w:val="0"/>
                <w:color w:val="000000"/>
                <w:sz w:val="21"/>
              </w:rPr>
              <w:t>Length converter; 8 test functions / 10 cases; finite-input correction; project page and final visible update.</w:t>
            </w:r>
          </w:p>
        </w:tc>
      </w:tr>
    </w:tbl>
    <w:p>
      <w:pPr>
        <w:spacing w:after="0"/>
      </w:pPr>
    </w:p>
    <w:p>
      <w:pPr>
        <w:pStyle w:val="Heading1"/>
      </w:pPr>
      <w:r>
        <w:t>10. Fair Use of AI</w:t>
      </w:r>
    </w:p>
    <w:p>
      <w:r>
        <w:rPr>
          <w:b w:val="0"/>
        </w:rPr>
        <w:t>We used Codex for assignment planning, code and test drafts, CI configuration, review assistance, conflict-resolution guidance, and report preparation. Prompts asked for converter functions, meaningful pytest cases, input-validation checks, and workflow troubleshooting. Reda reused and checked an earlier AI-assisted temperature implementation. Hajar updated the length feature after review identified non-finite inputs. We checked the accepted work through local pytest runs, GitHub Actions logs, peer reviews, Git history, and the published page. Each member remains responsible for understanding the contribution under their account.</w:t>
      </w:r>
    </w:p>
    <w:p>
      <w:pPr>
        <w:pStyle w:val="Heading1"/>
      </w:pPr>
      <w:r>
        <w:t>11. Sources &amp; Reflection</w:t>
      </w:r>
    </w:p>
    <w:p>
      <w:pPr>
        <w:spacing w:line="240" w:lineRule="auto"/>
      </w:pPr>
      <w:r>
        <w:rPr>
          <w:b w:val="0"/>
          <w:sz w:val="21"/>
        </w:rPr>
        <w:t>[1] Course materials. Assignment 2 - Group D: GitHub Collaboration &amp; Automation, including the report template.</w:t>
      </w:r>
    </w:p>
    <w:p>
      <w:pPr>
        <w:spacing w:line="240" w:lineRule="auto"/>
      </w:pPr>
      <w:r>
        <w:rPr>
          <w:b w:val="0"/>
          <w:sz w:val="21"/>
        </w:rPr>
        <w:t>[2] Course slides. Session 2: Collaboration &amp; Automation, Group D.</w:t>
      </w:r>
    </w:p>
    <w:p>
      <w:pPr>
        <w:spacing w:line="240" w:lineRule="auto"/>
      </w:pPr>
      <w:hyperlink r:id="rId25">
        <w:r>
          <w:rPr>
            <w:rFonts w:ascii="Times New Roman" w:hAnsi="Times New Roman"/>
            <w:color w:val="000000"/>
            <w:u w:val="single"/>
          </w:rPr>
          <w:t>[3] Project repository, Pull Requests #1 to #7, commits, and Actions history.</w:t>
        </w:r>
      </w:hyperlink>
    </w:p>
    <w:p>
      <w:pPr>
        <w:spacing w:line="240" w:lineRule="auto"/>
      </w:pPr>
      <w:hyperlink r:id="rId26">
        <w:r>
          <w:rPr>
            <w:rFonts w:ascii="Times New Roman" w:hAnsi="Times New Roman"/>
            <w:color w:val="000000"/>
            <w:u w:val="single"/>
          </w:rPr>
          <w:t>[4] GitHub Docs. REST API endpoints for rules.</w:t>
        </w:r>
      </w:hyperlink>
    </w:p>
    <w:p>
      <w:pPr>
        <w:spacing w:line="240" w:lineRule="auto"/>
      </w:pPr>
      <w:hyperlink r:id="rId27">
        <w:r>
          <w:rPr>
            <w:rFonts w:ascii="Times New Roman" w:hAnsi="Times New Roman"/>
            <w:color w:val="000000"/>
            <w:u w:val="single"/>
          </w:rPr>
          <w:t>[5] GitHub Docs. Creating a GitHub Pages site.</w:t>
        </w:r>
      </w:hyperlink>
    </w:p>
    <w:p>
      <w:r>
        <w:rPr>
          <w:b w:val="0"/>
        </w:rPr>
        <w:t>The hardest collaboration step was resolving the README conflict without losing either status update. Comparing the common starting commit with Current and Incoming helped us preserve both completed features. If a PR or workflow behaves unexpectedly, we would first check its base branch, required reviews, and Actions logs. We would then rerun pytest locally and verify the Pages publishing folder before changing code.</w:t>
      </w:r>
    </w:p>
    <w:sectPr w:rsidR="00FC693F" w:rsidRPr="0006063C" w:rsidSect="00034616">
      <w:footerReference w:type="default" r:id="rId9"/>
      <w:pgSz w:w="11906" w:h="16838"/>
      <w:pgMar w:top="1440" w:right="1440" w:bottom="1440" w:left="1440"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redaalch/unit-converter-team2/pull/2"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github.com/redaalch/unit-converter-team2/actions/runs/40589847428" TargetMode="External"/><Relationship Id="rId20" Type="http://schemas.openxmlformats.org/officeDocument/2006/relationships/hyperlink" Target="https://github.com/redaalch/unit-converter-team2/actions/runs/40589970912" TargetMode="External"/><Relationship Id="rId21" Type="http://schemas.openxmlformats.org/officeDocument/2006/relationships/image" Target="media/image9.png"/><Relationship Id="rId22" Type="http://schemas.openxmlformats.org/officeDocument/2006/relationships/hyperlink" Target="https://github.com/redaalch/unit-converter-team2/rules/25992282" TargetMode="External"/><Relationship Id="rId23" Type="http://schemas.openxmlformats.org/officeDocument/2006/relationships/hyperlink" Target="https://redaalch.github.io/unit-converter-team2/" TargetMode="External"/><Relationship Id="rId24" Type="http://schemas.openxmlformats.org/officeDocument/2006/relationships/image" Target="media/image10.png"/><Relationship Id="rId25" Type="http://schemas.openxmlformats.org/officeDocument/2006/relationships/hyperlink" Target="https://github.com/redaalch/unit-converter-team2" TargetMode="External"/><Relationship Id="rId26" Type="http://schemas.openxmlformats.org/officeDocument/2006/relationships/hyperlink" Target="https://docs.github.com/en/rest/repos/rules" TargetMode="External"/><Relationship Id="rId27" Type="http://schemas.openxmlformats.org/officeDocument/2006/relationships/hyperlink" Target="https://docs.github.com/en/pages/getting-started-with-github-pages/creating-a-github-pages-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Git &amp; GitHub Fundamentals</dc:title>
  <dc:subject>Unit Converter: GitHub Collaboration &amp; Automation</dc:subject>
  <dc:creator>Reda Alalach; Hajar Ouaghad</dc:creator>
  <cp:keywords>Git, GitHub, pytest, GitHub Actions, GitHub Pages</cp:keywords>
  <dc:description/>
  <cp:lastModifiedBy>Reda Alalach; Hajar Ouaghad</cp:lastModifiedBy>
  <cp:revision>1</cp:revision>
  <dcterms:created xsi:type="dcterms:W3CDTF">2026-10-28T00:49:55Z</dcterms:created>
  <dcterms:modified xsi:type="dcterms:W3CDTF">2026-10-28T00:49:55Z</dcterms:modified>
  <cp:category/>
</cp:coreProperties>
</file>