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0A49" w14:textId="77777777" w:rsidR="00622621" w:rsidRPr="00C77F5E" w:rsidRDefault="00622621" w:rsidP="00622621">
      <w:pPr>
        <w:pStyle w:val="Quote"/>
        <w:outlineLvl w:val="0"/>
        <w:rPr>
          <w:rFonts w:cs="Calibri"/>
        </w:rPr>
      </w:pPr>
      <w:bookmarkStart w:id="0" w:name="_Toc176118585"/>
      <w:r w:rsidRPr="00C77F5E">
        <w:rPr>
          <w:rFonts w:cs="Calibri"/>
        </w:rPr>
        <w:t>Diabète sucré : Diagnostic et Classification.</w:t>
      </w:r>
      <w:bookmarkEnd w:id="0"/>
      <w:r w:rsidRPr="00C77F5E">
        <w:rPr>
          <w:rFonts w:cs="Calibri"/>
        </w:rPr>
        <w:t xml:space="preserve"> </w:t>
      </w:r>
    </w:p>
    <w:p w14:paraId="4F186936" w14:textId="77777777" w:rsidR="00622621" w:rsidRPr="00FA2D22" w:rsidRDefault="00622621" w:rsidP="00622621">
      <w:pPr>
        <w:rPr>
          <w:b/>
          <w:bCs/>
        </w:rPr>
      </w:pPr>
      <w:r>
        <w:rPr>
          <w:b/>
          <w:bCs/>
        </w:rPr>
        <w:t>1</w:t>
      </w:r>
      <w:r w:rsidRPr="00FA2D22">
        <w:rPr>
          <w:b/>
          <w:bCs/>
        </w:rPr>
        <w:t>. Le diabète type 2 (RF) : (RATT 2025 T30)</w:t>
      </w:r>
    </w:p>
    <w:p w14:paraId="76891C86" w14:textId="77777777" w:rsidR="00622621" w:rsidRDefault="00622621" w:rsidP="00622621">
      <w:pPr>
        <w:spacing w:before="240" w:after="240" w:line="20" w:lineRule="atLeast"/>
        <w:contextualSpacing/>
      </w:pPr>
      <w:r>
        <w:t>A. Survient plus souvent après l’âge de 40 ans</w:t>
      </w:r>
    </w:p>
    <w:p w14:paraId="05182DB4" w14:textId="77777777" w:rsidR="00622621" w:rsidRDefault="00622621" w:rsidP="00622621">
      <w:pPr>
        <w:spacing w:before="240" w:after="240" w:line="20" w:lineRule="atLeast"/>
        <w:contextualSpacing/>
      </w:pPr>
      <w:r>
        <w:t>B. Est souvent associé à un surpoids</w:t>
      </w:r>
    </w:p>
    <w:p w14:paraId="0B9E10F6" w14:textId="77777777" w:rsidR="00622621" w:rsidRDefault="00622621" w:rsidP="00622621">
      <w:pPr>
        <w:spacing w:before="240" w:after="240" w:line="20" w:lineRule="atLeast"/>
        <w:contextualSpacing/>
      </w:pPr>
      <w:r>
        <w:t>C. Plus fréquent que le DTI</w:t>
      </w:r>
    </w:p>
    <w:p w14:paraId="49FD542E" w14:textId="77777777" w:rsidR="00622621" w:rsidRDefault="00622621" w:rsidP="00622621">
      <w:pPr>
        <w:spacing w:before="240" w:after="240" w:line="20" w:lineRule="atLeast"/>
        <w:contextualSpacing/>
      </w:pPr>
      <w:r>
        <w:t>D. Ne donne presque jamais de complications microangiopathiques</w:t>
      </w:r>
    </w:p>
    <w:p w14:paraId="16934600" w14:textId="77777777" w:rsidR="00622621" w:rsidRDefault="00622621" w:rsidP="00622621">
      <w:pPr>
        <w:spacing w:before="240" w:after="240" w:line="20" w:lineRule="atLeast"/>
        <w:contextualSpacing/>
      </w:pPr>
      <w:r>
        <w:t>E. Peut être révélé par un pied diabétique</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622621" w14:paraId="60F919AE" w14:textId="77777777" w:rsidTr="00577FBF">
        <w:tc>
          <w:tcPr>
            <w:tcW w:w="468" w:type="dxa"/>
            <w:tcBorders>
              <w:top w:val="single" w:sz="8" w:space="0" w:color="000000"/>
              <w:left w:val="single" w:sz="8" w:space="0" w:color="000000"/>
              <w:bottom w:val="single" w:sz="8" w:space="0" w:color="000000"/>
              <w:right w:val="single" w:sz="8" w:space="0" w:color="000000"/>
            </w:tcBorders>
            <w:vAlign w:val="center"/>
          </w:tcPr>
          <w:p w14:paraId="2AF126F2" w14:textId="77777777" w:rsidR="00622621" w:rsidRDefault="00622621" w:rsidP="00577FBF">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D</w:t>
            </w:r>
          </w:p>
        </w:tc>
        <w:tc>
          <w:tcPr>
            <w:tcW w:w="9850" w:type="dxa"/>
            <w:tcBorders>
              <w:top w:val="single" w:sz="8" w:space="0" w:color="000000"/>
              <w:left w:val="single" w:sz="8" w:space="0" w:color="000000"/>
              <w:bottom w:val="single" w:sz="8" w:space="0" w:color="000000"/>
              <w:right w:val="single" w:sz="8" w:space="0" w:color="000000"/>
            </w:tcBorders>
            <w:vAlign w:val="center"/>
          </w:tcPr>
          <w:p w14:paraId="006FED8E" w14:textId="77777777" w:rsidR="00622621" w:rsidRDefault="00622621" w:rsidP="00577FBF">
            <w:pPr>
              <w:spacing w:line="20" w:lineRule="atLeast"/>
              <w:contextualSpacing/>
              <w:rPr>
                <w:rFonts w:ascii="sans-serif" w:eastAsia="sans-serif" w:hAnsi="sans-serif" w:cs="sans-serif"/>
                <w:color w:val="000000"/>
              </w:rPr>
            </w:pPr>
            <w:r>
              <w:rPr>
                <w:rFonts w:ascii="sans-serif" w:eastAsia="sans-serif" w:hAnsi="sans-serif" w:cs="sans-serif"/>
                <w:color w:val="000000"/>
              </w:rPr>
              <w:t xml:space="preserve"> Il donne </w:t>
            </w:r>
            <w:r>
              <w:rPr>
                <w:rFonts w:ascii="sans-serif" w:eastAsia="sans-serif" w:hAnsi="sans-serif" w:cs="sans-serif"/>
                <w:b/>
                <w:bCs/>
                <w:color w:val="000000"/>
              </w:rPr>
              <w:t>fréquemment</w:t>
            </w:r>
            <w:r>
              <w:rPr>
                <w:rFonts w:ascii="sans-serif" w:eastAsia="sans-serif" w:hAnsi="sans-serif" w:cs="sans-serif"/>
                <w:color w:val="000000"/>
              </w:rPr>
              <w:t xml:space="preserve"> des complications microangiopathiques (rétinopathie, néphropathie, neuropathie) </w:t>
            </w:r>
          </w:p>
        </w:tc>
      </w:tr>
    </w:tbl>
    <w:p w14:paraId="4F5B11C9" w14:textId="77777777" w:rsidR="00622621" w:rsidRDefault="00622621" w:rsidP="00622621">
      <w:pPr>
        <w:spacing w:line="20" w:lineRule="atLeast"/>
        <w:contextualSpacing/>
      </w:pPr>
    </w:p>
    <w:p w14:paraId="73C62EB2" w14:textId="77777777" w:rsidR="00622621" w:rsidRPr="00FA2D22" w:rsidRDefault="00622621" w:rsidP="00622621">
      <w:pPr>
        <w:rPr>
          <w:b/>
          <w:bCs/>
        </w:rPr>
      </w:pPr>
      <w:r>
        <w:rPr>
          <w:b/>
          <w:bCs/>
        </w:rPr>
        <w:t>2</w:t>
      </w:r>
      <w:r w:rsidRPr="00FA2D22">
        <w:rPr>
          <w:b/>
          <w:bCs/>
        </w:rPr>
        <w:t>. Le diabète type MODY se caractérise par (RJ) (RATT 2025 T29)</w:t>
      </w:r>
    </w:p>
    <w:p w14:paraId="14FA6B56" w14:textId="77777777" w:rsidR="00622621" w:rsidRDefault="00622621" w:rsidP="00622621">
      <w:pPr>
        <w:spacing w:before="240" w:after="240" w:line="20" w:lineRule="atLeast"/>
        <w:contextualSpacing/>
      </w:pPr>
      <w:r>
        <w:t>A. L'absence d'ATCD familiaux de diabète</w:t>
      </w:r>
    </w:p>
    <w:p w14:paraId="65F481B4" w14:textId="77777777" w:rsidR="00622621" w:rsidRDefault="00622621" w:rsidP="00622621">
      <w:pPr>
        <w:spacing w:before="240" w:after="240" w:line="20" w:lineRule="atLeast"/>
        <w:contextualSpacing/>
      </w:pPr>
      <w:r>
        <w:t>B. Apparition fardive après L'age de 40 ans.</w:t>
      </w:r>
    </w:p>
    <w:p w14:paraId="7020D0D2" w14:textId="77777777" w:rsidR="00622621" w:rsidRDefault="00622621" w:rsidP="00622621">
      <w:pPr>
        <w:spacing w:before="240" w:after="240" w:line="20" w:lineRule="atLeast"/>
        <w:contextualSpacing/>
      </w:pPr>
      <w:r>
        <w:t>C. Les complications macroangiopathiques sont fréquentes et précoces</w:t>
      </w:r>
    </w:p>
    <w:p w14:paraId="35F800DA" w14:textId="77777777" w:rsidR="00622621" w:rsidRDefault="00622621" w:rsidP="00622621">
      <w:pPr>
        <w:spacing w:before="240" w:after="240" w:line="20" w:lineRule="atLeast"/>
        <w:contextualSpacing/>
      </w:pPr>
      <w:r>
        <w:t>D. Nécessite souvent une insulinothérapie</w:t>
      </w:r>
    </w:p>
    <w:p w14:paraId="064568B7" w14:textId="77777777" w:rsidR="00622621" w:rsidRDefault="00622621" w:rsidP="00622621">
      <w:pPr>
        <w:spacing w:before="240" w:after="240" w:line="20" w:lineRule="atLeast"/>
        <w:contextualSpacing/>
      </w:pPr>
      <w:r>
        <w:t>E Toutes les propositsons sont frusses</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622621" w14:paraId="79347021" w14:textId="77777777" w:rsidTr="00577FBF">
        <w:tc>
          <w:tcPr>
            <w:tcW w:w="468" w:type="dxa"/>
            <w:tcBorders>
              <w:top w:val="single" w:sz="8" w:space="0" w:color="000000"/>
              <w:left w:val="single" w:sz="8" w:space="0" w:color="000000"/>
              <w:bottom w:val="single" w:sz="8" w:space="0" w:color="000000"/>
              <w:right w:val="single" w:sz="8" w:space="0" w:color="000000"/>
            </w:tcBorders>
            <w:vAlign w:val="center"/>
          </w:tcPr>
          <w:p w14:paraId="2FCEECD4" w14:textId="77777777" w:rsidR="00622621" w:rsidRDefault="00622621" w:rsidP="00577FBF">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E</w:t>
            </w:r>
          </w:p>
        </w:tc>
        <w:tc>
          <w:tcPr>
            <w:tcW w:w="9850" w:type="dxa"/>
            <w:tcBorders>
              <w:top w:val="single" w:sz="8" w:space="0" w:color="000000"/>
              <w:left w:val="single" w:sz="8" w:space="0" w:color="000000"/>
              <w:bottom w:val="single" w:sz="8" w:space="0" w:color="000000"/>
              <w:right w:val="single" w:sz="8" w:space="0" w:color="000000"/>
            </w:tcBorders>
            <w:vAlign w:val="center"/>
          </w:tcPr>
          <w:p w14:paraId="30604B45" w14:textId="77777777" w:rsidR="00622621" w:rsidRDefault="00622621" w:rsidP="00577FBF">
            <w:pPr>
              <w:spacing w:line="20" w:lineRule="atLeast"/>
              <w:contextualSpacing/>
              <w:rPr>
                <w:rFonts w:ascii="sans-serif" w:eastAsia="sans-serif" w:hAnsi="sans-serif" w:cs="sans-serif"/>
                <w:color w:val="000000"/>
              </w:rPr>
            </w:pPr>
            <w:r>
              <w:rPr>
                <w:rFonts w:ascii="sans-serif" w:eastAsia="sans-serif" w:hAnsi="sans-serif" w:cs="sans-serif"/>
                <w:color w:val="000000"/>
              </w:rPr>
              <w:t>Le MODY est un diabète monogénique, souvent avec </w:t>
            </w:r>
            <w:r>
              <w:rPr>
                <w:rFonts w:ascii="sans-serif" w:eastAsia="sans-serif" w:hAnsi="sans-serif" w:cs="sans-serif"/>
                <w:b/>
                <w:bCs/>
                <w:color w:val="000000"/>
              </w:rPr>
              <w:t xml:space="preserve">ATCD </w:t>
            </w:r>
            <w:proofErr w:type="gramStart"/>
            <w:r>
              <w:rPr>
                <w:rFonts w:ascii="sans-serif" w:eastAsia="sans-serif" w:hAnsi="sans-serif" w:cs="sans-serif"/>
                <w:b/>
                <w:bCs/>
                <w:color w:val="000000"/>
              </w:rPr>
              <w:t>familiaux</w:t>
            </w:r>
            <w:r>
              <w:rPr>
                <w:rFonts w:ascii="sans-serif" w:eastAsia="sans-serif" w:hAnsi="sans-serif" w:cs="sans-serif"/>
                <w:color w:val="000000"/>
              </w:rPr>
              <w:t> ,</w:t>
            </w:r>
            <w:proofErr w:type="gramEnd"/>
            <w:r>
              <w:rPr>
                <w:rFonts w:ascii="sans-serif" w:eastAsia="sans-serif" w:hAnsi="sans-serif" w:cs="sans-serif"/>
                <w:color w:val="000000"/>
              </w:rPr>
              <w:t xml:space="preserve"> à apparition </w:t>
            </w:r>
            <w:r>
              <w:rPr>
                <w:rFonts w:ascii="sans-serif" w:eastAsia="sans-serif" w:hAnsi="sans-serif" w:cs="sans-serif"/>
                <w:b/>
                <w:bCs/>
                <w:color w:val="000000"/>
              </w:rPr>
              <w:t>précoce</w:t>
            </w:r>
            <w:r>
              <w:rPr>
                <w:rFonts w:ascii="sans-serif" w:eastAsia="sans-serif" w:hAnsi="sans-serif" w:cs="sans-serif"/>
                <w:color w:val="000000"/>
              </w:rPr>
              <w:t> (avant 25 ans</w:t>
            </w:r>
            <w:proofErr w:type="gramStart"/>
            <w:r>
              <w:rPr>
                <w:rFonts w:ascii="sans-serif" w:eastAsia="sans-serif" w:hAnsi="sans-serif" w:cs="sans-serif"/>
                <w:color w:val="000000"/>
              </w:rPr>
              <w:t>) .</w:t>
            </w:r>
            <w:proofErr w:type="gramEnd"/>
            <w:r>
              <w:rPr>
                <w:rFonts w:ascii="sans-serif" w:eastAsia="sans-serif" w:hAnsi="sans-serif" w:cs="sans-serif"/>
                <w:color w:val="000000"/>
              </w:rPr>
              <w:t xml:space="preserve"> Les complications macroangiopathiques sont </w:t>
            </w:r>
            <w:proofErr w:type="gramStart"/>
            <w:r>
              <w:rPr>
                <w:rFonts w:ascii="sans-serif" w:eastAsia="sans-serif" w:hAnsi="sans-serif" w:cs="sans-serif"/>
                <w:color w:val="000000"/>
              </w:rPr>
              <w:t>rares .</w:t>
            </w:r>
            <w:proofErr w:type="gramEnd"/>
            <w:r>
              <w:rPr>
                <w:rFonts w:ascii="sans-serif" w:eastAsia="sans-serif" w:hAnsi="sans-serif" w:cs="sans-serif"/>
                <w:color w:val="000000"/>
              </w:rPr>
              <w:t xml:space="preserve"> Ne nécessite pas toujours </w:t>
            </w:r>
            <w:proofErr w:type="gramStart"/>
            <w:r>
              <w:rPr>
                <w:rFonts w:ascii="sans-serif" w:eastAsia="sans-serif" w:hAnsi="sans-serif" w:cs="sans-serif"/>
                <w:color w:val="000000"/>
              </w:rPr>
              <w:t>d'insuline ,</w:t>
            </w:r>
            <w:proofErr w:type="gramEnd"/>
            <w:r>
              <w:rPr>
                <w:rFonts w:ascii="sans-serif" w:eastAsia="sans-serif" w:hAnsi="sans-serif" w:cs="sans-serif"/>
                <w:color w:val="000000"/>
              </w:rPr>
              <w:t xml:space="preserve"> certains répondent aux sulfamides.</w:t>
            </w:r>
          </w:p>
        </w:tc>
      </w:tr>
    </w:tbl>
    <w:p w14:paraId="6BBE8890" w14:textId="77777777" w:rsidR="00622621" w:rsidRDefault="00622621" w:rsidP="00622621">
      <w:pPr>
        <w:spacing w:line="20" w:lineRule="atLeast"/>
        <w:contextualSpacing/>
      </w:pPr>
    </w:p>
    <w:p w14:paraId="0789EFC8" w14:textId="77777777" w:rsidR="00622621" w:rsidRPr="004E41DD" w:rsidRDefault="00622621" w:rsidP="00622621">
      <w:pPr>
        <w:spacing w:after="0" w:line="276" w:lineRule="auto"/>
        <w:rPr>
          <w:rFonts w:cstheme="minorHAnsi"/>
          <w:b/>
          <w:bCs/>
        </w:rPr>
      </w:pPr>
      <w:r w:rsidRPr="004E41DD">
        <w:rPr>
          <w:rFonts w:cstheme="minorHAnsi"/>
          <w:b/>
          <w:bCs/>
        </w:rPr>
        <w:t>3. Chez le diabétique de type 2, l'insulinosécrétion est affectée par les anomalies suivantes sauf une :</w:t>
      </w:r>
      <w:r w:rsidRPr="004E41DD">
        <w:rPr>
          <w:rFonts w:eastAsia="Arial" w:cstheme="minorHAnsi"/>
          <w:b/>
          <w:bCs/>
        </w:rPr>
        <w:t xml:space="preserve"> </w:t>
      </w:r>
      <w:r w:rsidRPr="004E41DD">
        <w:rPr>
          <w:rFonts w:cstheme="minorHAnsi"/>
          <w:b/>
          <w:bCs/>
        </w:rPr>
        <w:t>(la RJ)</w:t>
      </w:r>
      <w:r>
        <w:rPr>
          <w:rFonts w:cstheme="minorHAnsi"/>
          <w:b/>
          <w:bCs/>
        </w:rPr>
        <w:t xml:space="preserve"> </w:t>
      </w:r>
      <w:r w:rsidRPr="00FB642D">
        <w:rPr>
          <w:b/>
          <w:bCs/>
        </w:rPr>
        <w:t>(P2 2025 T</w:t>
      </w:r>
      <w:r>
        <w:rPr>
          <w:b/>
          <w:bCs/>
        </w:rPr>
        <w:t>30</w:t>
      </w:r>
      <w:r w:rsidRPr="00FB642D">
        <w:rPr>
          <w:b/>
          <w:bCs/>
        </w:rPr>
        <w:t>)</w:t>
      </w:r>
    </w:p>
    <w:p w14:paraId="51C07BAF" w14:textId="77777777" w:rsidR="00622621" w:rsidRPr="004E41DD" w:rsidRDefault="00622621" w:rsidP="00622621">
      <w:pPr>
        <w:spacing w:after="0" w:line="276" w:lineRule="auto"/>
        <w:rPr>
          <w:rFonts w:cstheme="minorHAnsi"/>
        </w:rPr>
      </w:pPr>
      <w:r w:rsidRPr="004E41DD">
        <w:rPr>
          <w:rFonts w:cstheme="minorHAnsi"/>
        </w:rPr>
        <w:t xml:space="preserve">A. Perte du pic précoce </w:t>
      </w:r>
    </w:p>
    <w:p w14:paraId="6055D2F9" w14:textId="77777777" w:rsidR="00622621" w:rsidRPr="004E41DD" w:rsidRDefault="00622621" w:rsidP="00622621">
      <w:pPr>
        <w:spacing w:after="0" w:line="276" w:lineRule="auto"/>
        <w:rPr>
          <w:rFonts w:cstheme="minorHAnsi"/>
        </w:rPr>
      </w:pPr>
      <w:r w:rsidRPr="004E41DD">
        <w:rPr>
          <w:rFonts w:cstheme="minorHAnsi"/>
        </w:rPr>
        <w:t xml:space="preserve">B. Réduction de la sécrétion basale </w:t>
      </w:r>
    </w:p>
    <w:p w14:paraId="578B7199" w14:textId="77777777" w:rsidR="00622621" w:rsidRPr="004E41DD" w:rsidRDefault="00622621" w:rsidP="00622621">
      <w:pPr>
        <w:spacing w:after="0" w:line="276" w:lineRule="auto"/>
        <w:rPr>
          <w:rFonts w:cstheme="minorHAnsi"/>
        </w:rPr>
      </w:pPr>
      <w:r w:rsidRPr="004E41DD">
        <w:rPr>
          <w:rFonts w:cstheme="minorHAnsi"/>
        </w:rPr>
        <w:t xml:space="preserve">C. Altérations des oscillations lentes de l'insuline </w:t>
      </w:r>
    </w:p>
    <w:p w14:paraId="1B91DDF1" w14:textId="77777777" w:rsidR="00622621" w:rsidRPr="004E41DD" w:rsidRDefault="00622621" w:rsidP="00622621">
      <w:pPr>
        <w:spacing w:after="0" w:line="276" w:lineRule="auto"/>
        <w:rPr>
          <w:rFonts w:cstheme="minorHAnsi"/>
        </w:rPr>
      </w:pPr>
      <w:r w:rsidRPr="004E41DD">
        <w:rPr>
          <w:rFonts w:cstheme="minorHAnsi"/>
        </w:rPr>
        <w:t xml:space="preserve">D. Altérations de la réponse des cellules Bêta à l'insuline </w:t>
      </w:r>
    </w:p>
    <w:p w14:paraId="45FC147B" w14:textId="77777777" w:rsidR="00622621" w:rsidRPr="004E41DD" w:rsidRDefault="00622621" w:rsidP="00622621">
      <w:pPr>
        <w:spacing w:after="0" w:line="276" w:lineRule="auto"/>
        <w:rPr>
          <w:rFonts w:cstheme="minorHAnsi"/>
        </w:rPr>
      </w:pPr>
      <w:r w:rsidRPr="004E41DD">
        <w:rPr>
          <w:rFonts w:cstheme="minorHAnsi"/>
        </w:rPr>
        <w:t xml:space="preserve">E. Augmentation de la clairance hépatique de l'insuline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622621" w:rsidRPr="004E41DD" w14:paraId="7C2506CE" w14:textId="77777777" w:rsidTr="00577FBF">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72AA99C8" w14:textId="77777777" w:rsidR="00622621" w:rsidRPr="004E41DD" w:rsidRDefault="00622621" w:rsidP="00577FBF">
            <w:pPr>
              <w:pStyle w:val="p1"/>
              <w:rPr>
                <w:rFonts w:asciiTheme="minorHAnsi" w:hAnsiTheme="minorHAnsi" w:cstheme="minorHAnsi"/>
              </w:rPr>
            </w:pPr>
            <w:r w:rsidRPr="004E41DD">
              <w:rPr>
                <w:rFonts w:asciiTheme="minorHAnsi" w:hAnsiTheme="minorHAnsi" w:cstheme="minorHAnsi"/>
                <w:b/>
                <w:bCs/>
              </w:rPr>
              <w:t>D</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15DA8B77" w14:textId="77777777" w:rsidR="00622621" w:rsidRPr="004E41DD" w:rsidRDefault="00622621" w:rsidP="00577FBF">
            <w:pPr>
              <w:pStyle w:val="p1"/>
              <w:rPr>
                <w:rFonts w:asciiTheme="minorHAnsi" w:hAnsiTheme="minorHAnsi" w:cstheme="minorHAnsi"/>
                <w:lang w:val="fr-FR"/>
              </w:rPr>
            </w:pPr>
            <w:r w:rsidRPr="004E41DD">
              <w:rPr>
                <w:rFonts w:asciiTheme="minorHAnsi" w:hAnsiTheme="minorHAnsi" w:cstheme="minorHAnsi"/>
                <w:lang w:val="fr-FR"/>
              </w:rPr>
              <w:t>Les cellules bêta ne répondent p</w:t>
            </w:r>
            <w:r w:rsidRPr="004E41DD">
              <w:rPr>
                <w:rFonts w:asciiTheme="minorHAnsi" w:hAnsiTheme="minorHAnsi" w:cstheme="minorHAnsi"/>
                <w:b/>
                <w:bCs/>
                <w:lang w:val="fr-FR"/>
              </w:rPr>
              <w:t>as à l'insuline, mais au glucose</w:t>
            </w:r>
            <w:r w:rsidRPr="004E41DD">
              <w:rPr>
                <w:rFonts w:asciiTheme="minorHAnsi" w:hAnsiTheme="minorHAnsi" w:cstheme="minorHAnsi"/>
                <w:lang w:val="fr-FR"/>
              </w:rPr>
              <w:t>. L'anomalie de la réponse des cellules bêta est à l'origine du DT2 (perte du pic précoce, réduction de la sécrétion basale, etc.)</w:t>
            </w:r>
          </w:p>
        </w:tc>
      </w:tr>
    </w:tbl>
    <w:p w14:paraId="3382FDFB" w14:textId="77777777" w:rsidR="00622621" w:rsidRPr="004E41DD" w:rsidRDefault="00622621" w:rsidP="00622621">
      <w:pPr>
        <w:spacing w:after="0" w:line="276" w:lineRule="auto"/>
        <w:rPr>
          <w:rFonts w:cstheme="minorHAnsi"/>
        </w:rPr>
      </w:pPr>
    </w:p>
    <w:p w14:paraId="43564473" w14:textId="77777777" w:rsidR="00622621" w:rsidRDefault="00622621" w:rsidP="00622621">
      <w:pPr>
        <w:spacing w:after="0" w:line="276" w:lineRule="auto"/>
        <w:rPr>
          <w:b/>
          <w:bCs/>
        </w:rPr>
      </w:pPr>
      <w:r>
        <w:rPr>
          <w:b/>
          <w:bCs/>
        </w:rPr>
        <w:t>4. Dans le diabète de type 1 : (les RF) (P1 2025 T36)</w:t>
      </w:r>
    </w:p>
    <w:p w14:paraId="5F8CC771" w14:textId="77777777" w:rsidR="00622621" w:rsidRDefault="00622621" w:rsidP="00622621">
      <w:pPr>
        <w:spacing w:after="0" w:line="276" w:lineRule="auto"/>
      </w:pPr>
      <w:r>
        <w:t>1. Le diabète de type 1 idiopathique est le plus fréquente</w:t>
      </w:r>
    </w:p>
    <w:p w14:paraId="36CC27D2" w14:textId="77777777" w:rsidR="00622621" w:rsidRDefault="00622621" w:rsidP="00622621">
      <w:pPr>
        <w:spacing w:after="0" w:line="276" w:lineRule="auto"/>
      </w:pPr>
      <w:r>
        <w:t>2. Les ATCD familiaux dans le diabète de type 1 sont fréquents</w:t>
      </w:r>
    </w:p>
    <w:p w14:paraId="51208119" w14:textId="77777777" w:rsidR="00622621" w:rsidRDefault="00622621" w:rsidP="00622621">
      <w:pPr>
        <w:spacing w:after="0" w:line="276" w:lineRule="auto"/>
      </w:pPr>
      <w:r>
        <w:t>3. Les complications dégénératives au diagnostic sont absentes.</w:t>
      </w:r>
    </w:p>
    <w:p w14:paraId="670585CE" w14:textId="77777777" w:rsidR="00622621" w:rsidRDefault="00622621" w:rsidP="00622621">
      <w:pPr>
        <w:spacing w:after="0" w:line="276" w:lineRule="auto"/>
      </w:pPr>
      <w:r>
        <w:t>4. Poids ; Normal ou maigre ;</w:t>
      </w:r>
    </w:p>
    <w:p w14:paraId="59EB14FD" w14:textId="77777777" w:rsidR="00622621" w:rsidRDefault="00622621" w:rsidP="00622621">
      <w:pPr>
        <w:spacing w:after="0" w:line="276" w:lineRule="auto"/>
      </w:pPr>
      <w:r>
        <w:t>5.</w:t>
      </w:r>
      <w:r w:rsidRPr="00970654">
        <w:t>la carence en</w:t>
      </w:r>
      <w:r>
        <w:t xml:space="preserve"> Insuline, risque d'évolution vers coma acido cétonique</w:t>
      </w:r>
    </w:p>
    <w:p w14:paraId="2A910FFE" w14:textId="77777777" w:rsidR="00622621" w:rsidRDefault="00622621" w:rsidP="00622621">
      <w:pPr>
        <w:spacing w:after="0" w:line="276" w:lineRule="auto"/>
      </w:pPr>
      <w:r>
        <w:t xml:space="preserve">A. 1+2   B. 3+4   C. 1+5   D. 2+4   E. 2+5 </w:t>
      </w:r>
    </w:p>
    <w:tbl>
      <w:tblPr>
        <w:tblStyle w:val="TableGrid"/>
        <w:tblW w:w="9946" w:type="dxa"/>
        <w:tblInd w:w="0" w:type="dxa"/>
        <w:tblLayout w:type="fixed"/>
        <w:tblLook w:val="04A0" w:firstRow="1" w:lastRow="0" w:firstColumn="1" w:lastColumn="0" w:noHBand="0" w:noVBand="1"/>
      </w:tblPr>
      <w:tblGrid>
        <w:gridCol w:w="421"/>
        <w:gridCol w:w="9525"/>
      </w:tblGrid>
      <w:tr w:rsidR="00622621" w14:paraId="79F65DB2" w14:textId="77777777" w:rsidTr="00577FBF">
        <w:tc>
          <w:tcPr>
            <w:tcW w:w="421" w:type="dxa"/>
          </w:tcPr>
          <w:p w14:paraId="1A1F5433" w14:textId="77777777" w:rsidR="00622621" w:rsidRDefault="00622621" w:rsidP="00577FBF">
            <w:pPr>
              <w:spacing w:line="23" w:lineRule="atLeast"/>
              <w:rPr>
                <w:rFonts w:ascii="sans-serif" w:eastAsia="sans-serif" w:hAnsi="sans-serif" w:cs="sans-serif"/>
                <w:color w:val="000000"/>
                <w:lang w:val="en-US"/>
              </w:rPr>
            </w:pPr>
            <w:r>
              <w:rPr>
                <w:rFonts w:ascii="sans-serif" w:eastAsia="sans-serif" w:hAnsi="sans-serif" w:cs="sans-serif"/>
                <w:b/>
                <w:bCs/>
                <w:color w:val="000000"/>
                <w:sz w:val="24"/>
                <w:szCs w:val="24"/>
                <w:lang w:val="en-US"/>
              </w:rPr>
              <w:t>A</w:t>
            </w:r>
          </w:p>
        </w:tc>
        <w:tc>
          <w:tcPr>
            <w:tcW w:w="9525" w:type="dxa"/>
          </w:tcPr>
          <w:p w14:paraId="3EEDE299" w14:textId="77777777" w:rsidR="00622621" w:rsidRDefault="00622621" w:rsidP="00577FBF">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1</w:t>
            </w:r>
            <w:r w:rsidRPr="00970654">
              <w:rPr>
                <w:rFonts w:ascii="sans-serif" w:eastAsia="sans-serif" w:hAnsi="sans-serif" w:cs="sans-serif"/>
                <w:color w:val="000000"/>
                <w:sz w:val="24"/>
                <w:szCs w:val="24"/>
                <w:lang w:eastAsia="zh-CN" w:bidi="ar"/>
              </w:rPr>
              <w:t> est faux : Le DT1 est majoritairement </w:t>
            </w:r>
            <w:r w:rsidRPr="00970654">
              <w:rPr>
                <w:rFonts w:ascii="sans-serif" w:eastAsia="sans-serif" w:hAnsi="sans-serif" w:cs="sans-serif"/>
                <w:b/>
                <w:bCs/>
                <w:color w:val="000000"/>
                <w:sz w:val="24"/>
                <w:szCs w:val="24"/>
                <w:lang w:eastAsia="zh-CN" w:bidi="ar"/>
              </w:rPr>
              <w:t>auto-immun</w:t>
            </w:r>
            <w:r w:rsidRPr="00970654">
              <w:rPr>
                <w:rFonts w:ascii="sans-serif" w:eastAsia="sans-serif" w:hAnsi="sans-serif" w:cs="sans-serif"/>
                <w:color w:val="000000"/>
                <w:sz w:val="24"/>
                <w:szCs w:val="24"/>
                <w:lang w:eastAsia="zh-CN" w:bidi="ar"/>
              </w:rPr>
              <w:t>, le DT1 idiopathique est rare. </w:t>
            </w:r>
          </w:p>
          <w:p w14:paraId="471AD8A8" w14:textId="77777777" w:rsidR="00622621" w:rsidRDefault="00622621" w:rsidP="00577FBF">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2</w:t>
            </w:r>
            <w:r w:rsidRPr="00970654">
              <w:rPr>
                <w:rFonts w:ascii="sans-serif" w:eastAsia="sans-serif" w:hAnsi="sans-serif" w:cs="sans-serif"/>
                <w:color w:val="000000"/>
                <w:sz w:val="24"/>
                <w:szCs w:val="24"/>
                <w:lang w:eastAsia="zh-CN" w:bidi="ar"/>
              </w:rPr>
              <w:t> est faux : Les ATCD familiaux de DT1 sont rares (5-10%</w:t>
            </w:r>
            <w:proofErr w:type="gramStart"/>
            <w:r w:rsidRPr="00970654">
              <w:rPr>
                <w:rFonts w:ascii="sans-serif" w:eastAsia="sans-serif" w:hAnsi="sans-serif" w:cs="sans-serif"/>
                <w:color w:val="000000"/>
                <w:sz w:val="24"/>
                <w:szCs w:val="24"/>
                <w:lang w:eastAsia="zh-CN" w:bidi="ar"/>
              </w:rPr>
              <w:t>) ,</w:t>
            </w:r>
            <w:proofErr w:type="gramEnd"/>
            <w:r w:rsidRPr="00970654">
              <w:rPr>
                <w:rFonts w:ascii="sans-serif" w:eastAsia="sans-serif" w:hAnsi="sans-serif" w:cs="sans-serif"/>
                <w:color w:val="000000"/>
                <w:sz w:val="24"/>
                <w:szCs w:val="24"/>
                <w:lang w:eastAsia="zh-CN" w:bidi="ar"/>
              </w:rPr>
              <w:t xml:space="preserve"> on les </w:t>
            </w:r>
            <w:proofErr w:type="gramStart"/>
            <w:r w:rsidRPr="00970654">
              <w:rPr>
                <w:rFonts w:ascii="sans-serif" w:eastAsia="sans-serif" w:hAnsi="sans-serif" w:cs="sans-serif"/>
                <w:color w:val="000000"/>
                <w:sz w:val="24"/>
                <w:szCs w:val="24"/>
                <w:lang w:eastAsia="zh-CN" w:bidi="ar"/>
              </w:rPr>
              <w:t>retrouves</w:t>
            </w:r>
            <w:proofErr w:type="gramEnd"/>
            <w:r w:rsidRPr="00970654">
              <w:rPr>
                <w:rFonts w:ascii="sans-serif" w:eastAsia="sans-serif" w:hAnsi="sans-serif" w:cs="sans-serif"/>
                <w:color w:val="000000"/>
                <w:sz w:val="24"/>
                <w:szCs w:val="24"/>
                <w:lang w:eastAsia="zh-CN" w:bidi="ar"/>
              </w:rPr>
              <w:t xml:space="preserve"> surtt dans le DT</w:t>
            </w:r>
            <w:proofErr w:type="gramStart"/>
            <w:r w:rsidRPr="00970654">
              <w:rPr>
                <w:rFonts w:ascii="sans-serif" w:eastAsia="sans-serif" w:hAnsi="sans-serif" w:cs="sans-serif"/>
                <w:color w:val="000000"/>
                <w:sz w:val="24"/>
                <w:szCs w:val="24"/>
                <w:lang w:eastAsia="zh-CN" w:bidi="ar"/>
              </w:rPr>
              <w:t>2 .</w:t>
            </w:r>
            <w:proofErr w:type="gramEnd"/>
            <w:r w:rsidRPr="00970654">
              <w:rPr>
                <w:rFonts w:ascii="sans-serif" w:eastAsia="sans-serif" w:hAnsi="sans-serif" w:cs="sans-serif"/>
                <w:color w:val="000000"/>
                <w:sz w:val="24"/>
                <w:szCs w:val="24"/>
                <w:lang w:eastAsia="zh-CN" w:bidi="ar"/>
              </w:rPr>
              <w:t> </w:t>
            </w:r>
          </w:p>
          <w:p w14:paraId="6BF66D09" w14:textId="77777777" w:rsidR="00622621" w:rsidRDefault="00622621" w:rsidP="00577FBF">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lastRenderedPageBreak/>
              <w:t>3</w:t>
            </w:r>
            <w:r w:rsidRPr="00970654">
              <w:rPr>
                <w:rFonts w:ascii="sans-serif" w:eastAsia="sans-serif" w:hAnsi="sans-serif" w:cs="sans-serif"/>
                <w:color w:val="000000"/>
                <w:sz w:val="24"/>
                <w:szCs w:val="24"/>
                <w:lang w:eastAsia="zh-CN" w:bidi="ar"/>
              </w:rPr>
              <w:t> est vrai : Les complications dégénératives (micro/macroangiopathie) sont </w:t>
            </w:r>
            <w:r w:rsidRPr="00970654">
              <w:rPr>
                <w:rFonts w:ascii="sans-serif" w:eastAsia="sans-serif" w:hAnsi="sans-serif" w:cs="sans-serif"/>
                <w:b/>
                <w:bCs/>
                <w:color w:val="000000"/>
                <w:sz w:val="24"/>
                <w:szCs w:val="24"/>
                <w:lang w:eastAsia="zh-CN" w:bidi="ar"/>
              </w:rPr>
              <w:t>absentes au diagnostic</w:t>
            </w:r>
            <w:r w:rsidRPr="00970654">
              <w:rPr>
                <w:rFonts w:ascii="sans-serif" w:eastAsia="sans-serif" w:hAnsi="sans-serif" w:cs="sans-serif"/>
                <w:color w:val="000000"/>
                <w:sz w:val="24"/>
                <w:szCs w:val="24"/>
                <w:lang w:eastAsia="zh-CN" w:bidi="ar"/>
              </w:rPr>
              <w:t> (contrairement au DT2). </w:t>
            </w:r>
          </w:p>
          <w:p w14:paraId="67C1E176" w14:textId="77777777" w:rsidR="00622621" w:rsidRDefault="00622621" w:rsidP="00577FBF">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4</w:t>
            </w:r>
            <w:r w:rsidRPr="00970654">
              <w:rPr>
                <w:rFonts w:ascii="sans-serif" w:eastAsia="sans-serif" w:hAnsi="sans-serif" w:cs="sans-serif"/>
                <w:color w:val="000000"/>
                <w:sz w:val="24"/>
                <w:szCs w:val="24"/>
                <w:lang w:eastAsia="zh-CN" w:bidi="ar"/>
              </w:rPr>
              <w:t> est vrai : Le poids est normal ou maigre. </w:t>
            </w:r>
          </w:p>
          <w:p w14:paraId="13F35AFD" w14:textId="77777777" w:rsidR="00622621" w:rsidRDefault="00622621" w:rsidP="00577FBF">
            <w:pPr>
              <w:spacing w:line="23" w:lineRule="atLeast"/>
              <w:rPr>
                <w:rFonts w:ascii="sans-serif" w:eastAsia="sans-serif" w:hAnsi="sans-serif" w:cs="sans-serif"/>
                <w:color w:val="000000"/>
              </w:rPr>
            </w:pPr>
            <w:r w:rsidRPr="00970654">
              <w:rPr>
                <w:rFonts w:ascii="sans-serif" w:eastAsia="sans-serif" w:hAnsi="sans-serif" w:cs="sans-serif"/>
                <w:b/>
                <w:bCs/>
                <w:color w:val="000000"/>
                <w:sz w:val="24"/>
                <w:szCs w:val="24"/>
                <w:lang w:eastAsia="zh-CN" w:bidi="ar"/>
              </w:rPr>
              <w:t>5</w:t>
            </w:r>
            <w:r w:rsidRPr="00970654">
              <w:rPr>
                <w:rFonts w:ascii="sans-serif" w:eastAsia="sans-serif" w:hAnsi="sans-serif" w:cs="sans-serif"/>
                <w:color w:val="000000"/>
                <w:sz w:val="24"/>
                <w:szCs w:val="24"/>
                <w:lang w:eastAsia="zh-CN" w:bidi="ar"/>
              </w:rPr>
              <w:t> est vrai : La carence en insuline (Diabète de type 1) expose toujours au risque de </w:t>
            </w:r>
            <w:r w:rsidRPr="00970654">
              <w:rPr>
                <w:rFonts w:ascii="sans-serif" w:eastAsia="sans-serif" w:hAnsi="sans-serif" w:cs="sans-serif"/>
                <w:b/>
                <w:bCs/>
                <w:color w:val="000000"/>
                <w:sz w:val="24"/>
                <w:szCs w:val="24"/>
                <w:lang w:eastAsia="zh-CN" w:bidi="ar"/>
              </w:rPr>
              <w:t>coma acido-cétonique</w:t>
            </w:r>
            <w:r w:rsidRPr="00970654">
              <w:rPr>
                <w:rFonts w:ascii="sans-serif" w:eastAsia="sans-serif" w:hAnsi="sans-serif" w:cs="sans-serif"/>
                <w:color w:val="000000"/>
                <w:sz w:val="24"/>
                <w:szCs w:val="24"/>
                <w:lang w:eastAsia="zh-CN" w:bidi="ar"/>
              </w:rPr>
              <w:t>.</w:t>
            </w:r>
          </w:p>
        </w:tc>
      </w:tr>
    </w:tbl>
    <w:p w14:paraId="7B7561EF" w14:textId="77777777" w:rsidR="00622621" w:rsidRDefault="00622621" w:rsidP="00622621">
      <w:pPr>
        <w:spacing w:after="0" w:line="276" w:lineRule="auto"/>
      </w:pPr>
    </w:p>
    <w:p w14:paraId="613AF9CB" w14:textId="77777777" w:rsidR="00622621" w:rsidRDefault="00622621" w:rsidP="00622621">
      <w:pPr>
        <w:spacing w:after="0" w:line="276" w:lineRule="auto"/>
        <w:rPr>
          <w:b/>
          <w:bCs/>
        </w:rPr>
      </w:pPr>
      <w:r>
        <w:rPr>
          <w:b/>
          <w:bCs/>
        </w:rPr>
        <w:t>5. Concernant le diabète insipide : (la RF) (P1 2025 T27)</w:t>
      </w:r>
    </w:p>
    <w:p w14:paraId="2E8DD736" w14:textId="77777777" w:rsidR="00622621" w:rsidRDefault="00622621" w:rsidP="00622621">
      <w:pPr>
        <w:spacing w:after="0" w:line="276" w:lineRule="auto"/>
      </w:pPr>
      <w:r>
        <w:t>A. Se caractérise par une polyurie polydipsie.</w:t>
      </w:r>
    </w:p>
    <w:p w14:paraId="1285ECC4" w14:textId="77777777" w:rsidR="00622621" w:rsidRDefault="00622621" w:rsidP="00622621">
      <w:pPr>
        <w:spacing w:after="0" w:line="276" w:lineRule="auto"/>
      </w:pPr>
      <w:r>
        <w:t>B. La polyurie est faite d'urines hypotoniques</w:t>
      </w:r>
    </w:p>
    <w:p w14:paraId="36D8CCE2" w14:textId="77777777" w:rsidR="00622621" w:rsidRDefault="00622621" w:rsidP="00622621">
      <w:pPr>
        <w:spacing w:after="0" w:line="276" w:lineRule="auto"/>
      </w:pPr>
      <w:r>
        <w:t>C. Il est toujours dû à une carence en ADH.</w:t>
      </w:r>
    </w:p>
    <w:p w14:paraId="3638BDFD" w14:textId="77777777" w:rsidR="00622621" w:rsidRDefault="00622621" w:rsidP="00622621">
      <w:pPr>
        <w:spacing w:after="0" w:line="276" w:lineRule="auto"/>
      </w:pPr>
      <w:r>
        <w:t>D. Le traitement fait appel à la desmopressine.</w:t>
      </w:r>
    </w:p>
    <w:p w14:paraId="39DD5C1E" w14:textId="77777777" w:rsidR="00622621" w:rsidRDefault="00622621" w:rsidP="00622621">
      <w:pPr>
        <w:spacing w:after="0" w:line="276" w:lineRule="auto"/>
      </w:pPr>
      <w:r>
        <w:t>E. Pour poser Ie diagnostic on a parfois recours d’une épreuve de restriction hydrique</w:t>
      </w:r>
    </w:p>
    <w:tbl>
      <w:tblPr>
        <w:tblStyle w:val="TableGrid"/>
        <w:tblW w:w="9946" w:type="dxa"/>
        <w:tblInd w:w="0" w:type="dxa"/>
        <w:tblLayout w:type="fixed"/>
        <w:tblLook w:val="04A0" w:firstRow="1" w:lastRow="0" w:firstColumn="1" w:lastColumn="0" w:noHBand="0" w:noVBand="1"/>
      </w:tblPr>
      <w:tblGrid>
        <w:gridCol w:w="562"/>
        <w:gridCol w:w="9384"/>
      </w:tblGrid>
      <w:tr w:rsidR="00622621" w14:paraId="3A88CE69" w14:textId="77777777" w:rsidTr="00577FBF">
        <w:tc>
          <w:tcPr>
            <w:tcW w:w="562" w:type="dxa"/>
          </w:tcPr>
          <w:p w14:paraId="7C23B021" w14:textId="77777777" w:rsidR="00622621" w:rsidRDefault="00622621" w:rsidP="00577FBF">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C</w:t>
            </w:r>
          </w:p>
        </w:tc>
        <w:tc>
          <w:tcPr>
            <w:tcW w:w="9384" w:type="dxa"/>
          </w:tcPr>
          <w:p w14:paraId="0028DBE7" w14:textId="77777777" w:rsidR="00622621" w:rsidRDefault="00622621" w:rsidP="00577FBF">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Le diabète insipide se manifeste par une polyurie massive faite d'urines hypotoniques (</w:t>
            </w:r>
            <w:r w:rsidRPr="00970654">
              <w:rPr>
                <w:rFonts w:ascii="sans-serif" w:eastAsia="sans-serif" w:hAnsi="sans-serif" w:cs="sans-serif"/>
                <w:b/>
                <w:bCs/>
                <w:color w:val="000000"/>
                <w:sz w:val="24"/>
                <w:szCs w:val="24"/>
                <w:lang w:eastAsia="zh-CN" w:bidi="ar"/>
              </w:rPr>
              <w:t>A, B</w:t>
            </w:r>
            <w:r w:rsidRPr="00970654">
              <w:rPr>
                <w:rFonts w:ascii="sans-serif" w:eastAsia="sans-serif" w:hAnsi="sans-serif" w:cs="sans-serif"/>
                <w:color w:val="000000"/>
                <w:sz w:val="24"/>
                <w:szCs w:val="24"/>
                <w:lang w:eastAsia="zh-CN" w:bidi="ar"/>
              </w:rPr>
              <w:t>), et le diagnostic nécessite l'épreuve de restriction hydrique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 Le traitement repose sur la Desmopressine (analogue de l'ADH)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est faux : Il peut être dû à une carence en ADH (</w:t>
            </w:r>
            <w:r w:rsidRPr="00970654">
              <w:rPr>
                <w:rFonts w:ascii="sans-serif" w:eastAsia="sans-serif" w:hAnsi="sans-serif" w:cs="sans-serif"/>
                <w:b/>
                <w:bCs/>
                <w:color w:val="000000"/>
                <w:sz w:val="24"/>
                <w:szCs w:val="24"/>
                <w:lang w:eastAsia="zh-CN" w:bidi="ar"/>
              </w:rPr>
              <w:t>central</w:t>
            </w:r>
            <w:r w:rsidRPr="00970654">
              <w:rPr>
                <w:rFonts w:ascii="sans-serif" w:eastAsia="sans-serif" w:hAnsi="sans-serif" w:cs="sans-serif"/>
                <w:color w:val="000000"/>
                <w:sz w:val="24"/>
                <w:szCs w:val="24"/>
                <w:lang w:eastAsia="zh-CN" w:bidi="ar"/>
              </w:rPr>
              <w:t>) OU à une </w:t>
            </w:r>
            <w:r w:rsidRPr="00970654">
              <w:rPr>
                <w:rFonts w:ascii="sans-serif" w:eastAsia="sans-serif" w:hAnsi="sans-serif" w:cs="sans-serif"/>
                <w:b/>
                <w:bCs/>
                <w:color w:val="000000"/>
                <w:sz w:val="24"/>
                <w:szCs w:val="24"/>
                <w:lang w:eastAsia="zh-CN" w:bidi="ar"/>
              </w:rPr>
              <w:t>résistance rénale à l'ADH</w:t>
            </w:r>
            <w:r w:rsidRPr="00970654">
              <w:rPr>
                <w:rFonts w:ascii="sans-serif" w:eastAsia="sans-serif" w:hAnsi="sans-serif" w:cs="sans-serif"/>
                <w:color w:val="000000"/>
                <w:sz w:val="24"/>
                <w:szCs w:val="24"/>
                <w:lang w:eastAsia="zh-CN" w:bidi="ar"/>
              </w:rPr>
              <w:t>(</w:t>
            </w:r>
            <w:r w:rsidRPr="00970654">
              <w:rPr>
                <w:rFonts w:ascii="sans-serif" w:eastAsia="sans-serif" w:hAnsi="sans-serif" w:cs="sans-serif"/>
                <w:b/>
                <w:bCs/>
                <w:color w:val="000000"/>
                <w:sz w:val="24"/>
                <w:szCs w:val="24"/>
                <w:lang w:eastAsia="zh-CN" w:bidi="ar"/>
              </w:rPr>
              <w:t>néphrogénique</w:t>
            </w:r>
            <w:r w:rsidRPr="00970654">
              <w:rPr>
                <w:rFonts w:ascii="sans-serif" w:eastAsia="sans-serif" w:hAnsi="sans-serif" w:cs="sans-serif"/>
                <w:color w:val="000000"/>
                <w:sz w:val="24"/>
                <w:szCs w:val="24"/>
                <w:lang w:eastAsia="zh-CN" w:bidi="ar"/>
              </w:rPr>
              <w:t>).</w:t>
            </w:r>
          </w:p>
        </w:tc>
      </w:tr>
    </w:tbl>
    <w:p w14:paraId="2D637368" w14:textId="77777777" w:rsidR="00622621" w:rsidRDefault="00622621" w:rsidP="00622621">
      <w:pPr>
        <w:spacing w:after="0" w:line="276" w:lineRule="auto"/>
      </w:pPr>
    </w:p>
    <w:p w14:paraId="5B4F15CD" w14:textId="77777777" w:rsidR="00622621" w:rsidRPr="00C77F5E" w:rsidRDefault="00622621" w:rsidP="00622621">
      <w:pPr>
        <w:spacing w:line="20" w:lineRule="atLeast"/>
        <w:contextualSpacing/>
        <w:rPr>
          <w:rFonts w:ascii="Calibri" w:hAnsi="Calibri" w:cs="Calibri"/>
          <w:b/>
          <w:bCs/>
        </w:rPr>
      </w:pPr>
      <w:r>
        <w:rPr>
          <w:rFonts w:ascii="Calibri" w:hAnsi="Calibri" w:cs="Calibri"/>
          <w:b/>
          <w:bCs/>
        </w:rPr>
        <w:t>6</w:t>
      </w:r>
      <w:r w:rsidRPr="00C77F5E">
        <w:rPr>
          <w:rFonts w:ascii="Calibri" w:hAnsi="Calibri" w:cs="Calibri"/>
          <w:b/>
          <w:bCs/>
        </w:rPr>
        <w:t xml:space="preserve">. Les causes du diabète secondaire à une pancréatopathie exocrine : réponse </w:t>
      </w:r>
      <w:proofErr w:type="gramStart"/>
      <w:r w:rsidRPr="00C77F5E">
        <w:rPr>
          <w:rFonts w:ascii="Calibri" w:hAnsi="Calibri" w:cs="Calibri"/>
          <w:b/>
          <w:bCs/>
        </w:rPr>
        <w:t>fausse(</w:t>
      </w:r>
      <w:proofErr w:type="gramEnd"/>
      <w:r w:rsidRPr="00C77F5E">
        <w:rPr>
          <w:rFonts w:ascii="Calibri" w:hAnsi="Calibri" w:cs="Calibri"/>
          <w:b/>
          <w:bCs/>
        </w:rPr>
        <w:t>RATT 2024 T14)</w:t>
      </w:r>
    </w:p>
    <w:p w14:paraId="04043C15" w14:textId="77777777" w:rsidR="00622621" w:rsidRPr="00C77F5E" w:rsidRDefault="00622621" w:rsidP="00622621">
      <w:pPr>
        <w:spacing w:line="20" w:lineRule="atLeast"/>
        <w:contextualSpacing/>
        <w:rPr>
          <w:rFonts w:ascii="Calibri" w:hAnsi="Calibri" w:cs="Calibri"/>
          <w:b/>
          <w:bCs/>
        </w:rPr>
      </w:pPr>
      <w:r w:rsidRPr="00C77F5E">
        <w:rPr>
          <w:rFonts w:ascii="Calibri" w:hAnsi="Calibri" w:cs="Calibri"/>
        </w:rPr>
        <w:t>A. Pancréatite aigue.</w:t>
      </w:r>
    </w:p>
    <w:p w14:paraId="3181A69B"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B. Cancer du pancréas.</w:t>
      </w:r>
    </w:p>
    <w:p w14:paraId="55E14BE5"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C. Mucoviscidose.</w:t>
      </w:r>
    </w:p>
    <w:p w14:paraId="3F2963E3"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D. Hémochromatose.</w:t>
      </w:r>
    </w:p>
    <w:p w14:paraId="31E9D12F"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E. Glucagonome.</w:t>
      </w:r>
    </w:p>
    <w:tbl>
      <w:tblPr>
        <w:tblStyle w:val="TableGrid"/>
        <w:tblW w:w="9615" w:type="dxa"/>
        <w:tblInd w:w="-5" w:type="dxa"/>
        <w:tblLook w:val="04A0" w:firstRow="1" w:lastRow="0" w:firstColumn="1" w:lastColumn="0" w:noHBand="0" w:noVBand="1"/>
      </w:tblPr>
      <w:tblGrid>
        <w:gridCol w:w="630"/>
        <w:gridCol w:w="8985"/>
      </w:tblGrid>
      <w:tr w:rsidR="00622621" w:rsidRPr="00C77F5E" w14:paraId="40481B1F" w14:textId="77777777" w:rsidTr="00577FBF">
        <w:trPr>
          <w:trHeight w:val="282"/>
        </w:trPr>
        <w:tc>
          <w:tcPr>
            <w:tcW w:w="630" w:type="dxa"/>
          </w:tcPr>
          <w:p w14:paraId="720ACA1E" w14:textId="77777777" w:rsidR="00622621" w:rsidRPr="00C77F5E" w:rsidRDefault="00622621" w:rsidP="00577FBF">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E</w:t>
            </w:r>
          </w:p>
        </w:tc>
        <w:tc>
          <w:tcPr>
            <w:tcW w:w="8985" w:type="dxa"/>
          </w:tcPr>
          <w:p w14:paraId="22F8DD22" w14:textId="77777777" w:rsidR="00622621" w:rsidRPr="00C77F5E" w:rsidRDefault="00622621" w:rsidP="00577FBF">
            <w:pPr>
              <w:spacing w:line="20" w:lineRule="atLeast"/>
              <w:contextualSpacing/>
              <w:rPr>
                <w:rFonts w:ascii="Calibri" w:hAnsi="Calibri" w:cs="Calibri"/>
                <w:sz w:val="24"/>
                <w:szCs w:val="24"/>
              </w:rPr>
            </w:pPr>
            <w:r w:rsidRPr="00C77F5E">
              <w:rPr>
                <w:rFonts w:ascii="Calibri" w:hAnsi="Calibri" w:cs="Calibri"/>
                <w:sz w:val="24"/>
                <w:szCs w:val="24"/>
              </w:rPr>
              <w:t>-Le glucagonome est une pancreatopathie endocrine et non pas exocrine</w:t>
            </w:r>
          </w:p>
        </w:tc>
      </w:tr>
    </w:tbl>
    <w:p w14:paraId="29454FD3" w14:textId="77777777" w:rsidR="00622621" w:rsidRPr="00C77F5E" w:rsidRDefault="00622621" w:rsidP="00622621">
      <w:pPr>
        <w:spacing w:line="20" w:lineRule="atLeast"/>
        <w:contextualSpacing/>
        <w:rPr>
          <w:rFonts w:ascii="Calibri" w:hAnsi="Calibri" w:cs="Calibri"/>
          <w:b/>
          <w:bCs/>
        </w:rPr>
      </w:pPr>
    </w:p>
    <w:p w14:paraId="63142A24" w14:textId="77777777" w:rsidR="00622621" w:rsidRPr="00C77F5E" w:rsidRDefault="00622621" w:rsidP="00622621">
      <w:pPr>
        <w:spacing w:line="20" w:lineRule="atLeast"/>
        <w:contextualSpacing/>
        <w:rPr>
          <w:rFonts w:ascii="Calibri" w:hAnsi="Calibri" w:cs="Calibri"/>
          <w:b/>
          <w:bCs/>
        </w:rPr>
      </w:pPr>
      <w:r>
        <w:rPr>
          <w:rFonts w:ascii="Calibri" w:hAnsi="Calibri" w:cs="Calibri"/>
          <w:b/>
          <w:bCs/>
        </w:rPr>
        <w:t>7</w:t>
      </w:r>
      <w:r w:rsidRPr="00C77F5E">
        <w:rPr>
          <w:rFonts w:ascii="Calibri" w:hAnsi="Calibri" w:cs="Calibri"/>
          <w:b/>
          <w:bCs/>
        </w:rPr>
        <w:t>. Dans le diabète de type 1 (Réponses fausses) : (RATT 2024 T13)</w:t>
      </w:r>
    </w:p>
    <w:p w14:paraId="17A194C7" w14:textId="77777777" w:rsidR="00622621" w:rsidRPr="00C77F5E" w:rsidRDefault="00622621" w:rsidP="00622621">
      <w:pPr>
        <w:spacing w:line="20" w:lineRule="atLeast"/>
        <w:contextualSpacing/>
        <w:rPr>
          <w:rFonts w:ascii="Calibri" w:hAnsi="Calibri" w:cs="Calibri"/>
          <w:b/>
          <w:bCs/>
        </w:rPr>
      </w:pPr>
      <w:r w:rsidRPr="00C77F5E">
        <w:rPr>
          <w:rFonts w:ascii="Calibri" w:hAnsi="Calibri" w:cs="Calibri"/>
        </w:rPr>
        <w:t>1. Le diabète de type 1 idiopathique est le plus fréquent.</w:t>
      </w:r>
    </w:p>
    <w:p w14:paraId="2CD546C6" w14:textId="77777777" w:rsidR="00622621" w:rsidRPr="00C77F5E" w:rsidRDefault="00622621" w:rsidP="00622621">
      <w:pPr>
        <w:spacing w:line="20" w:lineRule="atLeast"/>
        <w:contextualSpacing/>
        <w:rPr>
          <w:rFonts w:ascii="Calibri" w:hAnsi="Calibri" w:cs="Calibri"/>
          <w:b/>
          <w:bCs/>
        </w:rPr>
      </w:pPr>
      <w:r w:rsidRPr="00C77F5E">
        <w:rPr>
          <w:rFonts w:ascii="Calibri" w:hAnsi="Calibri" w:cs="Calibri"/>
        </w:rPr>
        <w:t>2. Les antécédents familiaux dans le diabète de type 1 sont fréquents.</w:t>
      </w:r>
    </w:p>
    <w:p w14:paraId="0D08E16A"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3. Les complications dégénératives au diagnostic sont absentes.</w:t>
      </w:r>
    </w:p>
    <w:p w14:paraId="28BC5DED"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4. Poids normal ou maigreur.</w:t>
      </w:r>
    </w:p>
    <w:p w14:paraId="5D6C0C56"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5. Sans insuline, risque d'évolution vers coma acidocétosique.</w:t>
      </w:r>
    </w:p>
    <w:p w14:paraId="152224C6" w14:textId="77777777" w:rsidR="00622621" w:rsidRPr="00C77F5E" w:rsidRDefault="00622621" w:rsidP="00622621">
      <w:pPr>
        <w:spacing w:line="20" w:lineRule="atLeast"/>
        <w:contextualSpacing/>
        <w:rPr>
          <w:rFonts w:ascii="Calibri" w:hAnsi="Calibri" w:cs="Calibri"/>
        </w:rPr>
      </w:pPr>
      <w:r w:rsidRPr="00C77F5E">
        <w:rPr>
          <w:rFonts w:ascii="Calibri" w:hAnsi="Calibri" w:cs="Calibri"/>
        </w:rPr>
        <w:t>A. (1+2)   B. (3+4)   C. (1+5)   D. (2+4)   E. (2+5)</w:t>
      </w:r>
    </w:p>
    <w:tbl>
      <w:tblPr>
        <w:tblStyle w:val="TableGrid"/>
        <w:tblW w:w="9615" w:type="dxa"/>
        <w:tblInd w:w="-5" w:type="dxa"/>
        <w:tblLook w:val="04A0" w:firstRow="1" w:lastRow="0" w:firstColumn="1" w:lastColumn="0" w:noHBand="0" w:noVBand="1"/>
      </w:tblPr>
      <w:tblGrid>
        <w:gridCol w:w="630"/>
        <w:gridCol w:w="8985"/>
      </w:tblGrid>
      <w:tr w:rsidR="00622621" w:rsidRPr="00C77F5E" w14:paraId="48657968" w14:textId="77777777" w:rsidTr="00577FBF">
        <w:trPr>
          <w:trHeight w:val="577"/>
        </w:trPr>
        <w:tc>
          <w:tcPr>
            <w:tcW w:w="630" w:type="dxa"/>
          </w:tcPr>
          <w:p w14:paraId="59E97820" w14:textId="77777777" w:rsidR="00622621" w:rsidRPr="00C77F5E" w:rsidRDefault="00622621" w:rsidP="00577FBF">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A</w:t>
            </w:r>
          </w:p>
        </w:tc>
        <w:tc>
          <w:tcPr>
            <w:tcW w:w="8985" w:type="dxa"/>
          </w:tcPr>
          <w:p w14:paraId="6CB2464E" w14:textId="77777777" w:rsidR="00622621" w:rsidRPr="00C77F5E" w:rsidRDefault="00622621" w:rsidP="00577FBF">
            <w:pPr>
              <w:spacing w:line="20" w:lineRule="atLeast"/>
              <w:contextualSpacing/>
              <w:rPr>
                <w:rFonts w:ascii="Calibri" w:hAnsi="Calibri" w:cs="Calibri"/>
                <w:sz w:val="24"/>
                <w:szCs w:val="24"/>
              </w:rPr>
            </w:pPr>
            <w:r w:rsidRPr="00C77F5E">
              <w:rPr>
                <w:rFonts w:ascii="Calibri" w:hAnsi="Calibri" w:cs="Calibri"/>
                <w:sz w:val="24"/>
                <w:szCs w:val="24"/>
              </w:rPr>
              <w:t xml:space="preserve">-le diabète de type1 auto-immun est plus fréquent, il représente plus de 90% des cas </w:t>
            </w:r>
          </w:p>
          <w:p w14:paraId="0E4000A5" w14:textId="77777777" w:rsidR="00622621" w:rsidRPr="00C77F5E" w:rsidRDefault="00622621" w:rsidP="00577FBF">
            <w:pPr>
              <w:spacing w:line="20" w:lineRule="atLeast"/>
              <w:contextualSpacing/>
              <w:rPr>
                <w:rFonts w:ascii="Calibri" w:hAnsi="Calibri" w:cs="Calibri"/>
                <w:sz w:val="24"/>
                <w:szCs w:val="24"/>
              </w:rPr>
            </w:pPr>
            <w:r w:rsidRPr="00C77F5E">
              <w:rPr>
                <w:rFonts w:ascii="Calibri" w:hAnsi="Calibri" w:cs="Calibri"/>
                <w:sz w:val="24"/>
                <w:szCs w:val="24"/>
              </w:rPr>
              <w:t xml:space="preserve">-Dans 85% des cas de diabète de type 1 il n’existe pas d’antécédents familiaux de diabète de type 1  </w:t>
            </w:r>
          </w:p>
        </w:tc>
      </w:tr>
    </w:tbl>
    <w:p w14:paraId="77EF5ED9" w14:textId="77777777" w:rsidR="00622621" w:rsidRPr="00C77F5E" w:rsidRDefault="00622621" w:rsidP="00622621">
      <w:pPr>
        <w:spacing w:after="0" w:line="276" w:lineRule="auto"/>
        <w:rPr>
          <w:rFonts w:ascii="Calibri" w:eastAsia="Times New Roman" w:hAnsi="Calibri" w:cs="Calibri"/>
          <w:b/>
          <w:bCs/>
          <w:color w:val="000000"/>
          <w:kern w:val="0"/>
          <w:lang w:eastAsia="fr-FR"/>
          <w14:ligatures w14:val="none"/>
        </w:rPr>
      </w:pPr>
    </w:p>
    <w:p w14:paraId="3516A365"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Pr>
          <w:rFonts w:ascii="Calibri" w:eastAsia="Times New Roman" w:hAnsi="Calibri" w:cs="Calibri"/>
          <w:b/>
          <w:bCs/>
          <w:color w:val="000000"/>
          <w:kern w:val="0"/>
          <w:lang w:eastAsia="fr-FR"/>
          <w14:ligatures w14:val="none"/>
        </w:rPr>
        <w:t>8</w:t>
      </w:r>
      <w:r w:rsidRPr="00C77F5E">
        <w:rPr>
          <w:rFonts w:ascii="Calibri" w:eastAsia="Times New Roman" w:hAnsi="Calibri" w:cs="Calibri"/>
          <w:b/>
          <w:bCs/>
          <w:color w:val="000000"/>
          <w:kern w:val="0"/>
          <w:lang w:eastAsia="fr-FR"/>
          <w14:ligatures w14:val="none"/>
        </w:rPr>
        <w:t xml:space="preserve">. L'association diabète de type 1 et hyperthyroïdie auto-immune évoque </w:t>
      </w:r>
      <w:proofErr w:type="gramStart"/>
      <w:r w:rsidRPr="00C77F5E">
        <w:rPr>
          <w:rFonts w:ascii="Calibri" w:eastAsia="Times New Roman" w:hAnsi="Calibri" w:cs="Calibri"/>
          <w:b/>
          <w:bCs/>
          <w:color w:val="000000"/>
          <w:kern w:val="0"/>
          <w:lang w:eastAsia="fr-FR"/>
          <w14:ligatures w14:val="none"/>
        </w:rPr>
        <w:t>:  (</w:t>
      </w:r>
      <w:proofErr w:type="gramEnd"/>
      <w:r w:rsidRPr="00C77F5E">
        <w:rPr>
          <w:rFonts w:ascii="Calibri" w:eastAsia="Times New Roman" w:hAnsi="Calibri" w:cs="Calibri"/>
          <w:b/>
          <w:bCs/>
          <w:color w:val="000000"/>
          <w:kern w:val="0"/>
          <w:lang w:eastAsia="fr-FR"/>
          <w14:ligatures w14:val="none"/>
        </w:rPr>
        <w:t>P3 2024 T7)</w:t>
      </w:r>
    </w:p>
    <w:p w14:paraId="40871735"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sidRPr="00C77F5E">
        <w:rPr>
          <w:rFonts w:ascii="Calibri" w:eastAsia="Times New Roman" w:hAnsi="Calibri" w:cs="Calibri"/>
          <w:color w:val="000000"/>
          <w:kern w:val="0"/>
          <w:lang w:eastAsia="fr-FR"/>
          <w14:ligatures w14:val="none"/>
        </w:rPr>
        <w:t>A. Une néoplasie endocrine multiple type 1 (NEM 1). </w:t>
      </w:r>
    </w:p>
    <w:p w14:paraId="19922AF7"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sidRPr="00C77F5E">
        <w:rPr>
          <w:rFonts w:ascii="Calibri" w:eastAsia="Times New Roman" w:hAnsi="Calibri" w:cs="Calibri"/>
          <w:color w:val="000000"/>
          <w:kern w:val="0"/>
          <w:lang w:eastAsia="fr-FR"/>
          <w14:ligatures w14:val="none"/>
        </w:rPr>
        <w:t>B. Une néoplasie endocrine multiple type 2A (NEM 2A). </w:t>
      </w:r>
    </w:p>
    <w:p w14:paraId="17870FFD"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sidRPr="00C77F5E">
        <w:rPr>
          <w:rFonts w:ascii="Calibri" w:eastAsia="Times New Roman" w:hAnsi="Calibri" w:cs="Calibri"/>
          <w:color w:val="000000"/>
          <w:kern w:val="0"/>
          <w:lang w:eastAsia="fr-FR"/>
          <w14:ligatures w14:val="none"/>
        </w:rPr>
        <w:t>C. Une néoplasie endocrine multiple type 2B (NEM 2B). </w:t>
      </w:r>
    </w:p>
    <w:p w14:paraId="337D109D"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sidRPr="00C77F5E">
        <w:rPr>
          <w:rFonts w:ascii="Calibri" w:eastAsia="Times New Roman" w:hAnsi="Calibri" w:cs="Calibri"/>
          <w:color w:val="000000"/>
          <w:kern w:val="0"/>
          <w:lang w:eastAsia="fr-FR"/>
          <w14:ligatures w14:val="none"/>
        </w:rPr>
        <w:t>D. Une polyendocrinopathie auto-immune type 1 (PEA type 1). </w:t>
      </w:r>
    </w:p>
    <w:p w14:paraId="5FF3173F" w14:textId="77777777" w:rsidR="00622621" w:rsidRPr="00C77F5E" w:rsidRDefault="00622621" w:rsidP="00622621">
      <w:pPr>
        <w:spacing w:after="0" w:line="276" w:lineRule="auto"/>
        <w:rPr>
          <w:rFonts w:ascii="Calibri" w:eastAsia="Times New Roman" w:hAnsi="Calibri" w:cs="Calibri"/>
          <w:kern w:val="0"/>
          <w:lang w:eastAsia="fr-FR"/>
          <w14:ligatures w14:val="none"/>
        </w:rPr>
      </w:pPr>
      <w:r w:rsidRPr="00C77F5E">
        <w:rPr>
          <w:rFonts w:ascii="Calibri" w:eastAsia="Times New Roman" w:hAnsi="Calibri" w:cs="Calibri"/>
          <w:color w:val="000000"/>
          <w:kern w:val="0"/>
          <w:lang w:eastAsia="fr-FR"/>
          <w14:ligatures w14:val="none"/>
        </w:rPr>
        <w:t>E. Une polyendocrinopathie auto-immune type 2 (PEA type 2). </w:t>
      </w:r>
    </w:p>
    <w:tbl>
      <w:tblPr>
        <w:tblStyle w:val="TableGrid"/>
        <w:tblW w:w="0" w:type="auto"/>
        <w:tblInd w:w="0" w:type="dxa"/>
        <w:tblLook w:val="04A0" w:firstRow="1" w:lastRow="0" w:firstColumn="1" w:lastColumn="0" w:noHBand="0" w:noVBand="1"/>
      </w:tblPr>
      <w:tblGrid>
        <w:gridCol w:w="826"/>
        <w:gridCol w:w="8190"/>
      </w:tblGrid>
      <w:tr w:rsidR="00622621" w:rsidRPr="00C77F5E" w14:paraId="29075261" w14:textId="77777777" w:rsidTr="00577FBF">
        <w:tc>
          <w:tcPr>
            <w:tcW w:w="850" w:type="dxa"/>
          </w:tcPr>
          <w:p w14:paraId="0BCFBF48" w14:textId="77777777" w:rsidR="00622621" w:rsidRPr="00C77F5E" w:rsidRDefault="00622621" w:rsidP="00577FBF">
            <w:pPr>
              <w:spacing w:line="276" w:lineRule="auto"/>
              <w:jc w:val="center"/>
              <w:rPr>
                <w:rFonts w:ascii="Calibri" w:eastAsia="Times New Roman" w:hAnsi="Calibri" w:cs="Calibri"/>
                <w:b/>
                <w:bCs/>
                <w:sz w:val="24"/>
                <w:szCs w:val="24"/>
              </w:rPr>
            </w:pPr>
            <w:r w:rsidRPr="00C77F5E">
              <w:rPr>
                <w:rFonts w:ascii="Calibri" w:eastAsia="Times New Roman" w:hAnsi="Calibri" w:cs="Calibri"/>
                <w:b/>
                <w:bCs/>
                <w:sz w:val="24"/>
                <w:szCs w:val="24"/>
              </w:rPr>
              <w:t>E</w:t>
            </w:r>
          </w:p>
        </w:tc>
        <w:tc>
          <w:tcPr>
            <w:tcW w:w="8498" w:type="dxa"/>
          </w:tcPr>
          <w:p w14:paraId="3BE9D625" w14:textId="77777777" w:rsidR="00622621" w:rsidRPr="00C77F5E" w:rsidRDefault="00622621" w:rsidP="00577FBF">
            <w:pPr>
              <w:spacing w:line="276" w:lineRule="auto"/>
              <w:rPr>
                <w:rFonts w:ascii="Calibri" w:eastAsia="Times New Roman" w:hAnsi="Calibri" w:cs="Calibri"/>
              </w:rPr>
            </w:pPr>
            <w:r w:rsidRPr="00C77F5E">
              <w:rPr>
                <w:rFonts w:ascii="Calibri" w:eastAsia="Times New Roman" w:hAnsi="Calibri" w:cs="Calibri"/>
              </w:rPr>
              <w:t xml:space="preserve">La polyendocrinopathie auto-immune de type 2 appelée également syndrome de Schmidt est une maladie génétique autosomique dominante se manifestant essentiellement par une insuffisance </w:t>
            </w:r>
            <w:r w:rsidRPr="00C77F5E">
              <w:rPr>
                <w:rFonts w:ascii="Calibri" w:eastAsia="Times New Roman" w:hAnsi="Calibri" w:cs="Calibri"/>
              </w:rPr>
              <w:lastRenderedPageBreak/>
              <w:t>surrénalienne, une maladie thyroïdienne auto-immune (tel que la maladie de Basedow, la thyroïdite de Hashimoto) et/ou un diabète de type 1.</w:t>
            </w:r>
          </w:p>
          <w:p w14:paraId="14C90AA2" w14:textId="77777777" w:rsidR="00622621" w:rsidRPr="00C77F5E" w:rsidRDefault="00622621" w:rsidP="00577FBF">
            <w:pPr>
              <w:spacing w:line="276" w:lineRule="auto"/>
              <w:rPr>
                <w:rFonts w:ascii="Calibri" w:eastAsia="Times New Roman" w:hAnsi="Calibri" w:cs="Calibri"/>
              </w:rPr>
            </w:pPr>
            <w:r w:rsidRPr="00C77F5E">
              <w:rPr>
                <w:rFonts w:ascii="Calibri" w:eastAsia="Times New Roman" w:hAnsi="Calibri" w:cs="Calibri"/>
              </w:rPr>
              <w:t>Elle peut aussi s'accompagner d'hypogonadisme, d'hypoparathyroïdie, d'hépatite auto-immune, de vitiligo, de gastrite auto-immune et d'une myasthénie grave.</w:t>
            </w:r>
          </w:p>
          <w:p w14:paraId="7FA99D5F" w14:textId="77777777" w:rsidR="00622621" w:rsidRPr="00C77F5E" w:rsidRDefault="00622621" w:rsidP="00577FBF">
            <w:pPr>
              <w:spacing w:line="276" w:lineRule="auto"/>
              <w:rPr>
                <w:rFonts w:ascii="Calibri" w:eastAsia="Times New Roman" w:hAnsi="Calibri" w:cs="Calibri"/>
              </w:rPr>
            </w:pPr>
            <w:r w:rsidRPr="00C77F5E">
              <w:rPr>
                <w:rFonts w:ascii="Calibri" w:eastAsia="Times New Roman" w:hAnsi="Calibri" w:cs="Calibri"/>
              </w:rPr>
              <w:t>C'est une maladie polygénique qui n'a été associée à aucun gène particulier</w:t>
            </w:r>
          </w:p>
        </w:tc>
      </w:tr>
    </w:tbl>
    <w:p w14:paraId="18F0194D" w14:textId="77777777" w:rsidR="00622621" w:rsidRPr="00C77F5E" w:rsidRDefault="00622621" w:rsidP="00622621">
      <w:pPr>
        <w:spacing w:after="0" w:line="276" w:lineRule="auto"/>
        <w:rPr>
          <w:rFonts w:ascii="Calibri" w:hAnsi="Calibri" w:cs="Calibri"/>
          <w:b/>
          <w:bCs/>
        </w:rPr>
      </w:pPr>
    </w:p>
    <w:p w14:paraId="4E074C14" w14:textId="77777777" w:rsidR="00622621" w:rsidRPr="00C77F5E" w:rsidRDefault="00622621" w:rsidP="00622621">
      <w:pPr>
        <w:spacing w:after="0" w:line="276" w:lineRule="auto"/>
        <w:rPr>
          <w:rFonts w:ascii="Calibri" w:hAnsi="Calibri" w:cs="Calibri"/>
          <w:b/>
          <w:bCs/>
        </w:rPr>
      </w:pPr>
      <w:r>
        <w:rPr>
          <w:rFonts w:ascii="Calibri" w:hAnsi="Calibri" w:cs="Calibri"/>
          <w:b/>
          <w:bCs/>
        </w:rPr>
        <w:t>9</w:t>
      </w:r>
      <w:r w:rsidRPr="00C77F5E">
        <w:rPr>
          <w:rFonts w:ascii="Calibri" w:hAnsi="Calibri" w:cs="Calibri"/>
          <w:b/>
          <w:bCs/>
        </w:rPr>
        <w:t>. Les causes du diabète secondaire à une pancréatopathie exocrine : réponse Fausse. (P2 2024 T40)</w:t>
      </w:r>
    </w:p>
    <w:p w14:paraId="08FE8272" w14:textId="77777777" w:rsidR="00622621" w:rsidRPr="00C77F5E" w:rsidRDefault="00622621" w:rsidP="00622621">
      <w:pPr>
        <w:spacing w:after="0" w:line="276" w:lineRule="auto"/>
        <w:rPr>
          <w:rFonts w:ascii="Calibri" w:hAnsi="Calibri" w:cs="Calibri"/>
        </w:rPr>
      </w:pPr>
      <w:r w:rsidRPr="00C77F5E">
        <w:rPr>
          <w:rFonts w:ascii="Calibri" w:hAnsi="Calibri" w:cs="Calibri"/>
        </w:rPr>
        <w:t>A- Pancréatite aigue</w:t>
      </w:r>
    </w:p>
    <w:p w14:paraId="26DF0776" w14:textId="77777777" w:rsidR="00622621" w:rsidRPr="00C77F5E" w:rsidRDefault="00622621" w:rsidP="00622621">
      <w:pPr>
        <w:spacing w:after="0" w:line="276" w:lineRule="auto"/>
        <w:rPr>
          <w:rFonts w:ascii="Calibri" w:hAnsi="Calibri" w:cs="Calibri"/>
        </w:rPr>
      </w:pPr>
      <w:r w:rsidRPr="00C77F5E">
        <w:rPr>
          <w:rFonts w:ascii="Calibri" w:hAnsi="Calibri" w:cs="Calibri"/>
        </w:rPr>
        <w:t>B. Cancer du pancréas.</w:t>
      </w:r>
    </w:p>
    <w:p w14:paraId="552E0E9C" w14:textId="77777777" w:rsidR="00622621" w:rsidRPr="00C77F5E" w:rsidRDefault="00622621" w:rsidP="00622621">
      <w:pPr>
        <w:spacing w:after="0" w:line="276" w:lineRule="auto"/>
        <w:rPr>
          <w:rFonts w:ascii="Calibri" w:hAnsi="Calibri" w:cs="Calibri"/>
        </w:rPr>
      </w:pPr>
      <w:r w:rsidRPr="00C77F5E">
        <w:rPr>
          <w:rFonts w:ascii="Calibri" w:hAnsi="Calibri" w:cs="Calibri"/>
        </w:rPr>
        <w:t>C- Mucoviscidose</w:t>
      </w:r>
    </w:p>
    <w:p w14:paraId="62F36138" w14:textId="77777777" w:rsidR="00622621" w:rsidRPr="00C77F5E" w:rsidRDefault="00622621" w:rsidP="00622621">
      <w:pPr>
        <w:spacing w:after="0" w:line="276" w:lineRule="auto"/>
        <w:rPr>
          <w:rFonts w:ascii="Calibri" w:hAnsi="Calibri" w:cs="Calibri"/>
        </w:rPr>
      </w:pPr>
      <w:r w:rsidRPr="00C77F5E">
        <w:rPr>
          <w:rFonts w:ascii="Calibri" w:hAnsi="Calibri" w:cs="Calibri"/>
        </w:rPr>
        <w:t>D- Hémochromatose.</w:t>
      </w:r>
    </w:p>
    <w:p w14:paraId="2DE5866C" w14:textId="77777777" w:rsidR="00622621" w:rsidRPr="00C77F5E" w:rsidRDefault="00622621" w:rsidP="00622621">
      <w:pPr>
        <w:spacing w:after="0" w:line="276" w:lineRule="auto"/>
        <w:rPr>
          <w:rFonts w:ascii="Calibri" w:hAnsi="Calibri" w:cs="Calibri"/>
        </w:rPr>
      </w:pPr>
      <w:r w:rsidRPr="00C77F5E">
        <w:rPr>
          <w:rFonts w:ascii="Calibri" w:hAnsi="Calibri" w:cs="Calibri"/>
        </w:rPr>
        <w:t>E- Glucagonome.</w:t>
      </w:r>
    </w:p>
    <w:tbl>
      <w:tblPr>
        <w:tblStyle w:val="TableGrid"/>
        <w:tblW w:w="0" w:type="auto"/>
        <w:tblInd w:w="0" w:type="dxa"/>
        <w:tblLook w:val="04A0" w:firstRow="1" w:lastRow="0" w:firstColumn="1" w:lastColumn="0" w:noHBand="0" w:noVBand="1"/>
      </w:tblPr>
      <w:tblGrid>
        <w:gridCol w:w="738"/>
        <w:gridCol w:w="8278"/>
      </w:tblGrid>
      <w:tr w:rsidR="00622621" w:rsidRPr="00C77F5E" w14:paraId="2E5959EF" w14:textId="77777777" w:rsidTr="00577FBF">
        <w:tc>
          <w:tcPr>
            <w:tcW w:w="805" w:type="dxa"/>
          </w:tcPr>
          <w:p w14:paraId="5962B859" w14:textId="77777777" w:rsidR="00622621" w:rsidRPr="00C77F5E" w:rsidRDefault="00622621" w:rsidP="00577FBF">
            <w:pPr>
              <w:spacing w:line="276" w:lineRule="auto"/>
              <w:rPr>
                <w:rFonts w:ascii="Calibri" w:hAnsi="Calibri" w:cs="Calibri"/>
              </w:rPr>
            </w:pPr>
            <w:r w:rsidRPr="00C77F5E">
              <w:rPr>
                <w:rFonts w:ascii="Calibri" w:hAnsi="Calibri" w:cs="Calibri"/>
                <w:b/>
                <w:bCs/>
                <w:sz w:val="24"/>
                <w:szCs w:val="24"/>
              </w:rPr>
              <w:t>E</w:t>
            </w:r>
          </w:p>
        </w:tc>
        <w:tc>
          <w:tcPr>
            <w:tcW w:w="9389" w:type="dxa"/>
          </w:tcPr>
          <w:p w14:paraId="3B470360" w14:textId="77777777" w:rsidR="00622621" w:rsidRPr="00C77F5E" w:rsidRDefault="00622621" w:rsidP="00577FBF">
            <w:pPr>
              <w:spacing w:line="276" w:lineRule="auto"/>
              <w:rPr>
                <w:rFonts w:ascii="Calibri" w:hAnsi="Calibri" w:cs="Calibri"/>
              </w:rPr>
            </w:pPr>
            <w:r w:rsidRPr="00C77F5E">
              <w:rPr>
                <w:rFonts w:ascii="Calibri" w:hAnsi="Calibri" w:cs="Calibri"/>
              </w:rPr>
              <w:t xml:space="preserve">Le glucagonome est une pancreatopathie endocrine et non pas exocrine </w:t>
            </w:r>
          </w:p>
        </w:tc>
      </w:tr>
    </w:tbl>
    <w:p w14:paraId="34DBFA6B" w14:textId="77777777" w:rsidR="00622621" w:rsidRPr="00C77F5E" w:rsidRDefault="00622621" w:rsidP="00622621">
      <w:pPr>
        <w:spacing w:after="0" w:line="276" w:lineRule="auto"/>
        <w:rPr>
          <w:rFonts w:ascii="Calibri" w:hAnsi="Calibri" w:cs="Calibri"/>
          <w:b/>
          <w:bCs/>
        </w:rPr>
      </w:pPr>
    </w:p>
    <w:p w14:paraId="7622B77B" w14:textId="77777777" w:rsidR="00622621" w:rsidRPr="00C77F5E" w:rsidRDefault="00622621" w:rsidP="00622621">
      <w:pPr>
        <w:spacing w:after="0" w:line="276" w:lineRule="auto"/>
        <w:rPr>
          <w:rFonts w:ascii="Calibri" w:hAnsi="Calibri" w:cs="Calibri"/>
          <w:b/>
          <w:bCs/>
        </w:rPr>
      </w:pPr>
      <w:r>
        <w:rPr>
          <w:rFonts w:ascii="Calibri" w:hAnsi="Calibri" w:cs="Calibri"/>
          <w:b/>
          <w:bCs/>
        </w:rPr>
        <w:t>10</w:t>
      </w:r>
      <w:r w:rsidRPr="00C77F5E">
        <w:rPr>
          <w:rFonts w:ascii="Calibri" w:hAnsi="Calibri" w:cs="Calibri"/>
          <w:b/>
          <w:bCs/>
        </w:rPr>
        <w:t>. La physiopathologie du diabète de type 2 comprend : (P2 2024 T29)</w:t>
      </w:r>
    </w:p>
    <w:p w14:paraId="2CE5D701" w14:textId="77777777" w:rsidR="00622621" w:rsidRPr="00C77F5E" w:rsidRDefault="00622621" w:rsidP="00622621">
      <w:pPr>
        <w:spacing w:after="0" w:line="276" w:lineRule="auto"/>
        <w:rPr>
          <w:rFonts w:ascii="Calibri" w:hAnsi="Calibri" w:cs="Calibri"/>
        </w:rPr>
      </w:pPr>
      <w:r w:rsidRPr="00C77F5E">
        <w:rPr>
          <w:rFonts w:ascii="Calibri" w:hAnsi="Calibri" w:cs="Calibri"/>
        </w:rPr>
        <w:t>A- Une carence en insuline de façon isolée.</w:t>
      </w:r>
    </w:p>
    <w:p w14:paraId="08761BCE" w14:textId="77777777" w:rsidR="00622621" w:rsidRPr="00C77F5E" w:rsidRDefault="00622621" w:rsidP="00622621">
      <w:pPr>
        <w:spacing w:after="0" w:line="276" w:lineRule="auto"/>
        <w:rPr>
          <w:rFonts w:ascii="Calibri" w:hAnsi="Calibri" w:cs="Calibri"/>
        </w:rPr>
      </w:pPr>
      <w:r w:rsidRPr="00C77F5E">
        <w:rPr>
          <w:rFonts w:ascii="Calibri" w:hAnsi="Calibri" w:cs="Calibri"/>
        </w:rPr>
        <w:t>B- Une résistance à l'insuline de façon isolée.</w:t>
      </w:r>
    </w:p>
    <w:p w14:paraId="36156A87" w14:textId="77777777" w:rsidR="00622621" w:rsidRPr="00C77F5E" w:rsidRDefault="00622621" w:rsidP="00622621">
      <w:pPr>
        <w:spacing w:after="0" w:line="276" w:lineRule="auto"/>
        <w:rPr>
          <w:rFonts w:ascii="Calibri" w:hAnsi="Calibri" w:cs="Calibri"/>
        </w:rPr>
      </w:pPr>
      <w:r w:rsidRPr="00C77F5E">
        <w:rPr>
          <w:rFonts w:ascii="Calibri" w:hAnsi="Calibri" w:cs="Calibri"/>
        </w:rPr>
        <w:t>C- Une destruction à médiation cellulaire des cellules béta</w:t>
      </w:r>
    </w:p>
    <w:p w14:paraId="6EA49BD3" w14:textId="77777777" w:rsidR="00622621" w:rsidRPr="00C77F5E" w:rsidRDefault="00622621" w:rsidP="00622621">
      <w:pPr>
        <w:spacing w:after="0" w:line="276" w:lineRule="auto"/>
        <w:rPr>
          <w:rFonts w:ascii="Calibri" w:hAnsi="Calibri" w:cs="Calibri"/>
        </w:rPr>
      </w:pPr>
      <w:r w:rsidRPr="00C77F5E">
        <w:rPr>
          <w:rFonts w:ascii="Calibri" w:hAnsi="Calibri" w:cs="Calibri"/>
        </w:rPr>
        <w:t>D- Une association insulinocarence et insulinorésistance.</w:t>
      </w:r>
    </w:p>
    <w:p w14:paraId="3BFAE53D" w14:textId="77777777" w:rsidR="00622621" w:rsidRPr="00C77F5E" w:rsidRDefault="00622621" w:rsidP="00622621">
      <w:pPr>
        <w:spacing w:after="0" w:line="276" w:lineRule="auto"/>
        <w:rPr>
          <w:rFonts w:ascii="Calibri" w:hAnsi="Calibri" w:cs="Calibri"/>
        </w:rPr>
      </w:pPr>
      <w:r w:rsidRPr="00C77F5E">
        <w:rPr>
          <w:rFonts w:ascii="Calibri" w:hAnsi="Calibri" w:cs="Calibri"/>
        </w:rPr>
        <w:t>E- Une destruction auto-immune à médiation humorale des cellules béta.</w:t>
      </w:r>
    </w:p>
    <w:tbl>
      <w:tblPr>
        <w:tblStyle w:val="TableGrid"/>
        <w:tblW w:w="0" w:type="auto"/>
        <w:tblInd w:w="0" w:type="dxa"/>
        <w:tblLook w:val="04A0" w:firstRow="1" w:lastRow="0" w:firstColumn="1" w:lastColumn="0" w:noHBand="0" w:noVBand="1"/>
      </w:tblPr>
      <w:tblGrid>
        <w:gridCol w:w="740"/>
        <w:gridCol w:w="8276"/>
      </w:tblGrid>
      <w:tr w:rsidR="00622621" w:rsidRPr="00C77F5E" w14:paraId="6B40EE82" w14:textId="77777777" w:rsidTr="00577FBF">
        <w:tc>
          <w:tcPr>
            <w:tcW w:w="805" w:type="dxa"/>
          </w:tcPr>
          <w:p w14:paraId="23392B1B" w14:textId="77777777" w:rsidR="00622621" w:rsidRPr="00C77F5E" w:rsidRDefault="00622621" w:rsidP="00577FBF">
            <w:pPr>
              <w:spacing w:line="276" w:lineRule="auto"/>
              <w:rPr>
                <w:rFonts w:ascii="Calibri" w:hAnsi="Calibri" w:cs="Calibri"/>
              </w:rPr>
            </w:pPr>
            <w:r w:rsidRPr="00C77F5E">
              <w:rPr>
                <w:rFonts w:ascii="Calibri" w:hAnsi="Calibri" w:cs="Calibri"/>
                <w:b/>
                <w:bCs/>
                <w:sz w:val="24"/>
                <w:szCs w:val="24"/>
              </w:rPr>
              <w:t>D</w:t>
            </w:r>
          </w:p>
        </w:tc>
        <w:tc>
          <w:tcPr>
            <w:tcW w:w="9389" w:type="dxa"/>
          </w:tcPr>
          <w:p w14:paraId="63376B65" w14:textId="77777777" w:rsidR="00622621" w:rsidRPr="00C77F5E" w:rsidRDefault="00622621" w:rsidP="00577FBF">
            <w:pPr>
              <w:rPr>
                <w:rFonts w:ascii="Calibri" w:hAnsi="Calibri" w:cs="Calibri"/>
              </w:rPr>
            </w:pPr>
            <w:r w:rsidRPr="00C77F5E">
              <w:rPr>
                <w:rFonts w:ascii="Calibri" w:hAnsi="Calibri" w:cs="Calibri"/>
              </w:rPr>
              <w:t xml:space="preserve">La physiopathologie du DT2 se base sur 2 grands axes : </w:t>
            </w:r>
          </w:p>
          <w:p w14:paraId="601FF18F" w14:textId="77777777" w:rsidR="00622621" w:rsidRPr="00C77F5E" w:rsidRDefault="00622621" w:rsidP="00577FBF">
            <w:pPr>
              <w:rPr>
                <w:rFonts w:ascii="Calibri" w:hAnsi="Calibri" w:cs="Calibri"/>
              </w:rPr>
            </w:pPr>
            <w:r w:rsidRPr="00C77F5E">
              <w:rPr>
                <w:rFonts w:ascii="Calibri" w:hAnsi="Calibri" w:cs="Calibri"/>
              </w:rPr>
              <w:t xml:space="preserve">    </w:t>
            </w:r>
            <w:r w:rsidRPr="00C77F5E">
              <w:rPr>
                <w:rFonts w:ascii="Calibri" w:hAnsi="Calibri" w:cs="Calibri"/>
                <w:b/>
                <w:bCs/>
                <w:i/>
                <w:iCs/>
                <w:sz w:val="24"/>
                <w:szCs w:val="24"/>
              </w:rPr>
              <w:t>• L’insulino-résistance</w:t>
            </w:r>
            <w:r w:rsidRPr="00C77F5E">
              <w:rPr>
                <w:rFonts w:ascii="Calibri" w:hAnsi="Calibri" w:cs="Calibri"/>
              </w:rPr>
              <w:t xml:space="preserve"> : La résistance à l’insuline est une diminution de son action, inhibitrice de la production endogène et stimulatrice de l’utilisation périphérique du glucose (Foie, muscle, tissu adipeux). L’insulinorésistance concerne virtuellement tous les diabétiques de type 2, mais aussi les au cours de l’obésité, de l’HTA… Les effets (anaboliques et anti cataboliques) de l’insuline en dehors du métabolisme glucidique peuvent aussi être réduits, notamment sa capacité à réduire la lipolyse au niveau du tissu adipeux, ce qui est important car les acides gras ainsi libérés contribuent aux perturbations de l’homéostasie glucidique. Cette insulino-résistance est due à un défaut d’action de l’insuline au niveau de son récepteur, mais surtout au niveau de ses substrats et des voies intracellulaires par la présence de TNF-alpha, d’acides gras libres (Lipotoxicité), des glucocorticoïdes ou encore d’anomalies de l’insuline elle-même… </w:t>
            </w:r>
          </w:p>
          <w:p w14:paraId="4482DC0E" w14:textId="77777777" w:rsidR="00622621" w:rsidRPr="00C77F5E" w:rsidRDefault="00622621" w:rsidP="00577FBF">
            <w:pPr>
              <w:spacing w:line="276" w:lineRule="auto"/>
              <w:rPr>
                <w:rFonts w:ascii="Calibri" w:hAnsi="Calibri" w:cs="Calibri"/>
              </w:rPr>
            </w:pPr>
            <w:r w:rsidRPr="00C77F5E">
              <w:rPr>
                <w:rFonts w:ascii="Calibri" w:hAnsi="Calibri" w:cs="Calibri"/>
              </w:rPr>
              <w:t xml:space="preserve">     </w:t>
            </w:r>
            <w:r w:rsidRPr="00C77F5E">
              <w:rPr>
                <w:rFonts w:ascii="Calibri" w:hAnsi="Calibri" w:cs="Calibri"/>
                <w:b/>
                <w:bCs/>
                <w:i/>
                <w:iCs/>
                <w:sz w:val="24"/>
                <w:szCs w:val="24"/>
              </w:rPr>
              <w:t>• L’insulino-déficience</w:t>
            </w:r>
            <w:r w:rsidRPr="00C77F5E">
              <w:rPr>
                <w:rFonts w:ascii="Calibri" w:hAnsi="Calibri" w:cs="Calibri"/>
              </w:rPr>
              <w:t xml:space="preserve"> : Face à cette insulino-résistance, le pancréas va devoir augmenter sa sécrétion d’insuline pour maintenir une glycémie normale (On peut donc avoir une insulino-résistance sans diabète, ce qui est fréquent chez le sujet obèse). Mais à un moment donné, le pancréas ne sécrète plus assez d'insuline pour répondre à la demande accrue et une hyperglycémie, d'abord post-prandiale puis à jeun, apparaît. Cette insulino-déficience relative s’explique par une anomalie du métabolisme, de l’excrétion de l’insuline et des voies de signalisation au niveau des cellules bêta. Ces anomalies sont dues à divers facteurs, dont le facteur génétique, l’inflammation induite par l’obésité et les adipokines/cytokines circulantes… Par ailleurs, l’installation du diabète, avec l’hyperglycémie et l’augmentation des acides gras circulants, impactent négativement les cellules bêta et crée donc un cercle vicieux jusqu’à aboutir à une insulino-déficience absolue.</w:t>
            </w:r>
          </w:p>
        </w:tc>
      </w:tr>
    </w:tbl>
    <w:p w14:paraId="350AE0DF" w14:textId="77777777" w:rsidR="00622621" w:rsidRPr="00C77F5E" w:rsidRDefault="00622621" w:rsidP="00622621">
      <w:pPr>
        <w:spacing w:after="0" w:line="276" w:lineRule="auto"/>
        <w:rPr>
          <w:rFonts w:ascii="Calibri" w:hAnsi="Calibri" w:cs="Calibri"/>
          <w:b/>
          <w:bCs/>
        </w:rPr>
      </w:pPr>
    </w:p>
    <w:p w14:paraId="7D61975C" w14:textId="77777777" w:rsidR="00622621" w:rsidRPr="00C77F5E" w:rsidRDefault="00622621" w:rsidP="00622621">
      <w:pPr>
        <w:spacing w:after="0" w:line="276" w:lineRule="auto"/>
        <w:rPr>
          <w:rFonts w:ascii="Calibri" w:hAnsi="Calibri" w:cs="Calibri"/>
          <w:b/>
          <w:bCs/>
        </w:rPr>
      </w:pPr>
      <w:r>
        <w:rPr>
          <w:rFonts w:ascii="Calibri" w:hAnsi="Calibri" w:cs="Calibri"/>
          <w:b/>
          <w:bCs/>
        </w:rPr>
        <w:lastRenderedPageBreak/>
        <w:t>11</w:t>
      </w:r>
      <w:r w:rsidRPr="00C77F5E">
        <w:rPr>
          <w:rFonts w:ascii="Calibri" w:hAnsi="Calibri" w:cs="Calibri"/>
          <w:b/>
          <w:bCs/>
        </w:rPr>
        <w:t xml:space="preserve">. Parmi les propositions suivantes concernant le diabète de type 1, lesquelles sont </w:t>
      </w:r>
      <w:proofErr w:type="gramStart"/>
      <w:r w:rsidRPr="00C77F5E">
        <w:rPr>
          <w:rFonts w:ascii="Calibri" w:hAnsi="Calibri" w:cs="Calibri"/>
          <w:b/>
          <w:bCs/>
        </w:rPr>
        <w:t>fausses?</w:t>
      </w:r>
      <w:proofErr w:type="gramEnd"/>
      <w:r w:rsidRPr="00C77F5E">
        <w:rPr>
          <w:rFonts w:ascii="Calibri" w:hAnsi="Calibri" w:cs="Calibri"/>
          <w:b/>
          <w:bCs/>
        </w:rPr>
        <w:t xml:space="preserve"> (P2 2024 T28)</w:t>
      </w:r>
    </w:p>
    <w:p w14:paraId="23F8A826" w14:textId="77777777" w:rsidR="00622621" w:rsidRPr="00C77F5E" w:rsidRDefault="00622621" w:rsidP="00622621">
      <w:pPr>
        <w:spacing w:after="0" w:line="276" w:lineRule="auto"/>
        <w:rPr>
          <w:rFonts w:ascii="Calibri" w:hAnsi="Calibri" w:cs="Calibri"/>
        </w:rPr>
      </w:pPr>
      <w:r w:rsidRPr="00C77F5E">
        <w:rPr>
          <w:rFonts w:ascii="Calibri" w:hAnsi="Calibri" w:cs="Calibri"/>
        </w:rPr>
        <w:t>A- Il est caractérisé par une carence absolue en insuline.</w:t>
      </w:r>
    </w:p>
    <w:p w14:paraId="155779DF" w14:textId="77777777" w:rsidR="00622621" w:rsidRPr="00C77F5E" w:rsidRDefault="00622621" w:rsidP="00622621">
      <w:pPr>
        <w:spacing w:after="0" w:line="276" w:lineRule="auto"/>
        <w:rPr>
          <w:rFonts w:ascii="Calibri" w:hAnsi="Calibri" w:cs="Calibri"/>
        </w:rPr>
      </w:pPr>
      <w:r w:rsidRPr="00C77F5E">
        <w:rPr>
          <w:rFonts w:ascii="Calibri" w:hAnsi="Calibri" w:cs="Calibri"/>
        </w:rPr>
        <w:t>B- L'origine auto-immune est la plus fréquente.</w:t>
      </w:r>
    </w:p>
    <w:p w14:paraId="57EB1F1A" w14:textId="77777777" w:rsidR="00622621" w:rsidRPr="00C77F5E" w:rsidRDefault="00622621" w:rsidP="00622621">
      <w:pPr>
        <w:spacing w:after="0" w:line="276" w:lineRule="auto"/>
        <w:rPr>
          <w:rFonts w:ascii="Calibri" w:hAnsi="Calibri" w:cs="Calibri"/>
        </w:rPr>
      </w:pPr>
      <w:r w:rsidRPr="00C77F5E">
        <w:rPr>
          <w:rFonts w:ascii="Calibri" w:hAnsi="Calibri" w:cs="Calibri"/>
        </w:rPr>
        <w:t>C- La cétose est la conséquence d'une carence en insuline D La cétose résulte d'une dégradation des protéines.</w:t>
      </w:r>
    </w:p>
    <w:p w14:paraId="72150009" w14:textId="77777777" w:rsidR="00622621" w:rsidRPr="00C77F5E" w:rsidRDefault="00622621" w:rsidP="00622621">
      <w:pPr>
        <w:spacing w:after="0" w:line="276" w:lineRule="auto"/>
        <w:rPr>
          <w:rFonts w:ascii="Calibri" w:hAnsi="Calibri" w:cs="Calibri"/>
        </w:rPr>
      </w:pPr>
      <w:r w:rsidRPr="00C77F5E">
        <w:rPr>
          <w:rFonts w:ascii="Calibri" w:hAnsi="Calibri" w:cs="Calibri"/>
        </w:rPr>
        <w:t>E- Le dosage des auto-anticorps est obligatoire pour poser le diagnostic.</w:t>
      </w:r>
    </w:p>
    <w:tbl>
      <w:tblPr>
        <w:tblStyle w:val="TableGrid"/>
        <w:tblW w:w="0" w:type="auto"/>
        <w:tblInd w:w="0" w:type="dxa"/>
        <w:tblLook w:val="04A0" w:firstRow="1" w:lastRow="0" w:firstColumn="1" w:lastColumn="0" w:noHBand="0" w:noVBand="1"/>
      </w:tblPr>
      <w:tblGrid>
        <w:gridCol w:w="760"/>
        <w:gridCol w:w="8256"/>
      </w:tblGrid>
      <w:tr w:rsidR="00622621" w:rsidRPr="00C77F5E" w14:paraId="362D4E3A" w14:textId="77777777" w:rsidTr="00577FBF">
        <w:tc>
          <w:tcPr>
            <w:tcW w:w="805" w:type="dxa"/>
          </w:tcPr>
          <w:p w14:paraId="2AAF4013" w14:textId="77777777" w:rsidR="00622621" w:rsidRPr="00C77F5E" w:rsidRDefault="00622621" w:rsidP="00577FBF">
            <w:pPr>
              <w:spacing w:line="276" w:lineRule="auto"/>
              <w:rPr>
                <w:rFonts w:ascii="Calibri" w:hAnsi="Calibri" w:cs="Calibri"/>
              </w:rPr>
            </w:pPr>
            <w:r w:rsidRPr="00C77F5E">
              <w:rPr>
                <w:rFonts w:ascii="Calibri" w:hAnsi="Calibri" w:cs="Calibri"/>
                <w:b/>
                <w:bCs/>
                <w:sz w:val="24"/>
                <w:szCs w:val="24"/>
              </w:rPr>
              <w:t>DE</w:t>
            </w:r>
          </w:p>
        </w:tc>
        <w:tc>
          <w:tcPr>
            <w:tcW w:w="9389" w:type="dxa"/>
          </w:tcPr>
          <w:p w14:paraId="2039D479" w14:textId="77777777" w:rsidR="00622621" w:rsidRPr="00C77F5E" w:rsidRDefault="00622621" w:rsidP="00577FBF">
            <w:pPr>
              <w:rPr>
                <w:rFonts w:ascii="Calibri" w:hAnsi="Calibri" w:cs="Calibri"/>
              </w:rPr>
            </w:pPr>
            <w:r w:rsidRPr="00C77F5E">
              <w:rPr>
                <w:rFonts w:ascii="Calibri" w:hAnsi="Calibri" w:cs="Calibri"/>
              </w:rPr>
              <w:t xml:space="preserve">-le cétose résulte plutôt d’une dégradation des lipides </w:t>
            </w:r>
          </w:p>
          <w:p w14:paraId="6598E8F1" w14:textId="77777777" w:rsidR="00622621" w:rsidRPr="00C77F5E" w:rsidRDefault="00622621" w:rsidP="00577FBF">
            <w:pPr>
              <w:spacing w:line="276" w:lineRule="auto"/>
              <w:rPr>
                <w:rFonts w:ascii="Calibri" w:hAnsi="Calibri" w:cs="Calibri"/>
              </w:rPr>
            </w:pPr>
            <w:r w:rsidRPr="00C77F5E">
              <w:rPr>
                <w:rFonts w:ascii="Calibri" w:hAnsi="Calibri" w:cs="Calibri"/>
              </w:rPr>
              <w:t xml:space="preserve">-En pratique, dans le D 1, un syndrome cardinal associé à une hyperglycémie supérieure à 2 g/1 fait poser le diagnostic le dosage des Anticorps dans le diabete type 1 est </w:t>
            </w:r>
            <w:proofErr w:type="gramStart"/>
            <w:r w:rsidRPr="00C77F5E">
              <w:rPr>
                <w:rFonts w:ascii="Calibri" w:hAnsi="Calibri" w:cs="Calibri"/>
              </w:rPr>
              <w:t>indique  en</w:t>
            </w:r>
            <w:proofErr w:type="gramEnd"/>
            <w:r w:rsidRPr="00C77F5E">
              <w:rPr>
                <w:rFonts w:ascii="Calibri" w:hAnsi="Calibri" w:cs="Calibri"/>
              </w:rPr>
              <w:t xml:space="preserve"> cas d’absence d'un tableau clinique typique </w:t>
            </w:r>
          </w:p>
        </w:tc>
      </w:tr>
    </w:tbl>
    <w:p w14:paraId="031ED766" w14:textId="77777777" w:rsidR="00622621" w:rsidRPr="00C77F5E" w:rsidRDefault="00622621" w:rsidP="00622621">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p>
    <w:p w14:paraId="513A0CBD" w14:textId="77777777" w:rsidR="00622621" w:rsidRPr="00C77F5E" w:rsidRDefault="00622621" w:rsidP="00622621">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12</w:t>
      </w:r>
      <w:r w:rsidRPr="00C77F5E">
        <w:rPr>
          <w:rFonts w:ascii="Calibri" w:eastAsia="Times New Roman" w:hAnsi="Calibri" w:cs="Calibri"/>
          <w:b/>
          <w:bCs/>
          <w:color w:val="1C1E21"/>
          <w:kern w:val="0"/>
          <w:lang w:eastAsia="fr-FR"/>
          <w14:ligatures w14:val="none"/>
        </w:rPr>
        <w:t>. Les facteurs de risques de diabète gestationnel sont : (La ou les réponses justes)</w:t>
      </w:r>
      <w:r w:rsidRPr="00C77F5E">
        <w:rPr>
          <w:rFonts w:ascii="Calibri" w:eastAsia="Times New Roman" w:hAnsi="Calibri" w:cs="Calibri"/>
          <w:b/>
          <w:bCs/>
          <w:color w:val="050505"/>
          <w:kern w:val="0"/>
          <w:lang w:eastAsia="fr-FR"/>
          <w14:ligatures w14:val="none"/>
        </w:rPr>
        <w:t xml:space="preserve"> (P1 2024 T38)</w:t>
      </w:r>
    </w:p>
    <w:p w14:paraId="3B07A0B4" w14:textId="77777777" w:rsidR="00622621" w:rsidRPr="00C77F5E" w:rsidRDefault="00622621" w:rsidP="00622621">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A. L'obesité.</w:t>
      </w:r>
    </w:p>
    <w:p w14:paraId="2EACF567" w14:textId="77777777" w:rsidR="00622621" w:rsidRPr="00C77F5E" w:rsidRDefault="00622621" w:rsidP="00622621">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B. L'âge &lt;30ans</w:t>
      </w:r>
    </w:p>
    <w:p w14:paraId="3C4F4C5B" w14:textId="77777777" w:rsidR="00622621" w:rsidRPr="00C77F5E" w:rsidRDefault="00622621" w:rsidP="00622621">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Le terrain d'auto-immunité</w:t>
      </w:r>
    </w:p>
    <w:p w14:paraId="49311407" w14:textId="77777777" w:rsidR="00622621" w:rsidRPr="00C77F5E" w:rsidRDefault="00622621" w:rsidP="00622621">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Les antécédents de macrosomie lors d'une grossesse antérieure</w:t>
      </w:r>
    </w:p>
    <w:p w14:paraId="7ADA29A1" w14:textId="77777777" w:rsidR="00622621" w:rsidRPr="00C77F5E" w:rsidRDefault="00622621" w:rsidP="00622621">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 La primiparité</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22621" w:rsidRPr="00C77F5E" w14:paraId="2D128CAB" w14:textId="77777777" w:rsidTr="00577FBF">
        <w:tc>
          <w:tcPr>
            <w:tcW w:w="592" w:type="dxa"/>
          </w:tcPr>
          <w:p w14:paraId="1E7C0492" w14:textId="77777777" w:rsidR="00622621" w:rsidRPr="00C77F5E" w:rsidRDefault="00622621"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38</w:t>
            </w:r>
          </w:p>
        </w:tc>
        <w:tc>
          <w:tcPr>
            <w:tcW w:w="900" w:type="dxa"/>
          </w:tcPr>
          <w:p w14:paraId="16C80AEA" w14:textId="77777777" w:rsidR="00622621" w:rsidRPr="00C77F5E" w:rsidRDefault="00622621"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AD</w:t>
            </w:r>
          </w:p>
        </w:tc>
        <w:tc>
          <w:tcPr>
            <w:tcW w:w="8493" w:type="dxa"/>
          </w:tcPr>
          <w:p w14:paraId="13577D7D" w14:textId="77777777" w:rsidR="00622621" w:rsidRPr="00C77F5E" w:rsidRDefault="00622621" w:rsidP="00577FBF">
            <w:pPr>
              <w:textAlignment w:val="center"/>
              <w:rPr>
                <w:rFonts w:ascii="Calibri" w:eastAsia="Times New Roman" w:hAnsi="Calibri" w:cs="Calibri"/>
                <w:color w:val="1C1E21"/>
              </w:rPr>
            </w:pPr>
            <w:r w:rsidRPr="00C77F5E">
              <w:rPr>
                <w:rFonts w:ascii="Calibri" w:eastAsia="Times New Roman" w:hAnsi="Calibri" w:cs="Calibri"/>
                <w:color w:val="1C1E21"/>
              </w:rPr>
              <w:t>B- L'âge ≥ 30ans</w:t>
            </w:r>
          </w:p>
          <w:p w14:paraId="1E75ED05" w14:textId="77777777" w:rsidR="00622621" w:rsidRPr="00C77F5E" w:rsidRDefault="00622621" w:rsidP="00577FBF">
            <w:pPr>
              <w:textAlignment w:val="center"/>
              <w:rPr>
                <w:rFonts w:ascii="Calibri" w:eastAsia="Times New Roman" w:hAnsi="Calibri" w:cs="Calibri"/>
                <w:color w:val="1C1E21"/>
              </w:rPr>
            </w:pPr>
            <w:r w:rsidRPr="00C77F5E">
              <w:rPr>
                <w:rFonts w:ascii="Calibri" w:eastAsia="Times New Roman" w:hAnsi="Calibri" w:cs="Calibri"/>
                <w:color w:val="1C1E21"/>
              </w:rPr>
              <w:t>E- La parité élevée</w:t>
            </w:r>
          </w:p>
        </w:tc>
      </w:tr>
    </w:tbl>
    <w:p w14:paraId="0519444C" w14:textId="77777777" w:rsidR="00721344" w:rsidRDefault="00721344"/>
    <w:sectPr w:rsidR="00721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sig w:usb0="E50002FF" w:usb1="500079DB" w:usb2="00000010" w:usb3="00000000" w:csb0="00000000" w:csb1="00000000"/>
  </w:font>
  <w:font w:name="Calibri">
    <w:panose1 w:val="020F0502020204030204"/>
    <w:charset w:val="00"/>
    <w:family w:val="swiss"/>
    <w:pitch w:val="variable"/>
    <w:sig w:usb0="E4002EFF" w:usb1="C200247B" w:usb2="00000009" w:usb3="00000000" w:csb0="000001FF" w:csb1="00000000"/>
  </w:font>
  <w:font w:name="sans-serif">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7"/>
    <w:rsid w:val="00300509"/>
    <w:rsid w:val="004B39EC"/>
    <w:rsid w:val="005D67B7"/>
    <w:rsid w:val="00622621"/>
    <w:rsid w:val="0072134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F2031-546B-4FE5-993D-56230AF6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21"/>
    <w:pPr>
      <w:spacing w:line="278" w:lineRule="auto"/>
    </w:pPr>
    <w:rPr>
      <w:lang w:val="fr-FR"/>
    </w:rPr>
  </w:style>
  <w:style w:type="paragraph" w:styleId="Heading1">
    <w:name w:val="heading 1"/>
    <w:basedOn w:val="Normal"/>
    <w:next w:val="Normal"/>
    <w:link w:val="Heading1Char"/>
    <w:uiPriority w:val="9"/>
    <w:qFormat/>
    <w:rsid w:val="005D67B7"/>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rPr>
  </w:style>
  <w:style w:type="paragraph" w:styleId="Heading2">
    <w:name w:val="heading 2"/>
    <w:basedOn w:val="Normal"/>
    <w:next w:val="Normal"/>
    <w:link w:val="Heading2Char"/>
    <w:uiPriority w:val="9"/>
    <w:semiHidden/>
    <w:unhideWhenUsed/>
    <w:qFormat/>
    <w:rsid w:val="005D67B7"/>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semiHidden/>
    <w:unhideWhenUsed/>
    <w:qFormat/>
    <w:rsid w:val="005D67B7"/>
    <w:pPr>
      <w:keepNext/>
      <w:keepLines/>
      <w:spacing w:before="160" w:after="80" w:line="259" w:lineRule="auto"/>
      <w:outlineLvl w:val="2"/>
    </w:pPr>
    <w:rPr>
      <w:rFonts w:eastAsiaTheme="majorEastAsia" w:cstheme="majorBidi"/>
      <w:color w:val="0F4761" w:themeColor="accent1" w:themeShade="BF"/>
      <w:sz w:val="28"/>
      <w:szCs w:val="28"/>
      <w:lang/>
    </w:rPr>
  </w:style>
  <w:style w:type="paragraph" w:styleId="Heading4">
    <w:name w:val="heading 4"/>
    <w:basedOn w:val="Normal"/>
    <w:next w:val="Normal"/>
    <w:link w:val="Heading4Char"/>
    <w:uiPriority w:val="9"/>
    <w:semiHidden/>
    <w:unhideWhenUsed/>
    <w:qFormat/>
    <w:rsid w:val="005D67B7"/>
    <w:pPr>
      <w:keepNext/>
      <w:keepLines/>
      <w:spacing w:before="80" w:after="40" w:line="259" w:lineRule="auto"/>
      <w:outlineLvl w:val="3"/>
    </w:pPr>
    <w:rPr>
      <w:rFonts w:eastAsiaTheme="majorEastAsia" w:cstheme="majorBidi"/>
      <w:i/>
      <w:iCs/>
      <w:color w:val="0F4761" w:themeColor="accent1" w:themeShade="BF"/>
      <w:lang/>
    </w:rPr>
  </w:style>
  <w:style w:type="paragraph" w:styleId="Heading5">
    <w:name w:val="heading 5"/>
    <w:basedOn w:val="Normal"/>
    <w:next w:val="Normal"/>
    <w:link w:val="Heading5Char"/>
    <w:uiPriority w:val="9"/>
    <w:semiHidden/>
    <w:unhideWhenUsed/>
    <w:qFormat/>
    <w:rsid w:val="005D67B7"/>
    <w:pPr>
      <w:keepNext/>
      <w:keepLines/>
      <w:spacing w:before="80" w:after="40" w:line="259" w:lineRule="auto"/>
      <w:outlineLvl w:val="4"/>
    </w:pPr>
    <w:rPr>
      <w:rFonts w:eastAsiaTheme="majorEastAsia" w:cstheme="majorBidi"/>
      <w:color w:val="0F4761" w:themeColor="accent1" w:themeShade="BF"/>
      <w:lang/>
    </w:rPr>
  </w:style>
  <w:style w:type="paragraph" w:styleId="Heading6">
    <w:name w:val="heading 6"/>
    <w:basedOn w:val="Normal"/>
    <w:next w:val="Normal"/>
    <w:link w:val="Heading6Char"/>
    <w:uiPriority w:val="9"/>
    <w:semiHidden/>
    <w:unhideWhenUsed/>
    <w:qFormat/>
    <w:rsid w:val="005D67B7"/>
    <w:pPr>
      <w:keepNext/>
      <w:keepLines/>
      <w:spacing w:before="40" w:after="0" w:line="259" w:lineRule="auto"/>
      <w:outlineLvl w:val="5"/>
    </w:pPr>
    <w:rPr>
      <w:rFonts w:eastAsiaTheme="majorEastAsia" w:cstheme="majorBidi"/>
      <w:i/>
      <w:iCs/>
      <w:color w:val="595959" w:themeColor="text1" w:themeTint="A6"/>
      <w:lang/>
    </w:rPr>
  </w:style>
  <w:style w:type="paragraph" w:styleId="Heading7">
    <w:name w:val="heading 7"/>
    <w:basedOn w:val="Normal"/>
    <w:next w:val="Normal"/>
    <w:link w:val="Heading7Char"/>
    <w:uiPriority w:val="9"/>
    <w:semiHidden/>
    <w:unhideWhenUsed/>
    <w:qFormat/>
    <w:rsid w:val="005D67B7"/>
    <w:pPr>
      <w:keepNext/>
      <w:keepLines/>
      <w:spacing w:before="40" w:after="0" w:line="259" w:lineRule="auto"/>
      <w:outlineLvl w:val="6"/>
    </w:pPr>
    <w:rPr>
      <w:rFonts w:eastAsiaTheme="majorEastAsia" w:cstheme="majorBidi"/>
      <w:color w:val="595959" w:themeColor="text1" w:themeTint="A6"/>
      <w:lang/>
    </w:rPr>
  </w:style>
  <w:style w:type="paragraph" w:styleId="Heading8">
    <w:name w:val="heading 8"/>
    <w:basedOn w:val="Normal"/>
    <w:next w:val="Normal"/>
    <w:link w:val="Heading8Char"/>
    <w:uiPriority w:val="9"/>
    <w:semiHidden/>
    <w:unhideWhenUsed/>
    <w:qFormat/>
    <w:rsid w:val="005D67B7"/>
    <w:pPr>
      <w:keepNext/>
      <w:keepLines/>
      <w:spacing w:after="0" w:line="259" w:lineRule="auto"/>
      <w:outlineLvl w:val="7"/>
    </w:pPr>
    <w:rPr>
      <w:rFonts w:eastAsiaTheme="majorEastAsia" w:cstheme="majorBidi"/>
      <w:i/>
      <w:iCs/>
      <w:color w:val="272727" w:themeColor="text1" w:themeTint="D8"/>
      <w:lang/>
    </w:rPr>
  </w:style>
  <w:style w:type="paragraph" w:styleId="Heading9">
    <w:name w:val="heading 9"/>
    <w:basedOn w:val="Normal"/>
    <w:next w:val="Normal"/>
    <w:link w:val="Heading9Char"/>
    <w:uiPriority w:val="9"/>
    <w:semiHidden/>
    <w:unhideWhenUsed/>
    <w:qFormat/>
    <w:rsid w:val="005D67B7"/>
    <w:pPr>
      <w:keepNext/>
      <w:keepLines/>
      <w:spacing w:after="0" w:line="259" w:lineRule="auto"/>
      <w:outlineLvl w:val="8"/>
    </w:pPr>
    <w:rPr>
      <w:rFonts w:eastAsiaTheme="majorEastAsia" w:cstheme="majorBidi"/>
      <w:color w:val="272727" w:themeColor="text1" w:themeTint="D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B7"/>
    <w:rPr>
      <w:rFonts w:eastAsiaTheme="majorEastAsia" w:cstheme="majorBidi"/>
      <w:color w:val="272727" w:themeColor="text1" w:themeTint="D8"/>
    </w:rPr>
  </w:style>
  <w:style w:type="paragraph" w:styleId="Title">
    <w:name w:val="Title"/>
    <w:basedOn w:val="Normal"/>
    <w:next w:val="Normal"/>
    <w:link w:val="TitleChar"/>
    <w:uiPriority w:val="10"/>
    <w:qFormat/>
    <w:rsid w:val="005D67B7"/>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5D6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7B7"/>
    <w:pPr>
      <w:numPr>
        <w:ilvl w:val="1"/>
      </w:numPr>
      <w:spacing w:line="259" w:lineRule="auto"/>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5D6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7B7"/>
    <w:pPr>
      <w:spacing w:before="160" w:line="259" w:lineRule="auto"/>
      <w:jc w:val="center"/>
    </w:pPr>
    <w:rPr>
      <w:i/>
      <w:iCs/>
      <w:color w:val="404040" w:themeColor="text1" w:themeTint="BF"/>
      <w:lang/>
    </w:rPr>
  </w:style>
  <w:style w:type="character" w:customStyle="1" w:styleId="QuoteChar">
    <w:name w:val="Quote Char"/>
    <w:basedOn w:val="DefaultParagraphFont"/>
    <w:link w:val="Quote"/>
    <w:uiPriority w:val="29"/>
    <w:rsid w:val="005D67B7"/>
    <w:rPr>
      <w:i/>
      <w:iCs/>
      <w:color w:val="404040" w:themeColor="text1" w:themeTint="BF"/>
    </w:rPr>
  </w:style>
  <w:style w:type="paragraph" w:styleId="ListParagraph">
    <w:name w:val="List Paragraph"/>
    <w:basedOn w:val="Normal"/>
    <w:uiPriority w:val="34"/>
    <w:qFormat/>
    <w:rsid w:val="005D67B7"/>
    <w:pPr>
      <w:spacing w:line="259" w:lineRule="auto"/>
      <w:ind w:left="720"/>
      <w:contextualSpacing/>
    </w:pPr>
    <w:rPr>
      <w:lang/>
    </w:rPr>
  </w:style>
  <w:style w:type="character" w:styleId="IntenseEmphasis">
    <w:name w:val="Intense Emphasis"/>
    <w:basedOn w:val="DefaultParagraphFont"/>
    <w:uiPriority w:val="21"/>
    <w:qFormat/>
    <w:rsid w:val="005D67B7"/>
    <w:rPr>
      <w:i/>
      <w:iCs/>
      <w:color w:val="0F4761" w:themeColor="accent1" w:themeShade="BF"/>
    </w:rPr>
  </w:style>
  <w:style w:type="paragraph" w:styleId="IntenseQuote">
    <w:name w:val="Intense Quote"/>
    <w:basedOn w:val="Normal"/>
    <w:next w:val="Normal"/>
    <w:link w:val="IntenseQuoteChar"/>
    <w:uiPriority w:val="30"/>
    <w:qFormat/>
    <w:rsid w:val="005D67B7"/>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rPr>
  </w:style>
  <w:style w:type="character" w:customStyle="1" w:styleId="IntenseQuoteChar">
    <w:name w:val="Intense Quote Char"/>
    <w:basedOn w:val="DefaultParagraphFont"/>
    <w:link w:val="IntenseQuote"/>
    <w:uiPriority w:val="30"/>
    <w:rsid w:val="005D67B7"/>
    <w:rPr>
      <w:i/>
      <w:iCs/>
      <w:color w:val="0F4761" w:themeColor="accent1" w:themeShade="BF"/>
    </w:rPr>
  </w:style>
  <w:style w:type="character" w:styleId="IntenseReference">
    <w:name w:val="Intense Reference"/>
    <w:basedOn w:val="DefaultParagraphFont"/>
    <w:uiPriority w:val="32"/>
    <w:qFormat/>
    <w:rsid w:val="005D67B7"/>
    <w:rPr>
      <w:b/>
      <w:bCs/>
      <w:smallCaps/>
      <w:color w:val="0F4761" w:themeColor="accent1" w:themeShade="BF"/>
      <w:spacing w:val="5"/>
    </w:rPr>
  </w:style>
  <w:style w:type="table" w:styleId="TableGrid">
    <w:name w:val="Table Grid"/>
    <w:basedOn w:val="TableNormal"/>
    <w:uiPriority w:val="39"/>
    <w:rsid w:val="00622621"/>
    <w:pPr>
      <w:spacing w:after="0" w:line="240" w:lineRule="auto"/>
    </w:pPr>
    <w:rPr>
      <w:kern w:val="0"/>
      <w:sz w:val="20"/>
      <w:szCs w:val="20"/>
      <w:lang w:val="fr-FR"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rsid w:val="00622621"/>
    <w:pPr>
      <w:spacing w:after="0" w:line="240" w:lineRule="auto"/>
    </w:pPr>
    <w:rPr>
      <w:rFonts w:ascii="Helvetica Neue" w:eastAsia="Helvetica Neue" w:hAnsi="Helvetica Neue" w:cs="Times New Roman"/>
      <w:kern w:val="0"/>
      <w:sz w:val="26"/>
      <w:szCs w:val="2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CHAICHE AYOUB</dc:creator>
  <cp:keywords/>
  <dc:description/>
  <cp:lastModifiedBy>CHAICHE AYOUB</cp:lastModifiedBy>
  <cp:revision>2</cp:revision>
  <dcterms:created xsi:type="dcterms:W3CDTF">2026-05-20T11:31:00Z</dcterms:created>
  <dcterms:modified xsi:type="dcterms:W3CDTF">2026-05-20T11:31:00Z</dcterms:modified>
</cp:coreProperties>
</file>