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before="240" w:after="240"/>
        <w:jc w:val="center"/>
        <w:rPr>
          <w:rFonts w:ascii="Comic Sans MS" w:hAnsi="Comic Sans MS" w:eastAsia="Comic Sans MS" w:cs="Comic Sans MS"/>
          <w:b/>
          <w:bCs/>
          <w:i/>
          <w:iCs/>
          <w:sz w:val="52"/>
          <w:szCs w:val="52"/>
          <w:u w:val="single"/>
        </w:rPr>
      </w:pPr>
      <w:r>
        <w:rPr>
          <w:rFonts w:ascii="Comic Sans MS" w:hAnsi="Comic Sans MS" w:eastAsia="Comic Sans MS" w:cs="Comic Sans MS"/>
          <w:b/>
          <w:bCs/>
          <w:i/>
          <w:iCs/>
          <w:sz w:val="52"/>
          <w:szCs w:val="52"/>
          <w:u w:val="single"/>
          <w:rtl w:val="0"/>
        </w:rPr>
        <w:t>HGE P2 2026</w:t>
      </w:r>
    </w:p>
    <w:p w14:paraId="00000002">
      <w:pPr>
        <w:spacing w:before="240" w:after="240"/>
      </w:pPr>
      <w:r>
        <w:rPr>
          <w:b/>
          <w:bCs/>
          <w:rtl w:val="0"/>
        </w:rPr>
        <w:t>01. Quel mécanisme physiopathologique est principalement impliqué dans la diminution de la résistance œsophagienne au reflux acide ? RJ</w:t>
      </w:r>
      <w:r>
        <w:rPr>
          <w:b/>
          <w:bCs/>
          <w:rtl w:val="0"/>
        </w:rPr>
        <w:br w:type="textWrapping"/>
      </w:r>
      <w:r>
        <w:rPr>
          <w:rtl w:val="0"/>
        </w:rPr>
        <w:t>A- Infection bactérienne de la muqueuse œsophagienne.</w:t>
      </w:r>
      <w:r>
        <w:rPr>
          <w:rtl w:val="0"/>
        </w:rPr>
        <w:br w:type="textWrapping"/>
      </w:r>
      <w:r>
        <w:rPr>
          <w:rtl w:val="0"/>
        </w:rPr>
        <w:t>B- Hypertonie du sphincter supérieur de l'œsophage.</w:t>
      </w:r>
      <w:r>
        <w:rPr>
          <w:rtl w:val="0"/>
        </w:rPr>
        <w:br w:type="textWrapping"/>
      </w:r>
      <w:r>
        <w:rPr>
          <w:rtl w:val="0"/>
        </w:rPr>
        <w:t>C- Diminution de la pression du SIO ou anomalies du péristaltisme.</w:t>
      </w:r>
      <w:r>
        <w:rPr>
          <w:rtl w:val="0"/>
        </w:rPr>
        <w:br w:type="textWrapping"/>
      </w:r>
      <w:r>
        <w:rPr>
          <w:rtl w:val="0"/>
        </w:rPr>
        <w:t>D- Augmentation de la motilité œsophagienne.</w:t>
      </w:r>
      <w:r>
        <w:rPr>
          <w:rtl w:val="0"/>
        </w:rPr>
        <w:br w:type="textWrapping"/>
      </w:r>
      <w:r>
        <w:rPr>
          <w:rtl w:val="0"/>
        </w:rPr>
        <w:t>E- Hyperactivité du muscle crico-pharyngien.</w:t>
      </w:r>
    </w:p>
    <w:p w14:paraId="00000003">
      <w:pPr>
        <w:spacing w:before="240" w:after="240"/>
      </w:pPr>
      <w:r>
        <w:rPr>
          <w:b/>
          <w:bCs/>
          <w:rtl w:val="0"/>
        </w:rPr>
        <w:t>02. Quelle est la méthode de référence pour le traitement de la dysplasie de haut grade ou du carcinome in situ dans l'œsophage de Barrett ? RJ</w:t>
      </w:r>
      <w:r>
        <w:rPr>
          <w:b/>
          <w:bCs/>
          <w:rtl w:val="0"/>
        </w:rPr>
        <w:br w:type="textWrapping"/>
      </w:r>
      <w:r>
        <w:rPr>
          <w:rtl w:val="0"/>
        </w:rPr>
        <w:t>A- Traitement par radiothérapie seule</w:t>
      </w:r>
      <w:r>
        <w:rPr>
          <w:rtl w:val="0"/>
        </w:rPr>
        <w:br w:type="textWrapping"/>
      </w:r>
      <w:r>
        <w:rPr>
          <w:rtl w:val="0"/>
        </w:rPr>
        <w:t>B- Traitement médical prolongé sans intervention endoscopique</w:t>
      </w:r>
      <w:r>
        <w:rPr>
          <w:rtl w:val="0"/>
        </w:rPr>
        <w:br w:type="textWrapping"/>
      </w:r>
      <w:r>
        <w:rPr>
          <w:rtl w:val="0"/>
        </w:rPr>
        <w:t>C- Chirurgie de dérivation gastro-jéjunale</w:t>
      </w:r>
      <w:r>
        <w:rPr>
          <w:rtl w:val="0"/>
        </w:rPr>
        <w:br w:type="textWrapping"/>
      </w:r>
      <w:r>
        <w:rPr>
          <w:rtl w:val="0"/>
        </w:rPr>
        <w:t>D- Cryothérapie uniquement</w:t>
      </w:r>
      <w:r>
        <w:rPr>
          <w:rtl w:val="0"/>
        </w:rPr>
        <w:br w:type="textWrapping"/>
      </w:r>
      <w:r>
        <w:rPr>
          <w:rtl w:val="0"/>
        </w:rPr>
        <w:t>E- Résection endoscopique avec possibilité de staging</w:t>
      </w:r>
    </w:p>
    <w:p w14:paraId="00000004">
      <w:pPr>
        <w:spacing w:before="240" w:after="240"/>
      </w:pPr>
      <w:r>
        <w:rPr>
          <w:b/>
          <w:bCs/>
          <w:rtl w:val="0"/>
        </w:rPr>
        <w:t>03. Un patient de 30 ans, suite à une ingestion de soude caustique (pH 14), développe des sténoses œsophagiennes multiples et complexes malgré une prise en charge initiale optimale en gastrologie. Les dilatations endoscopiques répétées s'avèrent inefficaces et les récidives sont fréquentes. Quelle option thérapeutique représente la meilleure approche à long terme pour restaurer la continuité digestive et prévenir les complications graves ?</w:t>
      </w:r>
      <w:r>
        <w:rPr>
          <w:b/>
          <w:bCs/>
          <w:rtl w:val="0"/>
        </w:rPr>
        <w:br w:type="textWrapping"/>
      </w:r>
      <w:r>
        <w:rPr>
          <w:rtl w:val="0"/>
        </w:rPr>
        <w:t>A- Œsophagectomie totale ou subtotale avec interposition colique ou gastrique pour restaurer la continuité digestive.</w:t>
      </w:r>
      <w:r>
        <w:rPr>
          <w:rtl w:val="0"/>
        </w:rPr>
        <w:br w:type="textWrapping"/>
      </w:r>
      <w:r>
        <w:rPr>
          <w:rtl w:val="0"/>
        </w:rPr>
        <w:t>B- Mise en place de stents œsophagiens auto-expansibles à demeure pour maintenir la perméabilité de la lumière.</w:t>
      </w:r>
      <w:r>
        <w:rPr>
          <w:rtl w:val="0"/>
        </w:rPr>
        <w:br w:type="textWrapping"/>
      </w:r>
      <w:r>
        <w:rPr>
          <w:rtl w:val="0"/>
        </w:rPr>
        <w:t>C- Augmentation des fréquences de dilatations endoscopiques hebdomadaires sous anesthésie générale.</w:t>
      </w:r>
      <w:r>
        <w:rPr>
          <w:rtl w:val="0"/>
        </w:rPr>
        <w:br w:type="textWrapping"/>
      </w:r>
      <w:r>
        <w:rPr>
          <w:rtl w:val="0"/>
        </w:rPr>
        <w:t>D- Thérapie photodynamique locale pour réduire la fibrose cicatricielle et favoriser la recanalisation.</w:t>
      </w:r>
      <w:r>
        <w:rPr>
          <w:rtl w:val="0"/>
        </w:rPr>
        <w:br w:type="textWrapping"/>
      </w:r>
      <w:r>
        <w:rPr>
          <w:rtl w:val="0"/>
        </w:rPr>
        <w:t>E- Traitement médicamenteux à vie avec de fortes doses d'inhibiteurs de la pompe à protons et de prokinétiques.</w:t>
      </w:r>
    </w:p>
    <w:p w14:paraId="00000005">
      <w:pPr>
        <w:spacing w:before="240" w:after="240"/>
      </w:pPr>
      <w:r>
        <w:rPr>
          <w:b/>
          <w:bCs/>
          <w:rtl w:val="0"/>
        </w:rPr>
        <w:t>04. Les examens complémentaires utiles pour le diagnostic de l'achalasie du cardia sont ; combinaison juste</w:t>
      </w:r>
      <w:r>
        <w:rPr>
          <w:b/>
          <w:bCs/>
          <w:rtl w:val="0"/>
        </w:rPr>
        <w:br w:type="textWrapping"/>
      </w:r>
      <w:r>
        <w:rPr>
          <w:rtl w:val="0"/>
        </w:rPr>
        <w:t>1- L'endoscopie digestive haute</w:t>
      </w:r>
      <w:r>
        <w:rPr>
          <w:rtl w:val="0"/>
        </w:rPr>
        <w:br w:type="textWrapping"/>
      </w:r>
      <w:r>
        <w:rPr>
          <w:rtl w:val="0"/>
        </w:rPr>
        <w:t>2- La pHmétrie de l'œsophage</w:t>
      </w:r>
      <w:r>
        <w:rPr>
          <w:rtl w:val="0"/>
        </w:rPr>
        <w:br w:type="textWrapping"/>
      </w:r>
      <w:r>
        <w:rPr>
          <w:rtl w:val="0"/>
        </w:rPr>
        <w:t>3- Le transit baryté de l'œsophage</w:t>
      </w:r>
      <w:r>
        <w:rPr>
          <w:rtl w:val="0"/>
        </w:rPr>
        <w:br w:type="textWrapping"/>
      </w:r>
      <w:r>
        <w:rPr>
          <w:rtl w:val="0"/>
        </w:rPr>
        <w:t>4- La biopsie œsophagienne pour étude immunohistochimique des plexus myentériques</w:t>
      </w:r>
      <w:r>
        <w:rPr>
          <w:rtl w:val="0"/>
        </w:rPr>
        <w:br w:type="textWrapping"/>
      </w:r>
      <w:r>
        <w:rPr>
          <w:rtl w:val="0"/>
        </w:rPr>
        <w:t>5- La manométrie œsophagienne</w:t>
      </w:r>
      <w:r>
        <w:rPr>
          <w:rtl w:val="0"/>
        </w:rPr>
        <w:br w:type="textWrapping"/>
      </w:r>
      <w:r>
        <w:rPr>
          <w:rtl w:val="0"/>
        </w:rPr>
        <w:t>A= (1+2)</w:t>
      </w:r>
      <w:r>
        <w:rPr>
          <w:rtl w:val="0"/>
        </w:rPr>
        <w:br w:type="textWrapping"/>
      </w:r>
      <w:r>
        <w:rPr>
          <w:rtl w:val="0"/>
        </w:rPr>
        <w:t>B= (1+3)</w:t>
      </w:r>
      <w:r>
        <w:rPr>
          <w:rtl w:val="0"/>
        </w:rPr>
        <w:br w:type="textWrapping"/>
      </w:r>
      <w:r>
        <w:rPr>
          <w:rtl w:val="0"/>
        </w:rPr>
        <w:t>C= (1+2+5)</w:t>
      </w:r>
      <w:r>
        <w:rPr>
          <w:rtl w:val="0"/>
        </w:rPr>
        <w:br w:type="textWrapping"/>
      </w:r>
      <w:r>
        <w:rPr>
          <w:rtl w:val="0"/>
        </w:rPr>
        <w:t>D= (1+3+5)</w:t>
      </w:r>
      <w:r>
        <w:rPr>
          <w:rtl w:val="0"/>
        </w:rPr>
        <w:br w:type="textWrapping"/>
      </w:r>
      <w:r>
        <w:rPr>
          <w:rtl w:val="0"/>
        </w:rPr>
        <w:t>E= (2+3+5)</w:t>
      </w:r>
    </w:p>
    <w:p w14:paraId="00000006">
      <w:pPr>
        <w:spacing w:before="240" w:after="240"/>
      </w:pPr>
      <w:r>
        <w:rPr>
          <w:b/>
          <w:bCs/>
          <w:rtl w:val="0"/>
        </w:rPr>
        <w:t>05. Quel est le traitement approprié d'un carcinome épidermoïde de l'œsophage non résecable avec, envahissement trachéo-bronchique et fistule œso-bronchique ?</w:t>
      </w:r>
      <w:r>
        <w:rPr>
          <w:b/>
          <w:bCs/>
          <w:rtl w:val="0"/>
        </w:rPr>
        <w:br w:type="textWrapping"/>
      </w:r>
      <w:r>
        <w:rPr>
          <w:rtl w:val="0"/>
        </w:rPr>
        <w:t>A- Radiothérapie seule.</w:t>
      </w:r>
      <w:r>
        <w:rPr>
          <w:rtl w:val="0"/>
        </w:rPr>
        <w:br w:type="textWrapping"/>
      </w:r>
      <w:r>
        <w:rPr>
          <w:rtl w:val="0"/>
        </w:rPr>
        <w:t>B- Prothèse œsophagienne.</w:t>
      </w:r>
      <w:r>
        <w:rPr>
          <w:rtl w:val="0"/>
        </w:rPr>
        <w:br w:type="textWrapping"/>
      </w:r>
      <w:r>
        <w:rPr>
          <w:rtl w:val="0"/>
        </w:rPr>
        <w:t>C- Radio-chimiothérapie.</w:t>
      </w:r>
      <w:r>
        <w:rPr>
          <w:rtl w:val="0"/>
        </w:rPr>
        <w:br w:type="textWrapping"/>
      </w:r>
      <w:r>
        <w:rPr>
          <w:rtl w:val="0"/>
        </w:rPr>
        <w:t>D- Chirurgie de propreté.</w:t>
      </w:r>
      <w:r>
        <w:rPr>
          <w:rtl w:val="0"/>
        </w:rPr>
        <w:br w:type="textWrapping"/>
      </w:r>
      <w:r>
        <w:rPr>
          <w:rtl w:val="0"/>
        </w:rPr>
        <w:t>E- Toutes ces propositions.</w:t>
      </w:r>
    </w:p>
    <w:p w14:paraId="00000007">
      <w:pPr>
        <w:spacing w:before="240" w:after="240"/>
      </w:pPr>
      <w:r>
        <w:rPr>
          <w:b/>
          <w:bCs/>
          <w:rtl w:val="0"/>
        </w:rPr>
        <w:t>06. La recherche et l'éradication de l'Helicobacter pylori (HP) est recommandée dans toutes ces pathologies une ; laquelle ?</w:t>
      </w:r>
      <w:r>
        <w:rPr>
          <w:b/>
          <w:bCs/>
          <w:rtl w:val="0"/>
        </w:rPr>
        <w:br w:type="textWrapping"/>
      </w:r>
      <w:r>
        <w:rPr>
          <w:rtl w:val="0"/>
        </w:rPr>
        <w:t>A- Ulcère gastroduodénal (UGD).</w:t>
      </w:r>
      <w:r>
        <w:rPr>
          <w:rtl w:val="0"/>
        </w:rPr>
        <w:br w:type="textWrapping"/>
      </w:r>
      <w:r>
        <w:rPr>
          <w:rtl w:val="0"/>
        </w:rPr>
        <w:t>B- Lymphome du MALT gastrique.</w:t>
      </w:r>
      <w:r>
        <w:rPr>
          <w:rtl w:val="0"/>
        </w:rPr>
        <w:br w:type="textWrapping"/>
      </w:r>
      <w:r>
        <w:rPr>
          <w:rtl w:val="0"/>
        </w:rPr>
        <w:t>C- Prise d'anti inflammatoires ou d'aspirine à faible dose avec UGD compliqué ou non.</w:t>
      </w:r>
      <w:r>
        <w:rPr>
          <w:rtl w:val="0"/>
        </w:rPr>
        <w:br w:type="textWrapping"/>
      </w:r>
      <w:r>
        <w:rPr>
          <w:rtl w:val="0"/>
        </w:rPr>
        <w:t>D- Dyspepsie chronique avec endoscopie digestive haute normale.</w:t>
      </w:r>
      <w:r>
        <w:rPr>
          <w:rtl w:val="0"/>
        </w:rPr>
        <w:br w:type="textWrapping"/>
      </w:r>
      <w:r>
        <w:rPr>
          <w:rtl w:val="0"/>
        </w:rPr>
        <w:t>E- Chez les apparentés au premier degré d'un sujet Hp +.</w:t>
      </w:r>
    </w:p>
    <w:p w14:paraId="00000008">
      <w:pPr>
        <w:spacing w:before="240" w:after="240"/>
      </w:pPr>
      <w:r>
        <w:rPr>
          <w:b/>
          <w:bCs/>
          <w:rtl w:val="0"/>
        </w:rPr>
        <w:t>07. Un patient consulte aux urgences pour hématémèse sans retentissement hémodynamique. A la FNS le taux d'hémoglobine est à 10 gr/dl. L'endoscopie d'urgence retrouve un ulcère de l'antre avec vaisseau visible. Que préconisez-vous ? (RF)</w:t>
      </w:r>
      <w:r>
        <w:rPr>
          <w:b/>
          <w:bCs/>
          <w:rtl w:val="0"/>
        </w:rPr>
        <w:br w:type="textWrapping"/>
      </w:r>
      <w:r>
        <w:rPr>
          <w:rtl w:val="0"/>
        </w:rPr>
        <w:t>A- Hospitalisation obligatoire</w:t>
      </w:r>
      <w:r>
        <w:rPr>
          <w:rtl w:val="0"/>
        </w:rPr>
        <w:br w:type="textWrapping"/>
      </w:r>
      <w:r>
        <w:rPr>
          <w:rtl w:val="0"/>
        </w:rPr>
        <w:t>B- Traitement endoscopique par injection d'adrénaline + clips hémostatiques</w:t>
      </w:r>
      <w:r>
        <w:rPr>
          <w:rtl w:val="0"/>
        </w:rPr>
        <w:br w:type="textWrapping"/>
      </w:r>
      <w:r>
        <w:rPr>
          <w:rtl w:val="0"/>
        </w:rPr>
        <w:t>C- IPP par voie parentérale pendant 72 heures puis relais per os.</w:t>
      </w:r>
      <w:r>
        <w:rPr>
          <w:rtl w:val="0"/>
        </w:rPr>
        <w:br w:type="textWrapping"/>
      </w:r>
      <w:r>
        <w:rPr>
          <w:rtl w:val="0"/>
        </w:rPr>
        <w:t>D- IPP + surveillance à titre externe</w:t>
      </w:r>
      <w:r>
        <w:rPr>
          <w:rtl w:val="0"/>
        </w:rPr>
        <w:br w:type="textWrapping"/>
      </w:r>
      <w:r>
        <w:rPr>
          <w:rtl w:val="0"/>
        </w:rPr>
        <w:t>E- Contrôle endoscopique systématique avec biopsies de l'ulcère.</w:t>
      </w:r>
    </w:p>
    <w:p w14:paraId="00000009">
      <w:pPr>
        <w:spacing w:before="240" w:after="240"/>
      </w:pPr>
      <w:r>
        <w:rPr>
          <w:b/>
          <w:bCs/>
          <w:rtl w:val="0"/>
        </w:rPr>
        <w:t>08. L'endobrachyoesophage est caractérisé par : réponse fausse</w:t>
      </w:r>
      <w:r>
        <w:rPr>
          <w:b/>
          <w:bCs/>
          <w:rtl w:val="0"/>
        </w:rPr>
        <w:br w:type="textWrapping"/>
      </w:r>
      <w:r>
        <w:rPr>
          <w:rtl w:val="0"/>
        </w:rPr>
        <w:t>A- Une muqueuse de type glandulaire au niveau du bas œsophage.</w:t>
      </w:r>
      <w:r>
        <w:rPr>
          <w:rtl w:val="0"/>
        </w:rPr>
        <w:br w:type="textWrapping"/>
      </w:r>
      <w:r>
        <w:rPr>
          <w:rtl w:val="0"/>
        </w:rPr>
        <w:t>B- Des lésions de dysplasie, visibles en endoscopie.</w:t>
      </w:r>
      <w:r>
        <w:rPr>
          <w:rtl w:val="0"/>
        </w:rPr>
        <w:br w:type="textWrapping"/>
      </w:r>
      <w:r>
        <w:rPr>
          <w:rtl w:val="0"/>
        </w:rPr>
        <w:t>C- Un risque de transformation en adénocarcinome</w:t>
      </w:r>
      <w:r>
        <w:rPr>
          <w:rtl w:val="0"/>
        </w:rPr>
        <w:br w:type="textWrapping"/>
      </w:r>
      <w:r>
        <w:rPr>
          <w:rtl w:val="0"/>
        </w:rPr>
        <w:t>D- Une muqueuse métaplasique.</w:t>
      </w:r>
      <w:r>
        <w:rPr>
          <w:rtl w:val="0"/>
        </w:rPr>
        <w:br w:type="textWrapping"/>
      </w:r>
      <w:r>
        <w:rPr>
          <w:rtl w:val="0"/>
        </w:rPr>
        <w:t>E- Un reflux chronique.</w:t>
      </w:r>
    </w:p>
    <w:p w14:paraId="0000000A">
      <w:pPr>
        <w:spacing w:before="240" w:after="240"/>
      </w:pPr>
      <w:r>
        <w:rPr>
          <w:b/>
          <w:bCs/>
          <w:rtl w:val="0"/>
        </w:rPr>
        <w:t>09. L'activité d'une gastrite chronique est appréciée par la présence de : RJ</w:t>
      </w:r>
      <w:r>
        <w:rPr>
          <w:b/>
          <w:bCs/>
          <w:rtl w:val="0"/>
        </w:rPr>
        <w:br w:type="textWrapping"/>
      </w:r>
      <w:r>
        <w:rPr>
          <w:rtl w:val="0"/>
        </w:rPr>
        <w:t>A- La métaplasie intestinale.</w:t>
      </w:r>
      <w:r>
        <w:rPr>
          <w:rtl w:val="0"/>
        </w:rPr>
        <w:br w:type="textWrapping"/>
      </w:r>
      <w:r>
        <w:rPr>
          <w:rtl w:val="0"/>
        </w:rPr>
        <w:t>B- L'infiltrat lympho-plasmocytaire.</w:t>
      </w:r>
      <w:r>
        <w:rPr>
          <w:rtl w:val="0"/>
        </w:rPr>
        <w:br w:type="textWrapping"/>
      </w:r>
      <w:r>
        <w:rPr>
          <w:rtl w:val="0"/>
        </w:rPr>
        <w:t>C- Polynucléaires neutrophiles.</w:t>
      </w:r>
      <w:r>
        <w:rPr>
          <w:rtl w:val="0"/>
        </w:rPr>
        <w:br w:type="textWrapping"/>
      </w:r>
      <w:r>
        <w:rPr>
          <w:rtl w:val="0"/>
        </w:rPr>
        <w:t>D- L'atrophie glandulaire.</w:t>
      </w:r>
      <w:r>
        <w:rPr>
          <w:rtl w:val="0"/>
        </w:rPr>
        <w:br w:type="textWrapping"/>
      </w:r>
      <w:r>
        <w:rPr>
          <w:rtl w:val="0"/>
        </w:rPr>
        <w:t>E- Dysplasie épithéliale.</w:t>
      </w:r>
    </w:p>
    <w:p w14:paraId="0000000B">
      <w:pPr>
        <w:spacing w:before="240" w:after="240"/>
      </w:pPr>
      <w:r>
        <w:rPr>
          <w:b/>
          <w:bCs/>
          <w:rtl w:val="0"/>
        </w:rPr>
        <w:t>10. L'adénome hépatocytaire : 1RJ</w:t>
      </w:r>
      <w:r>
        <w:rPr>
          <w:b/>
          <w:bCs/>
          <w:rtl w:val="0"/>
        </w:rPr>
        <w:br w:type="textWrapping"/>
      </w:r>
      <w:r>
        <w:rPr>
          <w:rtl w:val="0"/>
        </w:rPr>
        <w:t>A- Est une tumeur bénigne de la vésicule biliaire.</w:t>
      </w:r>
      <w:r>
        <w:rPr>
          <w:rtl w:val="0"/>
        </w:rPr>
        <w:br w:type="textWrapping"/>
      </w:r>
      <w:r>
        <w:rPr>
          <w:rtl w:val="0"/>
        </w:rPr>
        <w:t>B- N'est pas favorisé par la prise de contraceptifs oraux.</w:t>
      </w:r>
      <w:r>
        <w:rPr>
          <w:rtl w:val="0"/>
        </w:rPr>
        <w:br w:type="textWrapping"/>
      </w:r>
      <w:r>
        <w:rPr>
          <w:rtl w:val="0"/>
        </w:rPr>
        <w:t>C- Est fréquent chez l'homme.</w:t>
      </w:r>
      <w:r>
        <w:rPr>
          <w:rtl w:val="0"/>
        </w:rPr>
        <w:br w:type="textWrapping"/>
      </w:r>
      <w:r>
        <w:rPr>
          <w:rtl w:val="0"/>
        </w:rPr>
        <w:t>D- Est toujours de bon pronostic.</w:t>
      </w:r>
      <w:r>
        <w:rPr>
          <w:rtl w:val="0"/>
        </w:rPr>
        <w:br w:type="textWrapping"/>
      </w:r>
      <w:r>
        <w:rPr>
          <w:rtl w:val="0"/>
        </w:rPr>
        <w:t>E- Peut évoluer vers un hépatocarcinome.</w:t>
      </w:r>
    </w:p>
    <w:p w14:paraId="0000000C">
      <w:pPr>
        <w:spacing w:before="240" w:after="240"/>
      </w:pPr>
      <w:r>
        <w:rPr>
          <w:b/>
          <w:bCs/>
          <w:rtl w:val="0"/>
        </w:rPr>
        <w:t>11. L'hydatidose hépatique : réponse fausse</w:t>
      </w:r>
      <w:r>
        <w:rPr>
          <w:b/>
          <w:bCs/>
          <w:rtl w:val="0"/>
        </w:rPr>
        <w:br w:type="textWrapping"/>
      </w:r>
      <w:r>
        <w:rPr>
          <w:rtl w:val="0"/>
        </w:rPr>
        <w:t>A- Est une zoonose.</w:t>
      </w:r>
      <w:r>
        <w:rPr>
          <w:rtl w:val="0"/>
        </w:rPr>
        <w:br w:type="textWrapping"/>
      </w:r>
      <w:r>
        <w:rPr>
          <w:rtl w:val="0"/>
        </w:rPr>
        <w:t>B- Une sérologie hydatique négative n'exclue pas le diagnostic.</w:t>
      </w:r>
      <w:r>
        <w:rPr>
          <w:rtl w:val="0"/>
        </w:rPr>
        <w:br w:type="textWrapping"/>
      </w:r>
      <w:r>
        <w:rPr>
          <w:rtl w:val="0"/>
        </w:rPr>
        <w:t>C- Le traitement médical par l'albendazole permet de ralentir l'évolution des kystes</w:t>
      </w:r>
      <w:r>
        <w:rPr>
          <w:rtl w:val="0"/>
        </w:rPr>
        <w:br w:type="textWrapping"/>
      </w:r>
      <w:r>
        <w:rPr>
          <w:rtl w:val="0"/>
        </w:rPr>
        <w:t>D- Un aspect multi vésiculaire correspond à type IV de GHARBI.</w:t>
      </w:r>
      <w:r>
        <w:rPr>
          <w:rtl w:val="0"/>
        </w:rPr>
        <w:br w:type="textWrapping"/>
      </w:r>
      <w:r>
        <w:rPr>
          <w:rtl w:val="0"/>
        </w:rPr>
        <w:t>E- Le traitement est essentiellement chirurgical.</w:t>
      </w:r>
    </w:p>
    <w:p w14:paraId="0000000D">
      <w:pPr>
        <w:spacing w:before="240" w:after="240"/>
      </w:pPr>
      <w:r>
        <w:rPr>
          <w:b/>
          <w:bCs/>
          <w:rtl w:val="0"/>
        </w:rPr>
        <w:t>12. Parmi les signes biologiques suivants, quels sont qui font partie du syndrome de cholestase : asso</w:t>
      </w:r>
      <w:r>
        <w:rPr>
          <w:b/>
          <w:bCs/>
          <w:rtl w:val="0"/>
        </w:rPr>
        <w:br w:type="textWrapping"/>
      </w:r>
      <w:r>
        <w:rPr>
          <w:rtl w:val="0"/>
        </w:rPr>
        <w:t>1- Elévation de la bilirubine non conjuguée</w:t>
      </w:r>
      <w:r>
        <w:rPr>
          <w:rtl w:val="0"/>
        </w:rPr>
        <w:br w:type="textWrapping"/>
      </w:r>
      <w:r>
        <w:rPr>
          <w:rtl w:val="0"/>
        </w:rPr>
        <w:t>2- Elévation des gammas GT</w:t>
      </w:r>
      <w:r>
        <w:rPr>
          <w:rtl w:val="0"/>
        </w:rPr>
        <w:br w:type="textWrapping"/>
      </w:r>
      <w:r>
        <w:rPr>
          <w:rtl w:val="0"/>
        </w:rPr>
        <w:t>3- Elévation des phosphatases alcalines</w:t>
      </w:r>
      <w:r>
        <w:rPr>
          <w:rtl w:val="0"/>
        </w:rPr>
        <w:br w:type="textWrapping"/>
      </w:r>
      <w:r>
        <w:rPr>
          <w:rtl w:val="0"/>
        </w:rPr>
        <w:t>4- Diminution du taux sérique des acides biliaires</w:t>
      </w:r>
      <w:r>
        <w:rPr>
          <w:rtl w:val="0"/>
        </w:rPr>
        <w:br w:type="textWrapping"/>
      </w:r>
      <w:r>
        <w:rPr>
          <w:rtl w:val="0"/>
        </w:rPr>
        <w:t>5- Diminution de la 5' nucléotidase</w:t>
      </w:r>
      <w:r>
        <w:rPr>
          <w:rtl w:val="0"/>
        </w:rPr>
        <w:br w:type="textWrapping"/>
      </w:r>
      <w:r>
        <w:rPr>
          <w:rtl w:val="0"/>
        </w:rPr>
        <w:t>A= (1+2)</w:t>
      </w:r>
      <w:r>
        <w:rPr>
          <w:rtl w:val="0"/>
        </w:rPr>
        <w:br w:type="textWrapping"/>
      </w:r>
      <w:r>
        <w:rPr>
          <w:rtl w:val="0"/>
        </w:rPr>
        <w:t>B= (1+2+3)</w:t>
      </w:r>
      <w:r>
        <w:rPr>
          <w:rtl w:val="0"/>
        </w:rPr>
        <w:br w:type="textWrapping"/>
      </w:r>
      <w:r>
        <w:rPr>
          <w:rtl w:val="0"/>
        </w:rPr>
        <w:t>C= (2+3)</w:t>
      </w:r>
      <w:r>
        <w:rPr>
          <w:rtl w:val="0"/>
        </w:rPr>
        <w:br w:type="textWrapping"/>
      </w:r>
      <w:r>
        <w:rPr>
          <w:rtl w:val="0"/>
        </w:rPr>
        <w:t>D= (3+4)</w:t>
      </w:r>
      <w:r>
        <w:rPr>
          <w:rtl w:val="0"/>
        </w:rPr>
        <w:br w:type="textWrapping"/>
      </w:r>
      <w:r>
        <w:rPr>
          <w:rtl w:val="0"/>
        </w:rPr>
        <w:t>E= (2+4+5)</w:t>
      </w:r>
    </w:p>
    <w:p w14:paraId="0000000E">
      <w:pPr>
        <w:spacing w:before="240" w:after="240"/>
      </w:pPr>
      <w:r>
        <w:rPr>
          <w:b/>
          <w:bCs/>
          <w:rtl w:val="0"/>
        </w:rPr>
        <w:t>13. L'hypertension portale (HTP) : 1RF</w:t>
      </w:r>
      <w:r>
        <w:rPr>
          <w:b/>
          <w:bCs/>
          <w:rtl w:val="0"/>
        </w:rPr>
        <w:br w:type="textWrapping"/>
      </w:r>
      <w:r>
        <w:rPr>
          <w:rtl w:val="0"/>
        </w:rPr>
        <w:t>A- Est définie par un gradient de pression porto-cave &gt; 5 mm Hg</w:t>
      </w:r>
      <w:r>
        <w:rPr>
          <w:rtl w:val="0"/>
        </w:rPr>
        <w:br w:type="textWrapping"/>
      </w:r>
      <w:r>
        <w:rPr>
          <w:rtl w:val="0"/>
        </w:rPr>
        <w:t>B- Est la conséquence d'une augmentation des résistances vasculaires intra hépatiques et du débit sanguin splanchnique</w:t>
      </w:r>
      <w:r>
        <w:rPr>
          <w:rtl w:val="0"/>
        </w:rPr>
        <w:br w:type="textWrapping"/>
      </w:r>
      <w:r>
        <w:rPr>
          <w:rtl w:val="0"/>
        </w:rPr>
        <w:t>C- Se traduit par des signes cliniques, radiologiques et endoscopiques.</w:t>
      </w:r>
      <w:r>
        <w:rPr>
          <w:rtl w:val="0"/>
        </w:rPr>
        <w:br w:type="textWrapping"/>
      </w:r>
      <w:r>
        <w:rPr>
          <w:rtl w:val="0"/>
        </w:rPr>
        <w:t>D- La rupture des varices œsophagiennes apparait lorsque le gradient est &gt; 12 mm Hg</w:t>
      </w:r>
      <w:r>
        <w:rPr>
          <w:rtl w:val="0"/>
        </w:rPr>
        <w:br w:type="textWrapping"/>
      </w:r>
      <w:r>
        <w:rPr>
          <w:rtl w:val="0"/>
        </w:rPr>
        <w:t>E- Le traitement de première intention de la décompensation ascitique est le régime hyposodé.</w:t>
      </w:r>
    </w:p>
    <w:p w14:paraId="0000000F">
      <w:pPr>
        <w:spacing w:before="240" w:after="240"/>
      </w:pPr>
      <w:r>
        <w:rPr>
          <w:b/>
          <w:bCs/>
          <w:rtl w:val="0"/>
        </w:rPr>
        <w:t>14. Quelle surveillance préconisez-vous pour la détection d'un carcinome hépatocellulaire sur cirrhose du foie ?</w:t>
      </w:r>
      <w:r>
        <w:rPr>
          <w:b/>
          <w:bCs/>
          <w:rtl w:val="0"/>
        </w:rPr>
        <w:br w:type="textWrapping"/>
      </w:r>
      <w:r>
        <w:rPr>
          <w:rtl w:val="0"/>
        </w:rPr>
        <w:t>A- Antigène carcino-embryonnaire + alpha foetoprotéine chaque 06 mois.</w:t>
      </w:r>
      <w:r>
        <w:rPr>
          <w:rtl w:val="0"/>
        </w:rPr>
        <w:br w:type="textWrapping"/>
      </w:r>
      <w:r>
        <w:rPr>
          <w:rtl w:val="0"/>
        </w:rPr>
        <w:t>B- Scanner abdominal annuel.</w:t>
      </w:r>
      <w:r>
        <w:rPr>
          <w:rtl w:val="0"/>
        </w:rPr>
        <w:br w:type="textWrapping"/>
      </w:r>
      <w:r>
        <w:rPr>
          <w:rtl w:val="0"/>
        </w:rPr>
        <w:t>C- IRM hépatique chaque 03 mois.</w:t>
      </w:r>
      <w:r>
        <w:rPr>
          <w:rtl w:val="0"/>
        </w:rPr>
        <w:br w:type="textWrapping"/>
      </w:r>
      <w:r>
        <w:rPr>
          <w:rtl w:val="0"/>
        </w:rPr>
        <w:t>D- Echographie abdominale + alpha foetoprotéine chaque 06 mois.</w:t>
      </w:r>
      <w:r>
        <w:rPr>
          <w:rtl w:val="0"/>
        </w:rPr>
        <w:br w:type="textWrapping"/>
      </w:r>
      <w:r>
        <w:rPr>
          <w:rtl w:val="0"/>
        </w:rPr>
        <w:t>E- Echographie abdominale + TP chaque 6 mois.</w:t>
      </w:r>
    </w:p>
    <w:p w14:paraId="00000010">
      <w:pPr>
        <w:spacing w:before="240" w:after="240"/>
      </w:pPr>
      <w:r>
        <w:rPr>
          <w:b/>
          <w:bCs/>
          <w:rtl w:val="0"/>
        </w:rPr>
        <w:t>15. L'examen histopathologique d'une carotte pancréatique scanno-guidée montre des structures glandiformes et des nids de cellules à cytoplasmes abondants avec des noyaux hyperchromes, atypiques et des figures mitotiques dans un stroma fibro-inflammatoire. Il s'agit :</w:t>
      </w:r>
      <w:r>
        <w:rPr>
          <w:b/>
          <w:bCs/>
          <w:rtl w:val="0"/>
        </w:rPr>
        <w:br w:type="textWrapping"/>
      </w:r>
      <w:r>
        <w:rPr>
          <w:rtl w:val="0"/>
        </w:rPr>
        <w:t>A- D'un cystadénome.</w:t>
      </w:r>
      <w:r>
        <w:rPr>
          <w:rtl w:val="0"/>
        </w:rPr>
        <w:br w:type="textWrapping"/>
      </w:r>
      <w:r>
        <w:rPr>
          <w:rtl w:val="0"/>
        </w:rPr>
        <w:t>B- D'un adénocarcinome.</w:t>
      </w:r>
      <w:r>
        <w:rPr>
          <w:rtl w:val="0"/>
        </w:rPr>
        <w:br w:type="textWrapping"/>
      </w:r>
      <w:r>
        <w:rPr>
          <w:rtl w:val="0"/>
        </w:rPr>
        <w:t>C- D'une tumeur endocrine.</w:t>
      </w:r>
      <w:r>
        <w:rPr>
          <w:rtl w:val="0"/>
        </w:rPr>
        <w:br w:type="textWrapping"/>
      </w:r>
      <w:r>
        <w:rPr>
          <w:rtl w:val="0"/>
        </w:rPr>
        <w:t>D- D'une pancréatite aiguë.</w:t>
      </w:r>
      <w:r>
        <w:rPr>
          <w:rtl w:val="0"/>
        </w:rPr>
        <w:br w:type="textWrapping"/>
      </w:r>
      <w:r>
        <w:rPr>
          <w:rtl w:val="0"/>
        </w:rPr>
        <w:t>E- D'une pancréatite chronique.</w:t>
      </w:r>
    </w:p>
    <w:p w14:paraId="00000011">
      <w:pPr>
        <w:spacing w:before="240" w:after="240"/>
      </w:pPr>
      <w:r>
        <w:rPr>
          <w:b/>
          <w:bCs/>
          <w:rtl w:val="0"/>
        </w:rPr>
        <w:t>16. L'infection spontanée du liquide d'ascite (ISLA) chez le cirrhotique : RF</w:t>
      </w:r>
      <w:r>
        <w:rPr>
          <w:b/>
          <w:bCs/>
          <w:rtl w:val="0"/>
        </w:rPr>
        <w:br w:type="textWrapping"/>
      </w:r>
      <w:r>
        <w:rPr>
          <w:rtl w:val="0"/>
        </w:rPr>
        <w:t>A- La prévalence de l'infection est d'environ 10% chez les patients hospitalisés.</w:t>
      </w:r>
      <w:r>
        <w:rPr>
          <w:rtl w:val="0"/>
        </w:rPr>
        <w:br w:type="textWrapping"/>
      </w:r>
      <w:r>
        <w:rPr>
          <w:rtl w:val="0"/>
        </w:rPr>
        <w:t>B- Des douleurs abdominales, fièvre, et hyperleucocytose doivent faire suspecter une ISLA.</w:t>
      </w:r>
      <w:r>
        <w:rPr>
          <w:rtl w:val="0"/>
        </w:rPr>
        <w:br w:type="textWrapping"/>
      </w:r>
      <w:r>
        <w:rPr>
          <w:rtl w:val="0"/>
        </w:rPr>
        <w:t>C- Une ponction exploratrice et évacuatrice est impérative pour le diagnostic positif.</w:t>
      </w:r>
      <w:r>
        <w:rPr>
          <w:rtl w:val="0"/>
        </w:rPr>
        <w:br w:type="textWrapping"/>
      </w:r>
      <w:r>
        <w:rPr>
          <w:rtl w:val="0"/>
        </w:rPr>
        <w:t>D- Le diagnostic d'ISLA repose sur un taux de PNN dans le liquide de ponction &gt; 250/mm3.</w:t>
      </w:r>
      <w:r>
        <w:rPr>
          <w:rtl w:val="0"/>
        </w:rPr>
        <w:br w:type="textWrapping"/>
      </w:r>
      <w:r>
        <w:rPr>
          <w:rtl w:val="0"/>
        </w:rPr>
        <w:t>E- Le traitement repose sur une antibiothérapie orientée et une perfusion d'albumine.</w:t>
      </w:r>
    </w:p>
    <w:p w14:paraId="00000012">
      <w:pPr>
        <w:spacing w:before="240" w:after="240"/>
      </w:pPr>
      <w:r>
        <w:rPr>
          <w:b/>
          <w:bCs/>
          <w:rtl w:val="0"/>
        </w:rPr>
        <w:t>17. Dans les formes débutantes des pancréatites chroniques, l'examen le plus sensible est : RJ</w:t>
      </w:r>
      <w:r>
        <w:rPr>
          <w:b/>
          <w:bCs/>
          <w:rtl w:val="0"/>
        </w:rPr>
        <w:br w:type="textWrapping"/>
      </w:r>
      <w:r>
        <w:rPr>
          <w:rtl w:val="0"/>
        </w:rPr>
        <w:t>A- L'abdomen debout sans préparation.</w:t>
      </w:r>
      <w:r>
        <w:rPr>
          <w:rtl w:val="0"/>
        </w:rPr>
        <w:br w:type="textWrapping"/>
      </w:r>
      <w:r>
        <w:rPr>
          <w:rtl w:val="0"/>
        </w:rPr>
        <w:t>B- L'écho-endoscopie.</w:t>
      </w:r>
      <w:r>
        <w:rPr>
          <w:rtl w:val="0"/>
        </w:rPr>
        <w:br w:type="textWrapping"/>
      </w:r>
      <w:r>
        <w:rPr>
          <w:rtl w:val="0"/>
        </w:rPr>
        <w:t>C- L'échographie abdominale.</w:t>
      </w:r>
      <w:r>
        <w:rPr>
          <w:rtl w:val="0"/>
        </w:rPr>
        <w:br w:type="textWrapping"/>
      </w:r>
      <w:r>
        <w:rPr>
          <w:rtl w:val="0"/>
        </w:rPr>
        <w:t>D- Le transit baryté oeso-gastro- duodénal.</w:t>
      </w:r>
      <w:r>
        <w:rPr>
          <w:rtl w:val="0"/>
        </w:rPr>
        <w:br w:type="textWrapping"/>
      </w:r>
      <w:r>
        <w:rPr>
          <w:rtl w:val="0"/>
        </w:rPr>
        <w:t>E- La tomodensitométrie abdominale.</w:t>
      </w:r>
    </w:p>
    <w:p w14:paraId="00000013">
      <w:pPr>
        <w:spacing w:before="240" w:after="240"/>
      </w:pPr>
      <w:r>
        <w:rPr>
          <w:b/>
          <w:bCs/>
          <w:rtl w:val="0"/>
        </w:rPr>
        <w:t>18. La recherche d'un SIRS (Systemic inflammatory response syndrome) lors de la pancréatite aiguë est défini par la présence d'au moins deux des critères suivants sauf un, lequel ?</w:t>
      </w:r>
      <w:r>
        <w:rPr>
          <w:b/>
          <w:bCs/>
          <w:rtl w:val="0"/>
        </w:rPr>
        <w:br w:type="textWrapping"/>
      </w:r>
      <w:r>
        <w:rPr>
          <w:rtl w:val="0"/>
        </w:rPr>
        <w:t>A- Température &lt; 36°C ou &gt; 38°C.</w:t>
      </w:r>
      <w:r>
        <w:rPr>
          <w:rtl w:val="0"/>
        </w:rPr>
        <w:br w:type="textWrapping"/>
      </w:r>
      <w:r>
        <w:rPr>
          <w:rtl w:val="0"/>
        </w:rPr>
        <w:t>B- Pouls &gt; 90 bat/ min</w:t>
      </w:r>
      <w:r>
        <w:rPr>
          <w:rtl w:val="0"/>
        </w:rPr>
        <w:br w:type="textWrapping"/>
      </w:r>
      <w:r>
        <w:rPr>
          <w:rtl w:val="0"/>
        </w:rPr>
        <w:t>C- Fréquence respiratoire &gt;20/min</w:t>
      </w:r>
      <w:r>
        <w:rPr>
          <w:rtl w:val="0"/>
        </w:rPr>
        <w:br w:type="textWrapping"/>
      </w:r>
      <w:r>
        <w:rPr>
          <w:rtl w:val="0"/>
        </w:rPr>
        <w:t>D- Globules blancs &lt; 4000 ou &gt; 12000/mm3</w:t>
      </w:r>
      <w:r>
        <w:rPr>
          <w:rtl w:val="0"/>
        </w:rPr>
        <w:br w:type="textWrapping"/>
      </w:r>
      <w:r>
        <w:rPr>
          <w:rtl w:val="0"/>
        </w:rPr>
        <w:t>E- Tension artérielle &lt; 80 mmHg de systolique</w:t>
      </w:r>
    </w:p>
    <w:p w14:paraId="00000014">
      <w:pPr>
        <w:spacing w:before="240" w:after="240"/>
      </w:pPr>
      <w:r>
        <w:rPr>
          <w:b/>
          <w:bCs/>
          <w:rtl w:val="0"/>
        </w:rPr>
        <w:t>19. Le cancer du pancréas exocrine : 1RF</w:t>
      </w:r>
      <w:r>
        <w:rPr>
          <w:b/>
          <w:bCs/>
          <w:rtl w:val="0"/>
        </w:rPr>
        <w:br w:type="textWrapping"/>
      </w:r>
      <w:r>
        <w:rPr>
          <w:rtl w:val="0"/>
        </w:rPr>
        <w:t>A- Est le plus souvent est un adénocarcinome canalaire.</w:t>
      </w:r>
      <w:r>
        <w:rPr>
          <w:rtl w:val="0"/>
        </w:rPr>
        <w:br w:type="textWrapping"/>
      </w:r>
      <w:r>
        <w:rPr>
          <w:rtl w:val="0"/>
        </w:rPr>
        <w:t>B- Est souvent révélé par un ictère cholestatique.</w:t>
      </w:r>
      <w:r>
        <w:rPr>
          <w:rtl w:val="0"/>
        </w:rPr>
        <w:br w:type="textWrapping"/>
      </w:r>
      <w:r>
        <w:rPr>
          <w:rtl w:val="0"/>
        </w:rPr>
        <w:t>C- Un ictère avec grosse vésicule palpable évoque le diagnostic.</w:t>
      </w:r>
      <w:r>
        <w:rPr>
          <w:rtl w:val="0"/>
        </w:rPr>
        <w:br w:type="textWrapping"/>
      </w:r>
      <w:r>
        <w:rPr>
          <w:rtl w:val="0"/>
        </w:rPr>
        <w:t>D- L'élévation du CA 19.9 est utilisée dans le dépistage.</w:t>
      </w:r>
      <w:r>
        <w:rPr>
          <w:rtl w:val="0"/>
        </w:rPr>
        <w:br w:type="textWrapping"/>
      </w:r>
      <w:r>
        <w:rPr>
          <w:rtl w:val="0"/>
        </w:rPr>
        <w:t>E- La tomodensitométrie permet de préciser l'extension.</w:t>
      </w:r>
    </w:p>
    <w:p w14:paraId="00000015">
      <w:pPr>
        <w:spacing w:before="240" w:after="240"/>
      </w:pPr>
      <w:r>
        <w:rPr>
          <w:b/>
          <w:bCs/>
          <w:rtl w:val="0"/>
        </w:rPr>
        <w:t>20. Une écho-endoscopie digestive permet de réaliser les gestes suivants : (Cocher la réponse fausse)</w:t>
      </w:r>
      <w:r>
        <w:rPr>
          <w:b/>
          <w:bCs/>
          <w:rtl w:val="0"/>
        </w:rPr>
        <w:br w:type="textWrapping"/>
      </w:r>
      <w:r>
        <w:rPr>
          <w:rtl w:val="0"/>
        </w:rPr>
        <w:t>A- Gastro-kystostomie pancréatique.</w:t>
      </w:r>
      <w:r>
        <w:rPr>
          <w:rtl w:val="0"/>
        </w:rPr>
        <w:br w:type="textWrapping"/>
      </w:r>
      <w:r>
        <w:rPr>
          <w:rtl w:val="0"/>
        </w:rPr>
        <w:t>B- Biopsies d'une tumeur péritonéale éloignée du transducteur.</w:t>
      </w:r>
      <w:r>
        <w:rPr>
          <w:rtl w:val="0"/>
        </w:rPr>
        <w:br w:type="textWrapping"/>
      </w:r>
      <w:r>
        <w:rPr>
          <w:rtl w:val="0"/>
        </w:rPr>
        <w:t>C- Mise en place d'une prothèse gastro-biliaire.</w:t>
      </w:r>
      <w:r>
        <w:rPr>
          <w:rtl w:val="0"/>
        </w:rPr>
        <w:br w:type="textWrapping"/>
      </w:r>
      <w:r>
        <w:rPr>
          <w:rtl w:val="0"/>
        </w:rPr>
        <w:t>D- Drainage d'un abcès péri-digestif accessible.</w:t>
      </w:r>
      <w:r>
        <w:rPr>
          <w:rtl w:val="0"/>
        </w:rPr>
        <w:br w:type="textWrapping"/>
      </w:r>
      <w:r>
        <w:rPr>
          <w:rtl w:val="0"/>
        </w:rPr>
        <w:t>E- Ponction de ganglions médiastinaux</w:t>
      </w:r>
    </w:p>
    <w:p w14:paraId="00000016">
      <w:pPr>
        <w:spacing w:before="240" w:after="240"/>
      </w:pPr>
      <w:r>
        <w:rPr>
          <w:b/>
          <w:bCs/>
          <w:rtl w:val="0"/>
        </w:rPr>
        <w:t>21. La tuberculose péritonéale : réponse fausse</w:t>
      </w:r>
      <w:r>
        <w:rPr>
          <w:b/>
          <w:bCs/>
          <w:rtl w:val="0"/>
        </w:rPr>
        <w:br w:type="textWrapping"/>
      </w:r>
      <w:r>
        <w:rPr>
          <w:rtl w:val="0"/>
        </w:rPr>
        <w:t>A- L'ascite est le symptôme le plus fréquent.</w:t>
      </w:r>
      <w:r>
        <w:rPr>
          <w:rtl w:val="0"/>
        </w:rPr>
        <w:br w:type="textWrapping"/>
      </w:r>
      <w:r>
        <w:rPr>
          <w:rtl w:val="0"/>
        </w:rPr>
        <w:t>B- L'ascite est de nature exsudative.</w:t>
      </w:r>
      <w:r>
        <w:rPr>
          <w:rtl w:val="0"/>
        </w:rPr>
        <w:br w:type="textWrapping"/>
      </w:r>
      <w:r>
        <w:rPr>
          <w:rtl w:val="0"/>
        </w:rPr>
        <w:t>C- La carcinose péritonéale est le principal diagnostic différentiel.</w:t>
      </w:r>
      <w:r>
        <w:rPr>
          <w:rtl w:val="0"/>
        </w:rPr>
        <w:br w:type="textWrapping"/>
      </w:r>
      <w:r>
        <w:rPr>
          <w:rtl w:val="0"/>
        </w:rPr>
        <w:t>D- L'IDR à la tuberculine est positive dans la moitié des cas.</w:t>
      </w:r>
      <w:r>
        <w:rPr>
          <w:rtl w:val="0"/>
        </w:rPr>
        <w:br w:type="textWrapping"/>
      </w:r>
      <w:r>
        <w:rPr>
          <w:rtl w:val="0"/>
        </w:rPr>
        <w:t>E- Le traitement repose sur une chimiothérapie antituberculeuse.</w:t>
      </w:r>
    </w:p>
    <w:p w14:paraId="00000017">
      <w:pPr>
        <w:spacing w:before="240" w:after="240"/>
      </w:pPr>
      <w:r>
        <w:rPr>
          <w:b/>
          <w:bCs/>
          <w:rtl w:val="0"/>
        </w:rPr>
        <w:t>22. Dans le cancer de la vésicule biliaire : 1RJ</w:t>
      </w:r>
      <w:r>
        <w:rPr>
          <w:b/>
          <w:bCs/>
          <w:rtl w:val="0"/>
        </w:rPr>
        <w:br w:type="textWrapping"/>
      </w:r>
      <w:r>
        <w:rPr>
          <w:rtl w:val="0"/>
        </w:rPr>
        <w:t>A- Est fréquent chez l'homme.</w:t>
      </w:r>
      <w:r>
        <w:rPr>
          <w:rtl w:val="0"/>
        </w:rPr>
        <w:br w:type="textWrapping"/>
      </w:r>
      <w:r>
        <w:rPr>
          <w:rtl w:val="0"/>
        </w:rPr>
        <w:t>B- Est le plus souvent un carcinome adénoïde kystique.</w:t>
      </w:r>
      <w:r>
        <w:rPr>
          <w:rtl w:val="0"/>
        </w:rPr>
        <w:br w:type="textWrapping"/>
      </w:r>
      <w:r>
        <w:rPr>
          <w:rtl w:val="0"/>
        </w:rPr>
        <w:t>C- Est souvent associé à une lithiase.</w:t>
      </w:r>
      <w:r>
        <w:rPr>
          <w:rtl w:val="0"/>
        </w:rPr>
        <w:br w:type="textWrapping"/>
      </w:r>
      <w:r>
        <w:rPr>
          <w:rtl w:val="0"/>
        </w:rPr>
        <w:t>D- Est de mauvais pronostic dans sa forme polypoïde.</w:t>
      </w:r>
      <w:r>
        <w:rPr>
          <w:rtl w:val="0"/>
        </w:rPr>
        <w:br w:type="textWrapping"/>
      </w:r>
      <w:r>
        <w:rPr>
          <w:rtl w:val="0"/>
        </w:rPr>
        <w:t>E- Est souvent dû à une hypersécrétion de bile.</w:t>
      </w:r>
    </w:p>
    <w:p w14:paraId="00000018">
      <w:pPr>
        <w:spacing w:before="240" w:after="240"/>
      </w:pPr>
      <w:r>
        <w:rPr>
          <w:b/>
          <w:bCs/>
          <w:rtl w:val="0"/>
        </w:rPr>
        <w:t>23. La cholécystite aiguë : Réponse fausse</w:t>
      </w:r>
      <w:r>
        <w:rPr>
          <w:b/>
          <w:bCs/>
          <w:rtl w:val="0"/>
        </w:rPr>
        <w:br w:type="textWrapping"/>
      </w:r>
      <w:r>
        <w:rPr>
          <w:rtl w:val="0"/>
        </w:rPr>
        <w:t>A- Est la complication la plus fréquente de la lithiase biliaire.</w:t>
      </w:r>
      <w:r>
        <w:rPr>
          <w:rtl w:val="0"/>
        </w:rPr>
        <w:br w:type="textWrapping"/>
      </w:r>
      <w:r>
        <w:rPr>
          <w:rtl w:val="0"/>
        </w:rPr>
        <w:t xml:space="preserve">B- </w:t>
      </w:r>
      <w:r>
        <w:rPr>
          <w:rFonts w:hint="default"/>
          <w:rtl w:val="0"/>
          <w:lang w:val="en-US"/>
        </w:rPr>
        <w:t>son traitement e</w:t>
      </w:r>
      <w:r>
        <w:rPr>
          <w:rtl w:val="0"/>
        </w:rPr>
        <w:t>st une antibiothérapie + cholécystectomie.</w:t>
      </w:r>
      <w:r>
        <w:rPr>
          <w:rtl w:val="0"/>
        </w:rPr>
        <w:br w:type="textWrapping"/>
      </w:r>
      <w:r>
        <w:rPr>
          <w:rtl w:val="0"/>
        </w:rPr>
        <w:t xml:space="preserve">C- Une </w:t>
      </w:r>
      <w:r>
        <w:rPr>
          <w:rFonts w:hint="default"/>
          <w:rtl w:val="0"/>
          <w:lang w:val="en-US"/>
        </w:rPr>
        <w:t xml:space="preserve">echographie </w:t>
      </w:r>
      <w:r>
        <w:rPr>
          <w:rtl w:val="0"/>
        </w:rPr>
        <w:t>abdominale est l'examen à préconiser en première intention.</w:t>
      </w:r>
      <w:r>
        <w:rPr>
          <w:rtl w:val="0"/>
        </w:rPr>
        <w:br w:type="textWrapping"/>
      </w:r>
      <w:r>
        <w:rPr>
          <w:rtl w:val="0"/>
        </w:rPr>
        <w:t>D- La fistule cholecysto-duodénale est souvent asymptomatique.</w:t>
      </w:r>
      <w:r>
        <w:rPr>
          <w:rtl w:val="0"/>
        </w:rPr>
        <w:br w:type="textWrapping"/>
      </w:r>
      <w:r>
        <w:rPr>
          <w:rtl w:val="0"/>
        </w:rPr>
        <w:t>E- Un épaississement de la paroi vésiculaire à l'échographie est pathognomonique.</w:t>
      </w:r>
    </w:p>
    <w:p w14:paraId="00000019">
      <w:pPr>
        <w:spacing w:before="240" w:after="240"/>
      </w:pPr>
      <w:r>
        <w:rPr>
          <w:b/>
          <w:bCs/>
          <w:rtl w:val="0"/>
        </w:rPr>
        <w:t>24. Une diarrhée chronique (DC) provoquée ou factice. (RF)</w:t>
      </w:r>
      <w:r>
        <w:rPr>
          <w:b/>
          <w:bCs/>
          <w:rtl w:val="0"/>
        </w:rPr>
        <w:br w:type="textWrapping"/>
      </w:r>
      <w:r>
        <w:rPr>
          <w:rtl w:val="0"/>
        </w:rPr>
        <w:t>A- Est l'un des diagnostics différentiels d'une DC maladie.</w:t>
      </w:r>
      <w:r>
        <w:rPr>
          <w:rtl w:val="0"/>
        </w:rPr>
        <w:br w:type="textWrapping"/>
      </w:r>
      <w:r>
        <w:rPr>
          <w:rtl w:val="0"/>
        </w:rPr>
        <w:t>B- Due à l'ingestion volontaire et fréquente des laxatifs.</w:t>
      </w:r>
      <w:r>
        <w:rPr>
          <w:rtl w:val="0"/>
        </w:rPr>
        <w:br w:type="textWrapping"/>
      </w:r>
      <w:r>
        <w:rPr>
          <w:rtl w:val="0"/>
        </w:rPr>
        <w:t>C- Il s'agit des hommes dans 90% des cas.</w:t>
      </w:r>
      <w:r>
        <w:rPr>
          <w:rtl w:val="0"/>
        </w:rPr>
        <w:br w:type="textWrapping"/>
      </w:r>
      <w:r>
        <w:rPr>
          <w:rtl w:val="0"/>
        </w:rPr>
        <w:t>D- Est une diarrhée sévère hydrique et douloureuse.</w:t>
      </w:r>
      <w:r>
        <w:rPr>
          <w:rtl w:val="0"/>
        </w:rPr>
        <w:br w:type="textWrapping"/>
      </w:r>
      <w:r>
        <w:rPr>
          <w:rtl w:val="0"/>
        </w:rPr>
        <w:t>E- Endoscopiquement une mélanose colique est souvent retrouvée.</w:t>
      </w:r>
    </w:p>
    <w:p w14:paraId="0000001A">
      <w:pPr>
        <w:spacing w:before="240" w:after="240"/>
      </w:pPr>
      <w:r>
        <w:rPr>
          <w:b/>
          <w:bCs/>
          <w:rtl w:val="0"/>
        </w:rPr>
        <w:t>25. La maladie cœliaque de l'adulte est caractérisée par : réponse fausse</w:t>
      </w:r>
      <w:r>
        <w:rPr>
          <w:b/>
          <w:bCs/>
          <w:rtl w:val="0"/>
        </w:rPr>
        <w:br w:type="textWrapping"/>
      </w:r>
      <w:r>
        <w:rPr>
          <w:rtl w:val="0"/>
        </w:rPr>
        <w:t>A- Une positivité des anticorps anti-transglutamine de type IgA est fréquemment retrouvée.</w:t>
      </w:r>
      <w:r>
        <w:rPr>
          <w:rtl w:val="0"/>
        </w:rPr>
        <w:br w:type="textWrapping"/>
      </w:r>
      <w:r>
        <w:rPr>
          <w:rtl w:val="0"/>
        </w:rPr>
        <w:t>B- Peut être révélée par une anémie ferriprive isolée.</w:t>
      </w:r>
      <w:r>
        <w:rPr>
          <w:rtl w:val="0"/>
        </w:rPr>
        <w:br w:type="textWrapping"/>
      </w:r>
      <w:r>
        <w:rPr>
          <w:rtl w:val="0"/>
        </w:rPr>
        <w:t>C- L'atrophie villositaire totale à subtotale à l'histologie n'est pas constante.</w:t>
      </w:r>
      <w:r>
        <w:rPr>
          <w:rtl w:val="0"/>
        </w:rPr>
        <w:br w:type="textWrapping"/>
      </w:r>
      <w:r>
        <w:rPr>
          <w:rtl w:val="0"/>
        </w:rPr>
        <w:t>D- La positivité HLA DQ2 ou DQ8 affirme le diagnostic.</w:t>
      </w:r>
      <w:r>
        <w:rPr>
          <w:rtl w:val="0"/>
        </w:rPr>
        <w:br w:type="textWrapping"/>
      </w:r>
      <w:r>
        <w:rPr>
          <w:rtl w:val="0"/>
        </w:rPr>
        <w:t>E- Le traitement repose sur un régime sans gluten à vie.</w:t>
      </w:r>
    </w:p>
    <w:p w14:paraId="0000001B">
      <w:pPr>
        <w:spacing w:before="240" w:after="240"/>
      </w:pPr>
      <w:r>
        <w:rPr>
          <w:b/>
          <w:bCs/>
          <w:rtl w:val="0"/>
        </w:rPr>
        <w:t>26. La conduite à tenir lors de la découverte par rectosigmoïdoscope d'un polype sessile de 15 mmde diametre  comporte : Combinaison Juste</w:t>
      </w:r>
      <w:r>
        <w:rPr>
          <w:b/>
          <w:bCs/>
          <w:rtl w:val="0"/>
        </w:rPr>
        <w:br w:type="textWrapping"/>
      </w:r>
      <w:r>
        <w:rPr>
          <w:rtl w:val="0"/>
        </w:rPr>
        <w:t>1- Dosage de l'antigène carcino-embryonnaire.</w:t>
      </w:r>
      <w:r>
        <w:rPr>
          <w:rtl w:val="0"/>
        </w:rPr>
        <w:br w:type="textWrapping"/>
      </w:r>
      <w:r>
        <w:rPr>
          <w:rtl w:val="0"/>
        </w:rPr>
        <w:t>2- Colectomie segmentaire + anastomose colo-colique.</w:t>
      </w:r>
      <w:r>
        <w:rPr>
          <w:rtl w:val="0"/>
        </w:rPr>
        <w:br w:type="textWrapping"/>
      </w:r>
      <w:r>
        <w:rPr>
          <w:rtl w:val="0"/>
        </w:rPr>
        <w:t>3- Résection endoscopique à l'anse diathermique + étude histologique du polype.</w:t>
      </w:r>
      <w:r>
        <w:rPr>
          <w:rtl w:val="0"/>
        </w:rPr>
        <w:br w:type="textWrapping"/>
      </w:r>
      <w:r>
        <w:rPr>
          <w:rtl w:val="0"/>
        </w:rPr>
        <w:t>4- Lavement baryté.</w:t>
      </w:r>
      <w:r>
        <w:rPr>
          <w:rtl w:val="0"/>
        </w:rPr>
        <w:br w:type="textWrapping"/>
      </w:r>
      <w:r>
        <w:rPr>
          <w:rtl w:val="0"/>
        </w:rPr>
        <w:t>5- Coloscopie totale.</w:t>
      </w:r>
      <w:r>
        <w:rPr>
          <w:rtl w:val="0"/>
        </w:rPr>
        <w:br w:type="textWrapping"/>
      </w:r>
      <w:r>
        <w:rPr>
          <w:rtl w:val="0"/>
        </w:rPr>
        <w:t>A= (3+5)</w:t>
      </w:r>
      <w:r>
        <w:rPr>
          <w:rtl w:val="0"/>
        </w:rPr>
        <w:br w:type="textWrapping"/>
      </w:r>
      <w:r>
        <w:rPr>
          <w:rtl w:val="0"/>
        </w:rPr>
        <w:t>B= (2+3)</w:t>
      </w:r>
      <w:r>
        <w:rPr>
          <w:rtl w:val="0"/>
        </w:rPr>
        <w:br w:type="textWrapping"/>
      </w:r>
      <w:r>
        <w:rPr>
          <w:rtl w:val="0"/>
        </w:rPr>
        <w:t>C= (1+2)</w:t>
      </w:r>
      <w:r>
        <w:rPr>
          <w:rtl w:val="0"/>
        </w:rPr>
        <w:br w:type="textWrapping"/>
      </w:r>
      <w:r>
        <w:rPr>
          <w:rtl w:val="0"/>
        </w:rPr>
        <w:t>D= (1+5)</w:t>
      </w:r>
      <w:r>
        <w:rPr>
          <w:rtl w:val="0"/>
        </w:rPr>
        <w:br w:type="textWrapping"/>
      </w:r>
      <w:r>
        <w:rPr>
          <w:rtl w:val="0"/>
        </w:rPr>
        <w:t>E= (3+4)</w:t>
      </w:r>
    </w:p>
    <w:p w14:paraId="0000001C">
      <w:pPr>
        <w:spacing w:before="240" w:after="240"/>
      </w:pPr>
      <w:r>
        <w:rPr>
          <w:b/>
          <w:bCs/>
          <w:rtl w:val="0"/>
        </w:rPr>
        <w:t>27. Quel traitement proposez-vous pour un adénocarcinome du colon droit classé T3N1M0 ?</w:t>
      </w:r>
      <w:r>
        <w:rPr>
          <w:b/>
          <w:bCs/>
          <w:rtl w:val="0"/>
        </w:rPr>
        <w:br w:type="textWrapping"/>
      </w:r>
      <w:r>
        <w:rPr>
          <w:rtl w:val="0"/>
        </w:rPr>
        <w:t>A- Hémicolectomie droite avec anastomose iléo-transverse + chimiothérapie adjuvante.</w:t>
      </w:r>
      <w:r>
        <w:rPr>
          <w:rtl w:val="0"/>
        </w:rPr>
        <w:br w:type="textWrapping"/>
      </w:r>
      <w:r>
        <w:rPr>
          <w:rtl w:val="0"/>
        </w:rPr>
        <w:t>B- Hémicolectomie droite avec / anastomose iléo-transverse sans chimiothérapie.</w:t>
      </w:r>
      <w:r>
        <w:rPr>
          <w:rtl w:val="0"/>
        </w:rPr>
        <w:br w:type="textWrapping"/>
      </w:r>
      <w:r>
        <w:rPr>
          <w:rtl w:val="0"/>
        </w:rPr>
        <w:t>C- Résection colique segmentaire + chimiothérapie adjuvante.</w:t>
      </w:r>
      <w:r>
        <w:rPr>
          <w:rtl w:val="0"/>
        </w:rPr>
        <w:br w:type="textWrapping"/>
      </w:r>
      <w:r>
        <w:rPr>
          <w:rtl w:val="0"/>
        </w:rPr>
        <w:t>D- Chimiothérapie seule.</w:t>
      </w:r>
      <w:r>
        <w:rPr>
          <w:rtl w:val="0"/>
        </w:rPr>
        <w:br w:type="textWrapping"/>
      </w:r>
      <w:r>
        <w:rPr>
          <w:rtl w:val="0"/>
        </w:rPr>
        <w:t>E- Aucune des réponses suscitées.</w:t>
      </w:r>
    </w:p>
    <w:p w14:paraId="0000001D">
      <w:pPr>
        <w:spacing w:before="240" w:after="240"/>
      </w:pPr>
      <w:r>
        <w:rPr>
          <w:b/>
          <w:bCs/>
          <w:rtl w:val="0"/>
        </w:rPr>
        <w:t>28. Parmi les affirmations suivantes concernant la rectocolite hémorragique ; laquelle est fausse :</w:t>
      </w:r>
      <w:r>
        <w:rPr>
          <w:b/>
          <w:bCs/>
          <w:rtl w:val="0"/>
        </w:rPr>
        <w:br w:type="textWrapping"/>
      </w:r>
      <w:r>
        <w:rPr>
          <w:rtl w:val="0"/>
        </w:rPr>
        <w:t>A- Se caractérise par une atteinte inflammatoire de la muqueuse.</w:t>
      </w:r>
      <w:r>
        <w:rPr>
          <w:rtl w:val="0"/>
        </w:rPr>
        <w:br w:type="textWrapping"/>
      </w:r>
      <w:r>
        <w:rPr>
          <w:rtl w:val="0"/>
        </w:rPr>
        <w:t>B- Les symptômes cliniques dépendent de la sévérité de l'atteinte inflammatoire.</w:t>
      </w:r>
      <w:r>
        <w:rPr>
          <w:rtl w:val="0"/>
        </w:rPr>
        <w:br w:type="textWrapping"/>
      </w:r>
      <w:r>
        <w:rPr>
          <w:rtl w:val="0"/>
        </w:rPr>
        <w:t>C- Les symptômes cliniques dépendent de la topographie de l'atteinte inflammatoire.</w:t>
      </w:r>
      <w:r>
        <w:rPr>
          <w:rtl w:val="0"/>
        </w:rPr>
        <w:br w:type="textWrapping"/>
      </w:r>
      <w:r>
        <w:rPr>
          <w:rtl w:val="0"/>
        </w:rPr>
        <w:t>D- Peut se compliquer de sténose iléale.</w:t>
      </w:r>
      <w:r>
        <w:rPr>
          <w:rtl w:val="0"/>
        </w:rPr>
        <w:br w:type="textWrapping"/>
      </w:r>
      <w:r>
        <w:rPr>
          <w:rtl w:val="0"/>
        </w:rPr>
        <w:t>E- Peut se compliquer d'un cancer de colon.</w:t>
      </w:r>
    </w:p>
    <w:p w14:paraId="0000001E">
      <w:pPr>
        <w:spacing w:before="240" w:after="240"/>
      </w:pPr>
      <w:r>
        <w:rPr>
          <w:b/>
          <w:bCs/>
          <w:rtl w:val="0"/>
        </w:rPr>
        <w:t>29. La maladie de Crohn se caractérise par : réponse fausse</w:t>
      </w:r>
      <w:r>
        <w:rPr>
          <w:b/>
          <w:bCs/>
          <w:rtl w:val="0"/>
        </w:rPr>
        <w:br w:type="textWrapping"/>
      </w:r>
      <w:r>
        <w:rPr>
          <w:rtl w:val="0"/>
        </w:rPr>
        <w:t>A- Touche surtout le sujet jeune.</w:t>
      </w:r>
      <w:r>
        <w:rPr>
          <w:rtl w:val="0"/>
        </w:rPr>
        <w:br w:type="textWrapping"/>
      </w:r>
      <w:r>
        <w:rPr>
          <w:rtl w:val="0"/>
        </w:rPr>
        <w:t>B- Atteinte transmurale.</w:t>
      </w:r>
      <w:r>
        <w:rPr>
          <w:rtl w:val="0"/>
        </w:rPr>
        <w:br w:type="textWrapping"/>
      </w:r>
      <w:r>
        <w:rPr>
          <w:rtl w:val="0"/>
        </w:rPr>
        <w:t>C- La localisation colique est la plus fréquente.</w:t>
      </w:r>
      <w:r>
        <w:rPr>
          <w:rtl w:val="0"/>
        </w:rPr>
        <w:br w:type="textWrapping"/>
      </w:r>
      <w:r>
        <w:rPr>
          <w:rtl w:val="0"/>
        </w:rPr>
        <w:t>D- Le pyoderma gangrénosum peut être associée.</w:t>
      </w:r>
      <w:r>
        <w:rPr>
          <w:rtl w:val="0"/>
        </w:rPr>
        <w:br w:type="textWrapping"/>
      </w:r>
      <w:r>
        <w:rPr>
          <w:rtl w:val="0"/>
        </w:rPr>
        <w:t>E- Peut se compliquer de lithiase oxalique.</w:t>
      </w:r>
    </w:p>
    <w:p w14:paraId="0000001F">
      <w:pPr>
        <w:spacing w:before="240" w:after="240"/>
      </w:pPr>
      <w:r>
        <w:rPr>
          <w:b/>
          <w:bCs/>
          <w:rtl w:val="0"/>
        </w:rPr>
        <w:t>30. Les tumeurs stromales de siège intestinal sont : Association juste</w:t>
      </w:r>
      <w:r>
        <w:rPr>
          <w:b/>
          <w:bCs/>
          <w:rtl w:val="0"/>
        </w:rPr>
        <w:br w:type="textWrapping"/>
      </w:r>
      <w:r>
        <w:rPr>
          <w:rtl w:val="0"/>
        </w:rPr>
        <w:t>1- Toujours CD117 négatifs</w:t>
      </w:r>
      <w:r>
        <w:rPr>
          <w:rtl w:val="0"/>
        </w:rPr>
        <w:br w:type="textWrapping"/>
      </w:r>
      <w:r>
        <w:rPr>
          <w:rtl w:val="0"/>
        </w:rPr>
        <w:t>2- Rares</w:t>
      </w:r>
      <w:r>
        <w:rPr>
          <w:rtl w:val="0"/>
        </w:rPr>
        <w:br w:type="textWrapping"/>
      </w:r>
      <w:r>
        <w:rPr>
          <w:rtl w:val="0"/>
        </w:rPr>
        <w:t>3- Issues des cellules interstitielles de Cajal</w:t>
      </w:r>
      <w:r>
        <w:rPr>
          <w:rtl w:val="0"/>
        </w:rPr>
        <w:br w:type="textWrapping"/>
      </w:r>
      <w:r>
        <w:rPr>
          <w:rtl w:val="0"/>
        </w:rPr>
        <w:t>4- Fréquentes</w:t>
      </w:r>
      <w:r>
        <w:rPr>
          <w:rtl w:val="0"/>
        </w:rPr>
        <w:br w:type="textWrapping"/>
      </w:r>
      <w:r>
        <w:rPr>
          <w:rtl w:val="0"/>
        </w:rPr>
        <w:t>5- De nature mésenchymateuse</w:t>
      </w:r>
      <w:r>
        <w:rPr>
          <w:rtl w:val="0"/>
        </w:rPr>
        <w:br w:type="textWrapping"/>
      </w:r>
      <w:r>
        <w:rPr>
          <w:rtl w:val="0"/>
        </w:rPr>
        <w:t>A= (1+3+5)</w:t>
      </w:r>
      <w:r>
        <w:rPr>
          <w:rtl w:val="0"/>
        </w:rPr>
        <w:br w:type="textWrapping"/>
      </w:r>
      <w:r>
        <w:rPr>
          <w:rtl w:val="0"/>
        </w:rPr>
        <w:t>B= (1+2+4)</w:t>
      </w:r>
      <w:r>
        <w:rPr>
          <w:rtl w:val="0"/>
        </w:rPr>
        <w:br w:type="textWrapping"/>
      </w:r>
      <w:r>
        <w:rPr>
          <w:rtl w:val="0"/>
        </w:rPr>
        <w:t>C= (2+3+4)</w:t>
      </w:r>
      <w:r>
        <w:rPr>
          <w:rtl w:val="0"/>
        </w:rPr>
        <w:br w:type="textWrapping"/>
      </w:r>
      <w:r>
        <w:rPr>
          <w:rtl w:val="0"/>
        </w:rPr>
        <w:t>D= (3+4+5)</w:t>
      </w:r>
      <w:r>
        <w:rPr>
          <w:rtl w:val="0"/>
        </w:rPr>
        <w:br w:type="textWrapping"/>
      </w:r>
      <w:r>
        <w:rPr>
          <w:rtl w:val="0"/>
        </w:rPr>
        <w:t>E= (1+2+5)</w:t>
      </w:r>
    </w:p>
    <w:p w14:paraId="00000020">
      <w:pPr>
        <w:spacing w:before="240" w:after="240"/>
      </w:pPr>
      <w:r>
        <w:rPr>
          <w:b/>
          <w:bCs/>
          <w:rtl w:val="0"/>
        </w:rPr>
        <w:t>31. La fissure anale : 1RF</w:t>
      </w:r>
      <w:r>
        <w:rPr>
          <w:b/>
          <w:bCs/>
          <w:rtl w:val="0"/>
        </w:rPr>
        <w:br w:type="textWrapping"/>
      </w:r>
      <w:r>
        <w:rPr>
          <w:rtl w:val="0"/>
        </w:rPr>
        <w:t>A- Représente le deuxième motif de consultation en proctologie.</w:t>
      </w:r>
      <w:r>
        <w:rPr>
          <w:rtl w:val="0"/>
        </w:rPr>
        <w:br w:type="textWrapping"/>
      </w:r>
      <w:r>
        <w:rPr>
          <w:rtl w:val="0"/>
        </w:rPr>
        <w:t>B- S'observe à tout âge.</w:t>
      </w:r>
      <w:r>
        <w:rPr>
          <w:rtl w:val="0"/>
        </w:rPr>
        <w:br w:type="textWrapping"/>
      </w:r>
      <w:r>
        <w:rPr>
          <w:rtl w:val="0"/>
        </w:rPr>
        <w:t>C- Sa physiopathologie fait intervenir un facteur d'ischémie artérielle.</w:t>
      </w:r>
      <w:r>
        <w:rPr>
          <w:rtl w:val="0"/>
        </w:rPr>
        <w:br w:type="textWrapping"/>
      </w:r>
      <w:r>
        <w:rPr>
          <w:rtl w:val="0"/>
        </w:rPr>
        <w:t>D- S'accompagne souvent d'une hypertonie sphinctérienne.</w:t>
      </w:r>
      <w:r>
        <w:rPr>
          <w:rtl w:val="0"/>
        </w:rPr>
        <w:br w:type="textWrapping"/>
      </w:r>
      <w:r>
        <w:rPr>
          <w:rtl w:val="0"/>
        </w:rPr>
        <w:t>E- Le traitement chirurgical repose essentiellement sur la dilatation anale.</w:t>
      </w:r>
    </w:p>
    <w:p w14:paraId="00000021">
      <w:pPr>
        <w:spacing w:before="240" w:after="240"/>
      </w:pPr>
      <w:r>
        <w:rPr>
          <w:b/>
          <w:bCs/>
          <w:rtl w:val="0"/>
        </w:rPr>
        <w:t>32. Les éléments histologiques suivants permettent de poser le diagnostic de maladie coeliaque sauf un, lequel ?</w:t>
      </w:r>
      <w:r>
        <w:rPr>
          <w:b/>
          <w:bCs/>
          <w:rtl w:val="0"/>
        </w:rPr>
        <w:br w:type="textWrapping"/>
      </w:r>
      <w:r>
        <w:rPr>
          <w:rtl w:val="0"/>
        </w:rPr>
        <w:t>A- Atrophie villositaire.</w:t>
      </w:r>
      <w:r>
        <w:rPr>
          <w:rtl w:val="0"/>
        </w:rPr>
        <w:br w:type="textWrapping"/>
      </w:r>
      <w:r>
        <w:rPr>
          <w:rtl w:val="0"/>
        </w:rPr>
        <w:t>B- Hyperplasie des cryptes.</w:t>
      </w:r>
      <w:r>
        <w:rPr>
          <w:rtl w:val="0"/>
        </w:rPr>
        <w:br w:type="textWrapping"/>
      </w:r>
      <w:r>
        <w:rPr>
          <w:rtl w:val="0"/>
        </w:rPr>
        <w:t>C- Distorsion glandulaire.</w:t>
      </w:r>
      <w:r>
        <w:rPr>
          <w:rtl w:val="0"/>
        </w:rPr>
        <w:br w:type="textWrapping"/>
      </w:r>
      <w:r>
        <w:rPr>
          <w:rtl w:val="0"/>
        </w:rPr>
        <w:t>D- Infiltration intraépithéliale par les lymphocytes.</w:t>
      </w:r>
      <w:r>
        <w:rPr>
          <w:rtl w:val="0"/>
        </w:rPr>
        <w:br w:type="textWrapping"/>
      </w:r>
      <w:r>
        <w:rPr>
          <w:rtl w:val="0"/>
        </w:rPr>
        <w:t>E- Infiltration de la lamina propria par des cellules mononucléées.</w:t>
      </w:r>
    </w:p>
    <w:p w14:paraId="00000022">
      <w:pPr>
        <w:spacing w:before="240" w:after="240"/>
      </w:pPr>
      <w:r>
        <w:rPr>
          <w:b/>
          <w:bCs/>
          <w:rtl w:val="0"/>
        </w:rPr>
        <w:t>33. Après un traumatisme du foie, l'apparition à 06 mois d'un ictère, d'un fébricule et d'un méléna est évocatrice de quelle complication ? (Cochez la réponse juste)</w:t>
      </w:r>
      <w:r>
        <w:rPr>
          <w:b/>
          <w:bCs/>
          <w:rtl w:val="0"/>
        </w:rPr>
        <w:br w:type="textWrapping"/>
      </w:r>
      <w:r>
        <w:rPr>
          <w:rtl w:val="0"/>
        </w:rPr>
        <w:t>A- Une fistule hémobiliaire.</w:t>
      </w:r>
      <w:r>
        <w:rPr>
          <w:rtl w:val="0"/>
        </w:rPr>
        <w:br w:type="textWrapping"/>
      </w:r>
      <w:r>
        <w:rPr>
          <w:rtl w:val="0"/>
        </w:rPr>
        <w:t>B- Une fistule bilio-digestive.</w:t>
      </w:r>
      <w:r>
        <w:rPr>
          <w:rtl w:val="0"/>
        </w:rPr>
        <w:br w:type="textWrapping"/>
      </w:r>
      <w:r>
        <w:rPr>
          <w:rtl w:val="0"/>
        </w:rPr>
        <w:t>C- Un abcès sous-phrénique.</w:t>
      </w:r>
      <w:r>
        <w:rPr>
          <w:rtl w:val="0"/>
        </w:rPr>
        <w:br w:type="textWrapping"/>
      </w:r>
      <w:r>
        <w:rPr>
          <w:rtl w:val="0"/>
        </w:rPr>
        <w:t>D- Un pseudo-kyste hépatique.</w:t>
      </w:r>
      <w:r>
        <w:rPr>
          <w:rtl w:val="0"/>
        </w:rPr>
        <w:br w:type="textWrapping"/>
      </w:r>
      <w:r>
        <w:rPr>
          <w:rtl w:val="0"/>
        </w:rPr>
        <w:t>E- Une fistule bilio-biliaire.</w:t>
      </w:r>
    </w:p>
    <w:p w14:paraId="00000023">
      <w:pPr>
        <w:spacing w:before="240" w:after="240"/>
      </w:pPr>
      <w:r>
        <w:rPr>
          <w:b/>
          <w:bCs/>
          <w:rtl w:val="0"/>
        </w:rPr>
        <w:t>34. Le cancer de l'anus : 1RF</w:t>
      </w:r>
      <w:r>
        <w:rPr>
          <w:b/>
          <w:bCs/>
          <w:rtl w:val="0"/>
        </w:rPr>
        <w:br w:type="textWrapping"/>
      </w:r>
      <w:r>
        <w:rPr>
          <w:rtl w:val="0"/>
        </w:rPr>
        <w:t>A- Est plus fréquent chez le sujet jeune.</w:t>
      </w:r>
      <w:r>
        <w:rPr>
          <w:rtl w:val="0"/>
        </w:rPr>
        <w:br w:type="textWrapping"/>
      </w:r>
      <w:r>
        <w:rPr>
          <w:rtl w:val="0"/>
        </w:rPr>
        <w:t>B- L'infection à Human Papilloma Virus est un facteur favorisant.</w:t>
      </w:r>
      <w:r>
        <w:rPr>
          <w:rtl w:val="0"/>
        </w:rPr>
        <w:br w:type="textWrapping"/>
      </w:r>
      <w:r>
        <w:rPr>
          <w:rtl w:val="0"/>
        </w:rPr>
        <w:t>C- Est le plus souvent un carcinome épidermoïde.</w:t>
      </w:r>
      <w:r>
        <w:rPr>
          <w:rtl w:val="0"/>
        </w:rPr>
        <w:br w:type="textWrapping"/>
      </w:r>
      <w:r>
        <w:rPr>
          <w:rtl w:val="0"/>
        </w:rPr>
        <w:t>D- Est traité par radiothérapie exclusive dans le stade T1N0M0.</w:t>
      </w:r>
      <w:r>
        <w:rPr>
          <w:rtl w:val="0"/>
        </w:rPr>
        <w:br w:type="textWrapping"/>
      </w:r>
      <w:r>
        <w:rPr>
          <w:rtl w:val="0"/>
        </w:rPr>
        <w:t>E- L'amputation abdomino-périnéale est réservée aux échecs du traitement conservateur.</w:t>
      </w:r>
    </w:p>
    <w:p w14:paraId="00000024">
      <w:pPr>
        <w:spacing w:before="240" w:after="240"/>
      </w:pPr>
      <w:r>
        <w:rPr>
          <w:b/>
          <w:bCs/>
          <w:rtl w:val="0"/>
        </w:rPr>
        <w:t>35. Les manifestations suivantes peuvent être observées au cours de la maladie diverticulaire compliquée sauf laquelle ?</w:t>
      </w:r>
      <w:r>
        <w:rPr>
          <w:b/>
          <w:bCs/>
          <w:rtl w:val="0"/>
        </w:rPr>
        <w:br w:type="textWrapping"/>
      </w:r>
      <w:r>
        <w:rPr>
          <w:rtl w:val="0"/>
        </w:rPr>
        <w:t>A- Pneumaturie</w:t>
      </w:r>
      <w:r>
        <w:rPr>
          <w:rtl w:val="0"/>
        </w:rPr>
        <w:br w:type="textWrapping"/>
      </w:r>
      <w:r>
        <w:rPr>
          <w:rtl w:val="0"/>
        </w:rPr>
        <w:t>B- Occlusion intestinale aiguë.</w:t>
      </w:r>
      <w:r>
        <w:rPr>
          <w:rtl w:val="0"/>
        </w:rPr>
        <w:br w:type="textWrapping"/>
      </w:r>
      <w:r>
        <w:rPr>
          <w:rtl w:val="0"/>
        </w:rPr>
        <w:t>C- Rectorragies.</w:t>
      </w:r>
      <w:r>
        <w:rPr>
          <w:rtl w:val="0"/>
        </w:rPr>
        <w:br w:type="textWrapping"/>
      </w:r>
      <w:r>
        <w:rPr>
          <w:rtl w:val="0"/>
        </w:rPr>
        <w:t>D- Hématurie.</w:t>
      </w:r>
      <w:r>
        <w:rPr>
          <w:rtl w:val="0"/>
        </w:rPr>
        <w:br w:type="textWrapping"/>
      </w:r>
      <w:r>
        <w:rPr>
          <w:rtl w:val="0"/>
        </w:rPr>
        <w:t>E- Syndrome infectieux sévère.</w:t>
      </w:r>
    </w:p>
    <w:p w14:paraId="00000025">
      <w:pPr>
        <w:spacing w:before="240" w:after="240"/>
      </w:pPr>
      <w:r>
        <w:rPr>
          <w:b/>
          <w:bCs/>
          <w:rtl w:val="0"/>
        </w:rPr>
        <w:t>36. Le syndrome de l'intestin irritable peut : RF</w:t>
      </w:r>
      <w:r>
        <w:rPr>
          <w:b/>
          <w:bCs/>
          <w:rtl w:val="0"/>
        </w:rPr>
        <w:br w:type="textWrapping"/>
      </w:r>
      <w:r>
        <w:rPr>
          <w:rtl w:val="0"/>
        </w:rPr>
        <w:t>A- Survenir à tout âge.</w:t>
      </w:r>
      <w:r>
        <w:rPr>
          <w:rtl w:val="0"/>
        </w:rPr>
        <w:br w:type="textWrapping"/>
      </w:r>
      <w:r>
        <w:rPr>
          <w:rtl w:val="0"/>
        </w:rPr>
        <w:t>B- Est un diagnostic d'élimination</w:t>
      </w:r>
      <w:r>
        <w:rPr>
          <w:rtl w:val="0"/>
        </w:rPr>
        <w:br w:type="textWrapping"/>
      </w:r>
      <w:r>
        <w:rPr>
          <w:rtl w:val="0"/>
        </w:rPr>
        <w:t>C- La coloscopie est l'examen clé pour le diagnostic.</w:t>
      </w:r>
      <w:r>
        <w:rPr>
          <w:rtl w:val="0"/>
        </w:rPr>
        <w:br w:type="textWrapping"/>
      </w:r>
      <w:r>
        <w:rPr>
          <w:rtl w:val="0"/>
        </w:rPr>
        <w:t>D- Peut survenir après une infection intestinale.</w:t>
      </w:r>
      <w:r>
        <w:rPr>
          <w:rtl w:val="0"/>
        </w:rPr>
        <w:br w:type="textWrapping"/>
      </w:r>
      <w:r>
        <w:rPr>
          <w:rtl w:val="0"/>
        </w:rPr>
        <w:t>E- Est aggravé par le stress.</w:t>
      </w:r>
    </w:p>
    <w:p w14:paraId="00000026">
      <w:pPr>
        <w:spacing w:before="240" w:after="240"/>
      </w:pPr>
      <w:r>
        <w:rPr>
          <w:b/>
          <w:bCs/>
          <w:rtl w:val="0"/>
        </w:rPr>
        <w:t>37. L'étranglement herniaire : RF</w:t>
      </w:r>
      <w:r>
        <w:rPr>
          <w:b/>
          <w:bCs/>
          <w:rtl w:val="0"/>
        </w:rPr>
        <w:br w:type="textWrapping"/>
      </w:r>
      <w:r>
        <w:rPr>
          <w:rtl w:val="0"/>
        </w:rPr>
        <w:t>A- Les signes fonctionnels sont ceux d'une occlusion intestinale.</w:t>
      </w:r>
      <w:r>
        <w:rPr>
          <w:rtl w:val="0"/>
        </w:rPr>
        <w:br w:type="textWrapping"/>
      </w:r>
      <w:r>
        <w:rPr>
          <w:rtl w:val="0"/>
        </w:rPr>
        <w:t>B- Complique plus souvent la hernie inguinale que crurale.</w:t>
      </w:r>
      <w:r>
        <w:rPr>
          <w:rtl w:val="0"/>
        </w:rPr>
        <w:br w:type="textWrapping"/>
      </w:r>
      <w:r>
        <w:rPr>
          <w:rtl w:val="0"/>
        </w:rPr>
        <w:t>C- Est irréductible.</w:t>
      </w:r>
      <w:r>
        <w:rPr>
          <w:rtl w:val="0"/>
        </w:rPr>
        <w:br w:type="textWrapping"/>
      </w:r>
      <w:r>
        <w:rPr>
          <w:rtl w:val="0"/>
        </w:rPr>
        <w:t>D- L'examen clinique révèle une masse dure, non impulsive.</w:t>
      </w:r>
      <w:r>
        <w:rPr>
          <w:rtl w:val="0"/>
        </w:rPr>
        <w:br w:type="textWrapping"/>
      </w:r>
      <w:r>
        <w:rPr>
          <w:rtl w:val="0"/>
        </w:rPr>
        <w:t>E- Nécessite une intervention chirurgicale en urgence en cas de signes généraux.</w:t>
      </w:r>
    </w:p>
    <w:p w14:paraId="00000027">
      <w:pPr>
        <w:spacing w:before="240" w:after="240"/>
      </w:pPr>
      <w:r>
        <w:rPr>
          <w:b/>
          <w:bCs/>
          <w:rtl w:val="0"/>
        </w:rPr>
        <w:t>38. L'examen de référence pour le diagnostic d'un infarctus entéro-mésentérique est ; réponse juste :</w:t>
      </w:r>
      <w:r>
        <w:rPr>
          <w:b/>
          <w:bCs/>
          <w:rtl w:val="0"/>
        </w:rPr>
        <w:br w:type="textWrapping"/>
      </w:r>
      <w:r>
        <w:rPr>
          <w:rtl w:val="0"/>
        </w:rPr>
        <w:t>A- L'échographie abdominale couplée au doppler.</w:t>
      </w:r>
      <w:r>
        <w:rPr>
          <w:rtl w:val="0"/>
        </w:rPr>
        <w:br w:type="textWrapping"/>
      </w:r>
      <w:r>
        <w:rPr>
          <w:rtl w:val="0"/>
        </w:rPr>
        <w:t>B- Angioscanner mésentérique.</w:t>
      </w:r>
      <w:r>
        <w:rPr>
          <w:rtl w:val="0"/>
        </w:rPr>
        <w:br w:type="textWrapping"/>
      </w:r>
      <w:r>
        <w:rPr>
          <w:rtl w:val="0"/>
        </w:rPr>
        <w:t>C- IRM abdominal.</w:t>
      </w:r>
      <w:r>
        <w:rPr>
          <w:rtl w:val="0"/>
        </w:rPr>
        <w:br w:type="textWrapping"/>
      </w:r>
      <w:r>
        <w:rPr>
          <w:rtl w:val="0"/>
        </w:rPr>
        <w:t>D- Abdomen debout sans préparation.</w:t>
      </w:r>
      <w:r>
        <w:rPr>
          <w:rtl w:val="0"/>
        </w:rPr>
        <w:br w:type="textWrapping"/>
      </w:r>
      <w:r>
        <w:rPr>
          <w:rtl w:val="0"/>
        </w:rPr>
        <w:t>E- Le PET Scan.</w:t>
      </w:r>
    </w:p>
    <w:p w14:paraId="00000028">
      <w:pPr>
        <w:spacing w:before="240" w:after="240"/>
      </w:pPr>
      <w:r>
        <w:rPr>
          <w:b/>
          <w:bCs/>
          <w:rtl w:val="0"/>
        </w:rPr>
        <w:t>39. En faveur d'un mécanisme de strangulation au cours d'une occlusion intestinale aiguë, on retient les signes suivants sauf un, lequel ?</w:t>
      </w:r>
      <w:r>
        <w:rPr>
          <w:b/>
          <w:bCs/>
          <w:rtl w:val="0"/>
        </w:rPr>
        <w:br w:type="textWrapping"/>
      </w:r>
      <w:r>
        <w:rPr>
          <w:rtl w:val="0"/>
        </w:rPr>
        <w:t>A- Existence d'ondulations péristaltiques.</w:t>
      </w:r>
      <w:r>
        <w:rPr>
          <w:rtl w:val="0"/>
        </w:rPr>
        <w:br w:type="textWrapping"/>
      </w:r>
      <w:r>
        <w:rPr>
          <w:rtl w:val="0"/>
        </w:rPr>
        <w:t>B- Silence abdominal à l'auscultation.</w:t>
      </w:r>
      <w:r>
        <w:rPr>
          <w:rtl w:val="0"/>
        </w:rPr>
        <w:br w:type="textWrapping"/>
      </w:r>
      <w:r>
        <w:rPr>
          <w:rtl w:val="0"/>
        </w:rPr>
        <w:t>C- Début brutal.</w:t>
      </w:r>
      <w:r>
        <w:rPr>
          <w:rtl w:val="0"/>
        </w:rPr>
        <w:br w:type="textWrapping"/>
      </w:r>
      <w:r>
        <w:rPr>
          <w:rtl w:val="0"/>
        </w:rPr>
        <w:t>D- Présence d'une cicatrice abdominale.</w:t>
      </w:r>
      <w:r>
        <w:rPr>
          <w:rtl w:val="0"/>
        </w:rPr>
        <w:br w:type="textWrapping"/>
      </w:r>
      <w:r>
        <w:rPr>
          <w:rtl w:val="0"/>
        </w:rPr>
        <w:t>E- Douleur abdominale intense.</w:t>
      </w:r>
    </w:p>
    <w:p w14:paraId="00000029">
      <w:pPr>
        <w:spacing w:before="240" w:after="240"/>
      </w:pPr>
      <w:r>
        <w:rPr>
          <w:b/>
          <w:bCs/>
          <w:rtl w:val="0"/>
        </w:rPr>
        <w:t>40. Un homme de 25 ans opéré pour appendice perforé 5 jours auparavant présente une fièvre à 39°3 C. Quel diagnostic évoquez-vous en premier ?</w:t>
      </w:r>
      <w:r>
        <w:rPr>
          <w:b/>
          <w:bCs/>
          <w:rtl w:val="0"/>
        </w:rPr>
        <w:br w:type="textWrapping"/>
      </w:r>
      <w:r>
        <w:rPr>
          <w:rtl w:val="0"/>
        </w:rPr>
        <w:t>A- Appendicite sur moignon.</w:t>
      </w:r>
      <w:r>
        <w:rPr>
          <w:rtl w:val="0"/>
        </w:rPr>
        <w:br w:type="textWrapping"/>
      </w:r>
      <w:r>
        <w:rPr>
          <w:rtl w:val="0"/>
        </w:rPr>
        <w:t>B- Abcès du Douglas.</w:t>
      </w:r>
      <w:r>
        <w:rPr>
          <w:rtl w:val="0"/>
        </w:rPr>
        <w:br w:type="textWrapping"/>
      </w:r>
      <w:r>
        <w:rPr>
          <w:rtl w:val="0"/>
        </w:rPr>
        <w:t>C- Phlébite.</w:t>
      </w:r>
      <w:r>
        <w:rPr>
          <w:rtl w:val="0"/>
        </w:rPr>
        <w:br w:type="textWrapping"/>
      </w:r>
      <w:r>
        <w:rPr>
          <w:rtl w:val="0"/>
        </w:rPr>
        <w:t>D- Infection urinaire.</w:t>
      </w:r>
      <w:r>
        <w:rPr>
          <w:rtl w:val="0"/>
        </w:rPr>
        <w:br w:type="textWrapping"/>
      </w:r>
      <w:r>
        <w:rPr>
          <w:rtl w:val="0"/>
        </w:rPr>
        <w:t>E- Occlusion intestinale sur brides.</w:t>
      </w:r>
    </w:p>
    <w:p w14:paraId="0000002A">
      <w:pPr>
        <w:spacing w:before="240" w:after="240"/>
      </w:pPr>
      <w:r>
        <w:rPr>
          <w:b/>
          <w:bCs/>
          <w:i/>
          <w:iCs/>
          <w:sz w:val="26"/>
          <w:szCs w:val="26"/>
          <w:u w:val="single"/>
          <w:rtl w:val="0"/>
        </w:rPr>
        <w:t>Cas clinique N°01 :</w:t>
      </w:r>
      <w:r>
        <w:rPr>
          <w:b/>
          <w:bCs/>
          <w:i/>
          <w:iCs/>
          <w:sz w:val="26"/>
          <w:szCs w:val="26"/>
          <w:u w:val="single"/>
          <w:rtl w:val="0"/>
        </w:rPr>
        <w:br w:type="textWrapping"/>
      </w:r>
      <w:r>
        <w:rPr>
          <w:rtl w:val="0"/>
        </w:rPr>
        <w:t>Un homme de 47 ans sans antécédents particuliers présente une douleur épigastrique brutale en "coup de poignard"</w:t>
      </w:r>
      <w:r>
        <w:rPr>
          <w:rtl w:val="0"/>
        </w:rPr>
        <w:br w:type="textWrapping"/>
      </w:r>
      <w:r>
        <w:rPr>
          <w:b/>
          <w:bCs/>
          <w:rtl w:val="0"/>
        </w:rPr>
        <w:t>41. Quel est le diagnostic le plus probable ? (Cochez la réponse juste)</w:t>
      </w:r>
      <w:r>
        <w:rPr>
          <w:b/>
          <w:bCs/>
          <w:rtl w:val="0"/>
        </w:rPr>
        <w:br w:type="textWrapping"/>
      </w:r>
      <w:r>
        <w:rPr>
          <w:rtl w:val="0"/>
        </w:rPr>
        <w:t>A- Pancréatite chronique.</w:t>
      </w:r>
      <w:r>
        <w:rPr>
          <w:rtl w:val="0"/>
        </w:rPr>
        <w:br w:type="textWrapping"/>
      </w:r>
      <w:r>
        <w:rPr>
          <w:rtl w:val="0"/>
        </w:rPr>
        <w:t>B- Perforation d'ulcère.</w:t>
      </w:r>
      <w:r>
        <w:rPr>
          <w:rtl w:val="0"/>
        </w:rPr>
        <w:br w:type="textWrapping"/>
      </w:r>
      <w:r>
        <w:rPr>
          <w:rtl w:val="0"/>
        </w:rPr>
        <w:t>C- Cholécystite aiguë.</w:t>
      </w:r>
      <w:r>
        <w:rPr>
          <w:rtl w:val="0"/>
        </w:rPr>
        <w:br w:type="textWrapping"/>
      </w:r>
      <w:r>
        <w:rPr>
          <w:rtl w:val="0"/>
        </w:rPr>
        <w:t>D- Colique néphrétique.</w:t>
      </w:r>
      <w:r>
        <w:rPr>
          <w:rtl w:val="0"/>
        </w:rPr>
        <w:br w:type="textWrapping"/>
      </w:r>
      <w:r>
        <w:rPr>
          <w:rtl w:val="0"/>
        </w:rPr>
        <w:t>E- Angiocholite.</w:t>
      </w:r>
    </w:p>
    <w:p w14:paraId="0000002B">
      <w:pPr>
        <w:spacing w:before="240" w:after="240"/>
      </w:pPr>
      <w:r>
        <w:rPr>
          <w:b/>
          <w:bCs/>
          <w:rtl w:val="0"/>
        </w:rPr>
        <w:t>42. Parmi les affections médicales suivantes, laquelle ne pose pas de problème de diagnostic différentiel ?</w:t>
      </w:r>
      <w:r>
        <w:rPr>
          <w:b/>
          <w:bCs/>
          <w:rtl w:val="0"/>
        </w:rPr>
        <w:br w:type="textWrapping"/>
      </w:r>
      <w:r>
        <w:rPr>
          <w:rtl w:val="0"/>
        </w:rPr>
        <w:t>A- Dysenterie.</w:t>
      </w:r>
      <w:r>
        <w:rPr>
          <w:rtl w:val="0"/>
        </w:rPr>
        <w:br w:type="textWrapping"/>
      </w:r>
      <w:r>
        <w:rPr>
          <w:rtl w:val="0"/>
        </w:rPr>
        <w:t>B- Infarctus du myocarde dans sa forme abdominale.</w:t>
      </w:r>
      <w:r>
        <w:rPr>
          <w:rtl w:val="0"/>
        </w:rPr>
        <w:br w:type="textWrapping"/>
      </w:r>
      <w:r>
        <w:rPr>
          <w:rtl w:val="0"/>
        </w:rPr>
        <w:t>C- Crise aiguë du Tabès (syphilis).</w:t>
      </w:r>
      <w:r>
        <w:rPr>
          <w:rtl w:val="0"/>
        </w:rPr>
        <w:br w:type="textWrapping"/>
      </w:r>
      <w:r>
        <w:rPr>
          <w:rtl w:val="0"/>
        </w:rPr>
        <w:t>D- Infarctus mésentérique.</w:t>
      </w:r>
      <w:r>
        <w:rPr>
          <w:rtl w:val="0"/>
        </w:rPr>
        <w:br w:type="textWrapping"/>
      </w:r>
      <w:r>
        <w:rPr>
          <w:rtl w:val="0"/>
        </w:rPr>
        <w:t>E- Pancréatite.</w:t>
      </w:r>
    </w:p>
    <w:p w14:paraId="0000002C">
      <w:pPr>
        <w:spacing w:before="240" w:after="240"/>
      </w:pPr>
      <w:r>
        <w:rPr>
          <w:b/>
          <w:bCs/>
          <w:rtl w:val="0"/>
        </w:rPr>
        <w:t>43. L'échographie et l'ASP confirment la perforation d'un organe creux opéré en urgence. L'exploration retrouve une perforation située sur la petite courbure gastrique. Le malade a bénéficié d'une suture simple, avec une toilette péritonéale, précédée de biopsies qui malheureusement ne s'avèrent pas concluantes. Une biopsie peropératoire est alors : (Cochez la réponse juste)</w:t>
      </w:r>
      <w:r>
        <w:rPr>
          <w:b/>
          <w:bCs/>
          <w:rtl w:val="0"/>
        </w:rPr>
        <w:br w:type="textWrapping"/>
      </w:r>
      <w:r>
        <w:rPr>
          <w:rtl w:val="0"/>
        </w:rPr>
        <w:t>A- Recommandée.</w:t>
      </w:r>
      <w:r>
        <w:rPr>
          <w:rtl w:val="0"/>
        </w:rPr>
        <w:br w:type="textWrapping"/>
      </w:r>
      <w:r>
        <w:rPr>
          <w:rtl w:val="0"/>
        </w:rPr>
        <w:t>B- Souhaitable.</w:t>
      </w:r>
      <w:r>
        <w:rPr>
          <w:rtl w:val="0"/>
        </w:rPr>
        <w:br w:type="textWrapping"/>
      </w:r>
      <w:r>
        <w:rPr>
          <w:rtl w:val="0"/>
        </w:rPr>
        <w:t>C- Absolument nécessaire.</w:t>
      </w:r>
      <w:r>
        <w:rPr>
          <w:rtl w:val="0"/>
        </w:rPr>
        <w:br w:type="textWrapping"/>
      </w:r>
      <w:r>
        <w:rPr>
          <w:rtl w:val="0"/>
        </w:rPr>
        <w:t>D- Facultative.</w:t>
      </w:r>
      <w:r>
        <w:rPr>
          <w:rtl w:val="0"/>
        </w:rPr>
        <w:br w:type="textWrapping"/>
      </w:r>
      <w:r>
        <w:rPr>
          <w:rtl w:val="0"/>
        </w:rPr>
        <w:t>E- Inutile.</w:t>
      </w:r>
    </w:p>
    <w:p w14:paraId="0000002D">
      <w:pPr>
        <w:spacing w:before="240" w:after="240"/>
      </w:pPr>
      <w:r>
        <w:rPr>
          <w:b/>
          <w:bCs/>
          <w:rtl w:val="0"/>
        </w:rPr>
        <w:t>44. Les résultats anatomo-pathologiques reviennent en faveur d'un adénocarcinome bien différencié, la chimiothérapie est : (Cochez la réponse fausse)</w:t>
      </w:r>
      <w:r>
        <w:rPr>
          <w:b/>
          <w:bCs/>
          <w:rtl w:val="0"/>
        </w:rPr>
        <w:br w:type="textWrapping"/>
      </w:r>
      <w:r>
        <w:rPr>
          <w:rtl w:val="0"/>
        </w:rPr>
        <w:t>A- Efficace.</w:t>
      </w:r>
      <w:r>
        <w:rPr>
          <w:rtl w:val="0"/>
        </w:rPr>
        <w:br w:type="textWrapping"/>
      </w:r>
      <w:r>
        <w:rPr>
          <w:rtl w:val="0"/>
        </w:rPr>
        <w:t>B- Nécessaire.</w:t>
      </w:r>
      <w:r>
        <w:rPr>
          <w:rtl w:val="0"/>
        </w:rPr>
        <w:br w:type="textWrapping"/>
      </w:r>
      <w:r>
        <w:rPr>
          <w:rtl w:val="0"/>
        </w:rPr>
        <w:t>C- Influence la morbidité post-opératoire.</w:t>
      </w:r>
      <w:r>
        <w:rPr>
          <w:rtl w:val="0"/>
        </w:rPr>
        <w:br w:type="textWrapping"/>
      </w:r>
      <w:r>
        <w:rPr>
          <w:rtl w:val="0"/>
        </w:rPr>
        <w:t>D- Non indiquée.</w:t>
      </w:r>
      <w:r>
        <w:rPr>
          <w:rtl w:val="0"/>
        </w:rPr>
        <w:br w:type="textWrapping"/>
      </w:r>
      <w:r>
        <w:rPr>
          <w:rtl w:val="0"/>
        </w:rPr>
        <w:t>E- Influence la mortalité post-opératoire.</w:t>
      </w:r>
    </w:p>
    <w:p w14:paraId="0000002E">
      <w:pPr>
        <w:spacing w:before="240" w:after="240"/>
      </w:pPr>
      <w:r>
        <w:rPr>
          <w:b/>
          <w:bCs/>
          <w:rtl w:val="0"/>
        </w:rPr>
        <w:t>45. Le patient subit une gastrectomie des 4/5 avec curage D2 (10 ganglions métastatiques). Cette tumeur est classée T3N2M0, elle est alors :</w:t>
      </w:r>
      <w:r>
        <w:rPr>
          <w:b/>
          <w:bCs/>
          <w:rtl w:val="0"/>
        </w:rPr>
        <w:br w:type="textWrapping"/>
      </w:r>
      <w:r>
        <w:rPr>
          <w:rtl w:val="0"/>
        </w:rPr>
        <w:t>A- Stade Ib.</w:t>
      </w:r>
      <w:r>
        <w:rPr>
          <w:rtl w:val="0"/>
        </w:rPr>
        <w:br w:type="textWrapping"/>
      </w:r>
      <w:r>
        <w:rPr>
          <w:rtl w:val="0"/>
        </w:rPr>
        <w:t>B- Stade II.</w:t>
      </w:r>
      <w:r>
        <w:rPr>
          <w:rtl w:val="0"/>
        </w:rPr>
        <w:br w:type="textWrapping"/>
      </w:r>
      <w:r>
        <w:rPr>
          <w:rtl w:val="0"/>
        </w:rPr>
        <w:t>C- Stade IIIa.</w:t>
      </w:r>
      <w:r>
        <w:rPr>
          <w:rtl w:val="0"/>
        </w:rPr>
        <w:br w:type="textWrapping"/>
      </w:r>
      <w:r>
        <w:rPr>
          <w:rtl w:val="0"/>
        </w:rPr>
        <w:t>D- Stade IIIb.</w:t>
      </w:r>
      <w:r>
        <w:rPr>
          <w:rtl w:val="0"/>
        </w:rPr>
        <w:br w:type="textWrapping"/>
      </w:r>
      <w:r>
        <w:rPr>
          <w:rtl w:val="0"/>
        </w:rPr>
        <w:t>E- Stade IV.</w:t>
      </w:r>
    </w:p>
    <w:p w14:paraId="0000002F">
      <w:pPr>
        <w:spacing w:before="240" w:after="240"/>
      </w:pPr>
      <w:r>
        <w:rPr>
          <w:b/>
          <w:bCs/>
          <w:i/>
          <w:iCs/>
          <w:sz w:val="26"/>
          <w:szCs w:val="26"/>
          <w:u w:val="single"/>
          <w:rtl w:val="0"/>
        </w:rPr>
        <w:t>Cas clinique N°02 :</w:t>
      </w:r>
      <w:r>
        <w:rPr>
          <w:b/>
          <w:bCs/>
          <w:i/>
          <w:iCs/>
          <w:sz w:val="26"/>
          <w:szCs w:val="26"/>
          <w:u w:val="single"/>
          <w:rtl w:val="0"/>
        </w:rPr>
        <w:br w:type="textWrapping"/>
      </w:r>
      <w:r>
        <w:rPr>
          <w:rtl w:val="0"/>
        </w:rPr>
        <w:t>Patient âgé de 45 ans présentant une infection à virus B, Ag HBe négatif, la charge virale est à 20.000 UI soit 5 log ou 10^5 copies ml. NFS (GB 3200/mm3, Hb 12 gr/dl. Plaquettes 100.000/mm3), les ALAT sont à 60 UI (normale 40), le TP est à 80%, la bilirubinémie totale à 10 mg/l, l'Albumine est à 38 gr/l (normale 32-42). A l'examen clinique, patient conscient, bien orienté dans le temps et dans l'espace. A l'échodoppler, le foie est de taille normale mais de contours irréguliers, pas de nodule hépatique décelé, la veine porte est dilatée à 18 mm, la rate est augmentée de volume, il n'y a pas d'ascite.</w:t>
      </w:r>
    </w:p>
    <w:p w14:paraId="00000030">
      <w:pPr>
        <w:spacing w:before="240" w:after="240"/>
      </w:pPr>
      <w:r>
        <w:rPr>
          <w:b/>
          <w:bCs/>
          <w:rtl w:val="0"/>
        </w:rPr>
        <w:t>46. Que proposez-vous comme examen complémentaire pour la suite de la prise en charge ?</w:t>
      </w:r>
      <w:r>
        <w:rPr>
          <w:b/>
          <w:bCs/>
          <w:rtl w:val="0"/>
        </w:rPr>
        <w:br w:type="textWrapping"/>
      </w:r>
      <w:r>
        <w:rPr>
          <w:rtl w:val="0"/>
        </w:rPr>
        <w:t>A- Ponction biopsie hépatique.</w:t>
      </w:r>
      <w:r>
        <w:rPr>
          <w:rtl w:val="0"/>
        </w:rPr>
        <w:br w:type="textWrapping"/>
      </w:r>
      <w:r>
        <w:rPr>
          <w:rtl w:val="0"/>
        </w:rPr>
        <w:t>B- Génotypage du virus B.</w:t>
      </w:r>
      <w:r>
        <w:rPr>
          <w:rtl w:val="0"/>
        </w:rPr>
        <w:br w:type="textWrapping"/>
      </w:r>
      <w:r>
        <w:rPr>
          <w:rtl w:val="0"/>
        </w:rPr>
        <w:t>C- Endoscopie digestive haute.</w:t>
      </w:r>
      <w:r>
        <w:rPr>
          <w:rtl w:val="0"/>
        </w:rPr>
        <w:br w:type="textWrapping"/>
      </w:r>
      <w:r>
        <w:rPr>
          <w:rtl w:val="0"/>
        </w:rPr>
        <w:t>D- Fibroscan.</w:t>
      </w:r>
      <w:r>
        <w:rPr>
          <w:rtl w:val="0"/>
        </w:rPr>
        <w:br w:type="textWrapping"/>
      </w:r>
      <w:r>
        <w:rPr>
          <w:rtl w:val="0"/>
        </w:rPr>
        <w:t>E- Aucune des mesures sus citées.</w:t>
      </w:r>
    </w:p>
    <w:p w14:paraId="00000031">
      <w:pPr>
        <w:spacing w:before="240" w:after="240"/>
      </w:pPr>
      <w:r>
        <w:rPr>
          <w:b/>
          <w:bCs/>
          <w:rtl w:val="0"/>
        </w:rPr>
        <w:t>47. Comment classez-vous son hépatopathie selon le score de CHILD-PUGH ?</w:t>
      </w:r>
      <w:r>
        <w:rPr>
          <w:b/>
          <w:bCs/>
          <w:rtl w:val="0"/>
        </w:rPr>
        <w:br w:type="textWrapping"/>
      </w:r>
      <w:r>
        <w:rPr>
          <w:rtl w:val="0"/>
        </w:rPr>
        <w:t>A- A5</w:t>
      </w:r>
      <w:r>
        <w:rPr>
          <w:rtl w:val="0"/>
        </w:rPr>
        <w:br w:type="textWrapping"/>
      </w:r>
      <w:r>
        <w:rPr>
          <w:rtl w:val="0"/>
        </w:rPr>
        <w:t>B- A6</w:t>
      </w:r>
      <w:r>
        <w:rPr>
          <w:rtl w:val="0"/>
        </w:rPr>
        <w:br w:type="textWrapping"/>
      </w:r>
      <w:r>
        <w:rPr>
          <w:rtl w:val="0"/>
        </w:rPr>
        <w:t>C- B7</w:t>
      </w:r>
      <w:r>
        <w:rPr>
          <w:rtl w:val="0"/>
        </w:rPr>
        <w:br w:type="textWrapping"/>
      </w:r>
      <w:r>
        <w:rPr>
          <w:rtl w:val="0"/>
        </w:rPr>
        <w:t>D- B9</w:t>
      </w:r>
      <w:r>
        <w:rPr>
          <w:rtl w:val="0"/>
        </w:rPr>
        <w:br w:type="textWrapping"/>
      </w:r>
      <w:r>
        <w:rPr>
          <w:rtl w:val="0"/>
        </w:rPr>
        <w:t>E- B8</w:t>
      </w:r>
    </w:p>
    <w:p w14:paraId="00000032">
      <w:pPr>
        <w:spacing w:before="240" w:after="240"/>
      </w:pPr>
      <w:r>
        <w:rPr>
          <w:b/>
          <w:bCs/>
          <w:rtl w:val="0"/>
        </w:rPr>
        <w:t>48. Que proposez-vous comme traitement pour son infection à virus B ?</w:t>
      </w:r>
      <w:r>
        <w:rPr>
          <w:b/>
          <w:bCs/>
          <w:rtl w:val="0"/>
        </w:rPr>
        <w:br w:type="textWrapping"/>
      </w:r>
      <w:r>
        <w:rPr>
          <w:rtl w:val="0"/>
        </w:rPr>
        <w:t>A- Interféron pégylé.</w:t>
      </w:r>
      <w:r>
        <w:rPr>
          <w:rtl w:val="0"/>
        </w:rPr>
        <w:br w:type="textWrapping"/>
      </w:r>
      <w:r>
        <w:rPr>
          <w:rtl w:val="0"/>
        </w:rPr>
        <w:t>B- Lamivudine.</w:t>
      </w:r>
      <w:r>
        <w:rPr>
          <w:rtl w:val="0"/>
        </w:rPr>
        <w:br w:type="textWrapping"/>
      </w:r>
      <w:r>
        <w:rPr>
          <w:rtl w:val="0"/>
        </w:rPr>
        <w:t>C- Ténofovir.</w:t>
      </w:r>
      <w:r>
        <w:rPr>
          <w:rtl w:val="0"/>
        </w:rPr>
        <w:br w:type="textWrapping"/>
      </w:r>
      <w:r>
        <w:rPr>
          <w:rtl w:val="0"/>
        </w:rPr>
        <w:t>D- Interféron pégylé associé à la Ribavirine.</w:t>
      </w:r>
      <w:r>
        <w:rPr>
          <w:rtl w:val="0"/>
        </w:rPr>
        <w:br w:type="textWrapping"/>
      </w:r>
      <w:r>
        <w:rPr>
          <w:rtl w:val="0"/>
        </w:rPr>
        <w:t>E- Transplantation hépatique.</w:t>
      </w:r>
    </w:p>
    <w:p w14:paraId="00000033">
      <w:pPr>
        <w:spacing w:before="240" w:after="240"/>
      </w:pPr>
      <w:r>
        <w:rPr>
          <w:b/>
          <w:bCs/>
          <w:rtl w:val="0"/>
        </w:rPr>
        <w:t>49. Quel est l'examen le plus utile pour la surveillance du traitement ?</w:t>
      </w:r>
      <w:r>
        <w:rPr>
          <w:b/>
          <w:bCs/>
          <w:rtl w:val="0"/>
        </w:rPr>
        <w:br w:type="textWrapping"/>
      </w:r>
      <w:r>
        <w:rPr>
          <w:rtl w:val="0"/>
        </w:rPr>
        <w:t>A- PCR en temps réel.</w:t>
      </w:r>
      <w:r>
        <w:rPr>
          <w:rtl w:val="0"/>
        </w:rPr>
        <w:br w:type="textWrapping"/>
      </w:r>
      <w:r>
        <w:rPr>
          <w:rtl w:val="0"/>
        </w:rPr>
        <w:t>B- Séroconversion HBe.</w:t>
      </w:r>
      <w:r>
        <w:rPr>
          <w:rtl w:val="0"/>
        </w:rPr>
        <w:br w:type="textWrapping"/>
      </w:r>
      <w:r>
        <w:rPr>
          <w:rtl w:val="0"/>
        </w:rPr>
        <w:t>C- Biopsie hépatique.</w:t>
      </w:r>
      <w:r>
        <w:rPr>
          <w:rtl w:val="0"/>
        </w:rPr>
        <w:br w:type="textWrapping"/>
      </w:r>
      <w:r>
        <w:rPr>
          <w:rtl w:val="0"/>
        </w:rPr>
        <w:t>D- Fibrotest.</w:t>
      </w:r>
      <w:r>
        <w:rPr>
          <w:rtl w:val="0"/>
        </w:rPr>
        <w:br w:type="textWrapping"/>
      </w:r>
      <w:r>
        <w:rPr>
          <w:rtl w:val="0"/>
        </w:rPr>
        <w:t>E- Scanner abdominal</w:t>
      </w:r>
    </w:p>
    <w:p w14:paraId="00000034">
      <w:pPr>
        <w:spacing w:before="240" w:after="240"/>
        <w:rPr>
          <w:rtl w:val="0"/>
        </w:rPr>
      </w:pPr>
      <w:r>
        <w:rPr>
          <w:b/>
          <w:bCs/>
          <w:rtl w:val="0"/>
        </w:rPr>
        <w:t>50. Que préconisez-vous comme examen pour la surveillance à long terme de sa maladie ?</w:t>
      </w:r>
      <w:r>
        <w:rPr>
          <w:b/>
          <w:bCs/>
          <w:rtl w:val="0"/>
        </w:rPr>
        <w:br w:type="textWrapping"/>
      </w:r>
      <w:r>
        <w:rPr>
          <w:rtl w:val="0"/>
        </w:rPr>
        <w:t>A- Echographie annuelle.</w:t>
      </w:r>
      <w:r>
        <w:rPr>
          <w:rtl w:val="0"/>
        </w:rPr>
        <w:br w:type="textWrapping"/>
      </w:r>
      <w:r>
        <w:rPr>
          <w:rtl w:val="0"/>
        </w:rPr>
        <w:t>B- Scanner annuel.</w:t>
      </w:r>
      <w:r>
        <w:rPr>
          <w:rtl w:val="0"/>
        </w:rPr>
        <w:br w:type="textWrapping"/>
      </w:r>
      <w:r>
        <w:rPr>
          <w:rtl w:val="0"/>
        </w:rPr>
        <w:t>C- IRM trimestrielle avec dosage de l'alpha foeto-protéine</w:t>
      </w:r>
      <w:r>
        <w:rPr>
          <w:rtl w:val="0"/>
        </w:rPr>
        <w:br w:type="textWrapping"/>
      </w:r>
      <w:r>
        <w:rPr>
          <w:rtl w:val="0"/>
        </w:rPr>
        <w:t>D- Echographie semestrielle.</w:t>
      </w:r>
      <w:r>
        <w:rPr>
          <w:rtl w:val="0"/>
        </w:rPr>
        <w:br w:type="textWrapping"/>
      </w:r>
      <w:r>
        <w:rPr>
          <w:rtl w:val="0"/>
        </w:rPr>
        <w:t>E- Scanner semestriel.</w:t>
      </w:r>
    </w:p>
    <w:p w14:paraId="5C3F5997">
      <w:pPr>
        <w:spacing w:before="240" w:after="240"/>
        <w:rPr>
          <w:rtl w:val="0"/>
        </w:rPr>
      </w:pPr>
    </w:p>
    <w:p w14:paraId="1816EDC1">
      <w:pPr>
        <w:spacing w:before="240" w:after="240"/>
        <w:rPr>
          <w:rtl w:val="0"/>
        </w:rPr>
      </w:pPr>
    </w:p>
    <w:tbl>
      <w:tblPr>
        <w:tblStyle w:val="13"/>
        <w:tblW w:w="101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7"/>
        <w:gridCol w:w="607"/>
        <w:gridCol w:w="9106"/>
      </w:tblGrid>
      <w:tr w14:paraId="720982F0">
        <w:tc>
          <w:tcPr>
            <w:tcW w:w="427" w:type="dxa"/>
          </w:tcPr>
          <w:p w14:paraId="7CAD8D54">
            <w:pPr>
              <w:widowControl w:val="0"/>
              <w:numPr>
                <w:ilvl w:val="0"/>
                <w:numId w:val="1"/>
              </w:numPr>
              <w:ind w:left="425" w:leftChars="0" w:hanging="425" w:firstLineChars="0"/>
              <w:jc w:val="both"/>
              <w:rPr>
                <w:vertAlign w:val="baseline"/>
              </w:rPr>
            </w:pPr>
          </w:p>
        </w:tc>
        <w:tc>
          <w:tcPr>
            <w:tcW w:w="607" w:type="dxa"/>
          </w:tcPr>
          <w:p w14:paraId="0BB9BF43">
            <w:pPr>
              <w:widowControl w:val="0"/>
              <w:jc w:val="both"/>
              <w:rPr>
                <w:rFonts w:hint="default"/>
                <w:vertAlign w:val="baseline"/>
                <w:lang w:val="en-US"/>
              </w:rPr>
            </w:pPr>
            <w:r>
              <w:rPr>
                <w:rFonts w:hint="default"/>
                <w:vertAlign w:val="baseline"/>
                <w:lang w:val="en-US"/>
              </w:rPr>
              <w:t>C</w:t>
            </w:r>
          </w:p>
        </w:tc>
        <w:tc>
          <w:tcPr>
            <w:tcW w:w="9106" w:type="dxa"/>
          </w:tcPr>
          <w:p w14:paraId="177FA7D4">
            <w:pPr>
              <w:keepNext w:val="0"/>
              <w:keepLines w:val="0"/>
              <w:widowControl/>
              <w:suppressLineNumbers w:val="0"/>
              <w:jc w:val="left"/>
              <w:rPr>
                <w:rFonts w:ascii="Candara" w:hAnsi="Candara" w:eastAsia="Candara" w:cs="Candara"/>
                <w:b/>
                <w:bCs/>
                <w:color w:val="000000"/>
                <w:kern w:val="0"/>
                <w:sz w:val="19"/>
                <w:szCs w:val="19"/>
                <w:lang w:val="en-US" w:eastAsia="zh-CN" w:bidi="ar"/>
              </w:rPr>
            </w:pPr>
            <w:r>
              <w:rPr>
                <w:rFonts w:ascii="Candara" w:hAnsi="Candara" w:eastAsia="Candara" w:cs="Candara"/>
                <w:b/>
                <w:bCs/>
                <w:color w:val="000000"/>
                <w:kern w:val="0"/>
                <w:sz w:val="19"/>
                <w:szCs w:val="19"/>
                <w:lang w:val="en-US" w:eastAsia="zh-CN" w:bidi="ar"/>
              </w:rPr>
              <w:t>F</w:t>
            </w:r>
            <w:r>
              <w:rPr>
                <w:rFonts w:ascii="Candara" w:hAnsi="Candara" w:eastAsia="Candara" w:cs="Candara"/>
                <w:b/>
                <w:bCs/>
                <w:color w:val="000000"/>
                <w:kern w:val="0"/>
                <w:sz w:val="24"/>
                <w:szCs w:val="24"/>
                <w:lang w:val="en-US" w:eastAsia="zh-CN" w:bidi="ar"/>
              </w:rPr>
              <w:t xml:space="preserve">acteurs impliqués dans la survenue d’un RGO : </w:t>
            </w:r>
          </w:p>
          <w:p w14:paraId="72A219E4">
            <w:pPr>
              <w:keepNext w:val="0"/>
              <w:keepLines w:val="0"/>
              <w:widowControl/>
              <w:suppressLineNumbers w:val="0"/>
              <w:jc w:val="left"/>
              <w:rPr>
                <w:rFonts w:ascii="Candara" w:hAnsi="Candara" w:eastAsia="Candara" w:cs="Candara"/>
                <w:b/>
                <w:bCs/>
                <w:color w:val="000000"/>
                <w:kern w:val="0"/>
                <w:sz w:val="19"/>
                <w:szCs w:val="19"/>
                <w:lang w:val="en-US" w:eastAsia="zh-CN" w:bidi="ar"/>
              </w:rPr>
            </w:pPr>
          </w:p>
          <w:p w14:paraId="05FD674B">
            <w:pPr>
              <w:keepNext w:val="0"/>
              <w:keepLines w:val="0"/>
              <w:widowControl/>
              <w:suppressLineNumbers w:val="0"/>
              <w:jc w:val="left"/>
              <w:rPr>
                <w:sz w:val="24"/>
                <w:szCs w:val="24"/>
              </w:rPr>
            </w:pPr>
            <w:r>
              <w:rPr>
                <w:rFonts w:hint="default" w:ascii="Candara" w:hAnsi="Candara" w:eastAsia="Candara" w:cs="Candara"/>
                <w:color w:val="000000"/>
                <w:kern w:val="0"/>
                <w:sz w:val="19"/>
                <w:szCs w:val="19"/>
                <w:lang w:val="en-US" w:eastAsia="zh-CN" w:bidi="ar"/>
              </w:rPr>
              <w:t xml:space="preserve">- </w:t>
            </w:r>
            <w:r>
              <w:rPr>
                <w:rFonts w:hint="default" w:ascii="Candara" w:hAnsi="Candara" w:eastAsia="Candara" w:cs="Candara"/>
                <w:color w:val="000000"/>
                <w:kern w:val="0"/>
                <w:sz w:val="24"/>
                <w:szCs w:val="24"/>
                <w:lang w:val="en-US" w:eastAsia="zh-CN" w:bidi="ar"/>
              </w:rPr>
              <w:t xml:space="preserve">Diminution de la résistance de la muqueuse œsophagienne. </w:t>
            </w:r>
          </w:p>
          <w:p w14:paraId="4CDACDF5">
            <w:pPr>
              <w:keepNext w:val="0"/>
              <w:keepLines w:val="0"/>
              <w:widowControl/>
              <w:suppressLineNumbers w:val="0"/>
              <w:jc w:val="left"/>
              <w:rPr>
                <w:sz w:val="24"/>
                <w:szCs w:val="24"/>
              </w:rPr>
            </w:pPr>
            <w:r>
              <w:rPr>
                <w:rFonts w:hint="default" w:ascii="Courier New" w:hAnsi="Courier New" w:eastAsia="SimSun" w:cs="Courier New"/>
                <w:color w:val="000000"/>
                <w:kern w:val="0"/>
                <w:sz w:val="24"/>
                <w:szCs w:val="24"/>
                <w:lang w:val="en-US" w:eastAsia="zh-CN" w:bidi="ar"/>
              </w:rPr>
              <w:t>-</w:t>
            </w:r>
            <w:r>
              <w:rPr>
                <w:rFonts w:hint="default" w:ascii="Candara" w:hAnsi="Candara" w:eastAsia="Candara" w:cs="Candara"/>
                <w:color w:val="000000"/>
                <w:kern w:val="0"/>
                <w:sz w:val="24"/>
                <w:szCs w:val="24"/>
                <w:lang w:val="en-US" w:eastAsia="zh-CN" w:bidi="ar"/>
              </w:rPr>
              <w:t xml:space="preserve">Anomalies des contractions œsophagiennes. </w:t>
            </w:r>
          </w:p>
          <w:p w14:paraId="16EC429C">
            <w:pPr>
              <w:keepNext w:val="0"/>
              <w:keepLines w:val="0"/>
              <w:widowControl/>
              <w:suppressLineNumbers w:val="0"/>
              <w:jc w:val="left"/>
              <w:rPr>
                <w:sz w:val="24"/>
                <w:szCs w:val="24"/>
              </w:rPr>
            </w:pPr>
            <w:r>
              <w:rPr>
                <w:rFonts w:hint="default" w:ascii="Courier New" w:hAnsi="Courier New" w:eastAsia="SimSun" w:cs="Courier New"/>
                <w:color w:val="000000"/>
                <w:kern w:val="0"/>
                <w:sz w:val="24"/>
                <w:szCs w:val="24"/>
                <w:lang w:val="en-US" w:eastAsia="zh-CN" w:bidi="ar"/>
              </w:rPr>
              <w:t>-</w:t>
            </w:r>
            <w:r>
              <w:rPr>
                <w:rFonts w:hint="default" w:ascii="Candara" w:hAnsi="Candara" w:eastAsia="Candara" w:cs="Candara"/>
                <w:color w:val="000000"/>
                <w:kern w:val="0"/>
                <w:sz w:val="24"/>
                <w:szCs w:val="24"/>
                <w:lang w:val="en-US" w:eastAsia="zh-CN" w:bidi="ar"/>
              </w:rPr>
              <w:t xml:space="preserve">Défaillance du système anti-reflux (nbre excessif de relaxations transitoires du SIO qui se produisent en dehors des </w:t>
            </w:r>
          </w:p>
          <w:p w14:paraId="65BFB860">
            <w:pPr>
              <w:keepNext w:val="0"/>
              <w:keepLines w:val="0"/>
              <w:widowControl/>
              <w:suppressLineNumbers w:val="0"/>
              <w:jc w:val="left"/>
              <w:rPr>
                <w:sz w:val="24"/>
                <w:szCs w:val="24"/>
              </w:rPr>
            </w:pPr>
            <w:r>
              <w:rPr>
                <w:rFonts w:hint="default" w:ascii="Candara" w:hAnsi="Candara" w:eastAsia="Candara" w:cs="Candara"/>
                <w:color w:val="000000"/>
                <w:kern w:val="0"/>
                <w:sz w:val="24"/>
                <w:szCs w:val="24"/>
                <w:lang w:val="en-US" w:eastAsia="zh-CN" w:bidi="ar"/>
              </w:rPr>
              <w:t>déglutitions).</w:t>
            </w:r>
          </w:p>
          <w:p w14:paraId="2033E067">
            <w:pPr>
              <w:pStyle w:val="10"/>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La diminution de la résistance œsophagienne au reflux acide est principalement liée à :</w:t>
            </w:r>
          </w:p>
          <w:p w14:paraId="5FC271A6">
            <w:pPr>
              <w:pStyle w:val="10"/>
              <w:keepNext w:val="0"/>
              <w:keepLines w:val="0"/>
              <w:widowControl/>
              <w:suppressLineNumbers w:val="0"/>
              <w:rPr>
                <w:i w:val="0"/>
                <w:iCs w:val="0"/>
                <w:caps w:val="0"/>
                <w:color w:val="000000"/>
                <w:spacing w:val="0"/>
                <w:u w:val="none"/>
              </w:rPr>
            </w:pPr>
            <w:r>
              <w:rPr>
                <w:rStyle w:val="11"/>
                <w:rFonts w:hint="default"/>
                <w:i w:val="0"/>
                <w:iCs w:val="0"/>
                <w:caps w:val="0"/>
                <w:color w:val="000000"/>
                <w:spacing w:val="0"/>
                <w:u w:val="none"/>
                <w:lang w:val="en-US"/>
              </w:rPr>
              <w:t>-</w:t>
            </w:r>
            <w:r>
              <w:rPr>
                <w:rStyle w:val="11"/>
                <w:i w:val="0"/>
                <w:iCs w:val="0"/>
                <w:caps w:val="0"/>
                <w:color w:val="000000"/>
                <w:spacing w:val="0"/>
                <w:u w:val="none"/>
              </w:rPr>
              <w:t>Une diminution de la pression du sphincter inférieur de l'œsophage (SIO)</w:t>
            </w:r>
            <w:r>
              <w:rPr>
                <w:i w:val="0"/>
                <w:iCs w:val="0"/>
                <w:caps w:val="0"/>
                <w:color w:val="000000"/>
                <w:spacing w:val="0"/>
                <w:u w:val="none"/>
              </w:rPr>
              <w:t> → cela facilite le reflux du contenu gastrique acide vers l'œsophage.</w:t>
            </w:r>
          </w:p>
          <w:p w14:paraId="090A75D9">
            <w:pPr>
              <w:pStyle w:val="10"/>
              <w:keepNext w:val="0"/>
              <w:keepLines w:val="0"/>
              <w:widowControl/>
              <w:suppressLineNumbers w:val="0"/>
              <w:rPr>
                <w:vertAlign w:val="baseline"/>
              </w:rPr>
            </w:pPr>
            <w:r>
              <w:rPr>
                <w:rFonts w:hint="default"/>
                <w:i w:val="0"/>
                <w:iCs w:val="0"/>
                <w:caps w:val="0"/>
                <w:color w:val="000000"/>
                <w:spacing w:val="0"/>
                <w:u w:val="none"/>
                <w:lang w:val="en-US"/>
              </w:rPr>
              <w:t>-</w:t>
            </w:r>
            <w:r>
              <w:rPr>
                <w:i w:val="0"/>
                <w:iCs w:val="0"/>
                <w:caps w:val="0"/>
                <w:color w:val="000000"/>
                <w:spacing w:val="0"/>
                <w:u w:val="none"/>
              </w:rPr>
              <w:t> </w:t>
            </w:r>
            <w:r>
              <w:rPr>
                <w:rStyle w:val="11"/>
                <w:i w:val="0"/>
                <w:iCs w:val="0"/>
                <w:caps w:val="0"/>
                <w:color w:val="000000"/>
                <w:spacing w:val="0"/>
                <w:u w:val="none"/>
              </w:rPr>
              <w:t>Des anomalies du péristaltisme œsophagien</w:t>
            </w:r>
            <w:r>
              <w:rPr>
                <w:i w:val="0"/>
                <w:iCs w:val="0"/>
                <w:caps w:val="0"/>
                <w:color w:val="000000"/>
                <w:spacing w:val="0"/>
                <w:u w:val="none"/>
              </w:rPr>
              <w:t> → elles réduisent la clairance de l’acide, ce qui prolonge le contact de l’acide avec la muqueuse œsophagienne.</w:t>
            </w:r>
          </w:p>
        </w:tc>
      </w:tr>
      <w:tr w14:paraId="76904F18">
        <w:tc>
          <w:tcPr>
            <w:tcW w:w="427" w:type="dxa"/>
          </w:tcPr>
          <w:p w14:paraId="2763D851">
            <w:pPr>
              <w:widowControl w:val="0"/>
              <w:numPr>
                <w:ilvl w:val="0"/>
                <w:numId w:val="1"/>
              </w:numPr>
              <w:ind w:left="425" w:leftChars="0" w:hanging="425" w:firstLineChars="0"/>
              <w:jc w:val="both"/>
              <w:rPr>
                <w:vertAlign w:val="baseline"/>
              </w:rPr>
            </w:pPr>
          </w:p>
        </w:tc>
        <w:tc>
          <w:tcPr>
            <w:tcW w:w="607" w:type="dxa"/>
          </w:tcPr>
          <w:p w14:paraId="4A68FB69">
            <w:pPr>
              <w:widowControl w:val="0"/>
              <w:jc w:val="both"/>
              <w:rPr>
                <w:rFonts w:hint="default"/>
                <w:vertAlign w:val="baseline"/>
                <w:lang w:val="en-US"/>
              </w:rPr>
            </w:pPr>
            <w:r>
              <w:rPr>
                <w:rFonts w:hint="default"/>
                <w:vertAlign w:val="baseline"/>
                <w:lang w:val="en-US"/>
              </w:rPr>
              <w:t>E</w:t>
            </w:r>
          </w:p>
        </w:tc>
        <w:tc>
          <w:tcPr>
            <w:tcW w:w="9106" w:type="dxa"/>
          </w:tcPr>
          <w:p w14:paraId="0C819394">
            <w:pPr>
              <w:widowControl w:val="0"/>
              <w:jc w:val="both"/>
              <w:rPr>
                <w:rFonts w:hint="default"/>
                <w:b/>
                <w:bCs/>
                <w:sz w:val="24"/>
                <w:szCs w:val="24"/>
                <w:vertAlign w:val="baseline"/>
                <w:lang w:val="en-US"/>
              </w:rPr>
            </w:pPr>
            <w:r>
              <w:rPr>
                <w:rFonts w:hint="default"/>
                <w:b/>
                <w:bCs/>
                <w:sz w:val="24"/>
                <w:szCs w:val="24"/>
                <w:vertAlign w:val="baseline"/>
              </w:rPr>
              <w:t>TRT de l’EBO</w:t>
            </w:r>
            <w:r>
              <w:rPr>
                <w:rFonts w:hint="default"/>
                <w:b/>
                <w:bCs/>
                <w:sz w:val="24"/>
                <w:szCs w:val="24"/>
                <w:vertAlign w:val="baseline"/>
                <w:lang w:val="en-US"/>
              </w:rPr>
              <w:t>:</w:t>
            </w:r>
          </w:p>
          <w:p w14:paraId="14913EC4">
            <w:pPr>
              <w:widowControl w:val="0"/>
              <w:jc w:val="both"/>
              <w:rPr>
                <w:rFonts w:hint="default"/>
                <w:b/>
                <w:bCs/>
                <w:sz w:val="24"/>
                <w:szCs w:val="24"/>
                <w:vertAlign w:val="baseline"/>
              </w:rPr>
            </w:pPr>
          </w:p>
          <w:p w14:paraId="19738D50">
            <w:pPr>
              <w:widowControl w:val="0"/>
              <w:jc w:val="both"/>
              <w:rPr>
                <w:rFonts w:hint="default"/>
                <w:b/>
                <w:bCs/>
                <w:sz w:val="24"/>
                <w:szCs w:val="24"/>
                <w:vertAlign w:val="baseline"/>
              </w:rPr>
            </w:pPr>
            <w:r>
              <w:rPr>
                <w:rFonts w:hint="default"/>
                <w:b/>
                <w:bCs/>
                <w:sz w:val="24"/>
                <w:szCs w:val="24"/>
                <w:vertAlign w:val="baseline"/>
              </w:rPr>
              <w:t>TRT MEDICAMENTEUX</w:t>
            </w:r>
          </w:p>
          <w:p w14:paraId="068B810F">
            <w:pPr>
              <w:widowControl w:val="0"/>
              <w:jc w:val="both"/>
              <w:rPr>
                <w:rFonts w:hint="default"/>
                <w:b/>
                <w:bCs/>
                <w:sz w:val="24"/>
                <w:szCs w:val="24"/>
                <w:vertAlign w:val="baseline"/>
              </w:rPr>
            </w:pPr>
            <w:r>
              <w:rPr>
                <w:rFonts w:hint="default"/>
                <w:b/>
                <w:bCs/>
                <w:sz w:val="24"/>
                <w:szCs w:val="24"/>
                <w:vertAlign w:val="baseline"/>
              </w:rPr>
              <w:t>IPP:</w:t>
            </w:r>
          </w:p>
          <w:p w14:paraId="2737AFFD">
            <w:pPr>
              <w:widowControl w:val="0"/>
              <w:jc w:val="both"/>
              <w:rPr>
                <w:rFonts w:hint="default"/>
                <w:sz w:val="24"/>
                <w:szCs w:val="24"/>
                <w:vertAlign w:val="baseline"/>
              </w:rPr>
            </w:pPr>
            <w:r>
              <w:rPr>
                <w:rFonts w:hint="default"/>
                <w:sz w:val="24"/>
                <w:szCs w:val="24"/>
                <w:vertAlign w:val="baseline"/>
                <w:lang w:val="en-US"/>
              </w:rPr>
              <w:t>-</w:t>
            </w:r>
            <w:r>
              <w:rPr>
                <w:rFonts w:hint="default"/>
                <w:sz w:val="24"/>
                <w:szCs w:val="24"/>
                <w:vertAlign w:val="baseline"/>
              </w:rPr>
              <w:t>Bénéfice sur le contrôle des symptômes du RGO,</w:t>
            </w:r>
          </w:p>
          <w:p w14:paraId="11983287">
            <w:pPr>
              <w:widowControl w:val="0"/>
              <w:jc w:val="both"/>
              <w:rPr>
                <w:rFonts w:hint="default"/>
                <w:sz w:val="24"/>
                <w:szCs w:val="24"/>
                <w:vertAlign w:val="baseline"/>
              </w:rPr>
            </w:pPr>
            <w:r>
              <w:rPr>
                <w:rFonts w:hint="default"/>
                <w:sz w:val="24"/>
                <w:szCs w:val="24"/>
                <w:vertAlign w:val="baseline"/>
                <w:lang w:val="en-US"/>
              </w:rPr>
              <w:t>-</w:t>
            </w:r>
            <w:r>
              <w:rPr>
                <w:rFonts w:hint="default"/>
                <w:sz w:val="24"/>
                <w:szCs w:val="24"/>
                <w:vertAlign w:val="baseline"/>
              </w:rPr>
              <w:t>EBO sous IPP peut diminuer de hauteur,</w:t>
            </w:r>
          </w:p>
          <w:p w14:paraId="27095911">
            <w:pPr>
              <w:widowControl w:val="0"/>
              <w:jc w:val="both"/>
              <w:rPr>
                <w:rFonts w:hint="default"/>
                <w:sz w:val="24"/>
                <w:szCs w:val="24"/>
                <w:vertAlign w:val="baseline"/>
              </w:rPr>
            </w:pPr>
            <w:r>
              <w:rPr>
                <w:rFonts w:hint="default"/>
                <w:sz w:val="24"/>
                <w:szCs w:val="24"/>
                <w:vertAlign w:val="baseline"/>
                <w:lang w:val="en-US"/>
              </w:rPr>
              <w:t>-</w:t>
            </w:r>
            <w:r>
              <w:rPr>
                <w:rFonts w:hint="default"/>
                <w:sz w:val="24"/>
                <w:szCs w:val="24"/>
                <w:vertAlign w:val="baseline"/>
              </w:rPr>
              <w:t>Reépithélialisation partielle chez 48% des malades</w:t>
            </w:r>
          </w:p>
          <w:p w14:paraId="77C1764C">
            <w:pPr>
              <w:widowControl w:val="0"/>
              <w:jc w:val="both"/>
              <w:rPr>
                <w:rFonts w:hint="default"/>
                <w:sz w:val="24"/>
                <w:szCs w:val="24"/>
                <w:vertAlign w:val="baseline"/>
              </w:rPr>
            </w:pPr>
            <w:r>
              <w:rPr>
                <w:rFonts w:hint="default"/>
                <w:sz w:val="24"/>
                <w:szCs w:val="24"/>
                <w:vertAlign w:val="baseline"/>
                <w:lang w:val="en-US"/>
              </w:rPr>
              <w:t>-</w:t>
            </w:r>
            <w:r>
              <w:rPr>
                <w:rFonts w:hint="default"/>
                <w:sz w:val="24"/>
                <w:szCs w:val="24"/>
                <w:vertAlign w:val="baseline"/>
              </w:rPr>
              <w:t>Disparition reste rare,</w:t>
            </w:r>
          </w:p>
          <w:p w14:paraId="70AADED7">
            <w:pPr>
              <w:widowControl w:val="0"/>
              <w:jc w:val="both"/>
              <w:rPr>
                <w:rFonts w:hint="default"/>
                <w:b/>
                <w:bCs/>
                <w:sz w:val="24"/>
                <w:szCs w:val="24"/>
                <w:vertAlign w:val="baseline"/>
              </w:rPr>
            </w:pPr>
          </w:p>
          <w:p w14:paraId="5E391117">
            <w:pPr>
              <w:widowControl w:val="0"/>
              <w:jc w:val="both"/>
              <w:rPr>
                <w:rFonts w:hint="default"/>
                <w:b/>
                <w:bCs/>
                <w:sz w:val="24"/>
                <w:szCs w:val="24"/>
                <w:vertAlign w:val="baseline"/>
              </w:rPr>
            </w:pPr>
            <w:r>
              <w:rPr>
                <w:rFonts w:hint="default"/>
                <w:b/>
                <w:bCs/>
                <w:sz w:val="24"/>
                <w:szCs w:val="24"/>
                <w:vertAlign w:val="baseline"/>
              </w:rPr>
              <w:t>TRT chirurgical anti RGO</w:t>
            </w:r>
          </w:p>
          <w:p w14:paraId="422B7C62">
            <w:pPr>
              <w:widowControl w:val="0"/>
              <w:jc w:val="both"/>
              <w:rPr>
                <w:rFonts w:hint="default"/>
                <w:sz w:val="24"/>
                <w:szCs w:val="24"/>
                <w:vertAlign w:val="baseline"/>
              </w:rPr>
            </w:pPr>
            <w:r>
              <w:rPr>
                <w:rFonts w:hint="default"/>
                <w:sz w:val="24"/>
                <w:szCs w:val="24"/>
                <w:vertAlign w:val="baseline"/>
                <w:lang w:val="en-US"/>
              </w:rPr>
              <w:t>-</w:t>
            </w:r>
            <w:r>
              <w:rPr>
                <w:rFonts w:hint="default"/>
                <w:sz w:val="24"/>
                <w:szCs w:val="24"/>
                <w:vertAlign w:val="baseline"/>
              </w:rPr>
              <w:t>Possibilité d’ obtenir une régression des lésions histologiques de MI après chirurgie anti RGO:</w:t>
            </w:r>
          </w:p>
          <w:p w14:paraId="733D0327">
            <w:pPr>
              <w:widowControl w:val="0"/>
              <w:jc w:val="both"/>
              <w:rPr>
                <w:rFonts w:hint="default"/>
                <w:sz w:val="24"/>
                <w:szCs w:val="24"/>
                <w:vertAlign w:val="baseline"/>
              </w:rPr>
            </w:pPr>
          </w:p>
          <w:p w14:paraId="79ADBF09">
            <w:pPr>
              <w:widowControl w:val="0"/>
              <w:ind w:firstLine="240" w:firstLineChars="100"/>
              <w:jc w:val="both"/>
              <w:rPr>
                <w:rFonts w:hint="default"/>
                <w:sz w:val="24"/>
                <w:szCs w:val="24"/>
                <w:vertAlign w:val="baseline"/>
              </w:rPr>
            </w:pPr>
            <w:r>
              <w:rPr>
                <w:rFonts w:hint="default"/>
                <w:sz w:val="24"/>
                <w:szCs w:val="24"/>
                <w:vertAlign w:val="baseline"/>
              </w:rPr>
              <w:t>EBO courts: 33%-64%</w:t>
            </w:r>
          </w:p>
          <w:p w14:paraId="6BDBF157">
            <w:pPr>
              <w:widowControl w:val="0"/>
              <w:jc w:val="both"/>
              <w:rPr>
                <w:rFonts w:hint="default"/>
                <w:sz w:val="24"/>
                <w:szCs w:val="24"/>
                <w:vertAlign w:val="baseline"/>
              </w:rPr>
            </w:pPr>
          </w:p>
          <w:p w14:paraId="3BE43C74">
            <w:pPr>
              <w:widowControl w:val="0"/>
              <w:ind w:firstLine="240" w:firstLineChars="100"/>
              <w:jc w:val="both"/>
              <w:rPr>
                <w:rFonts w:hint="default"/>
                <w:sz w:val="24"/>
                <w:szCs w:val="24"/>
                <w:vertAlign w:val="baseline"/>
              </w:rPr>
            </w:pPr>
            <w:r>
              <w:rPr>
                <w:rFonts w:hint="default"/>
                <w:sz w:val="24"/>
                <w:szCs w:val="24"/>
                <w:vertAlign w:val="baseline"/>
              </w:rPr>
              <w:t>EBO longs: 0-26%</w:t>
            </w:r>
          </w:p>
          <w:p w14:paraId="247C057E">
            <w:pPr>
              <w:widowControl w:val="0"/>
              <w:jc w:val="both"/>
              <w:rPr>
                <w:rFonts w:hint="default"/>
                <w:sz w:val="24"/>
                <w:szCs w:val="24"/>
                <w:vertAlign w:val="baseline"/>
              </w:rPr>
            </w:pPr>
          </w:p>
          <w:p w14:paraId="27C1043A">
            <w:pPr>
              <w:widowControl w:val="0"/>
              <w:jc w:val="both"/>
              <w:rPr>
                <w:rFonts w:hint="default"/>
                <w:sz w:val="24"/>
                <w:szCs w:val="24"/>
                <w:vertAlign w:val="baseline"/>
              </w:rPr>
            </w:pPr>
            <w:r>
              <w:rPr>
                <w:rFonts w:hint="default"/>
                <w:sz w:val="24"/>
                <w:szCs w:val="24"/>
                <w:vertAlign w:val="baseline"/>
                <w:lang w:val="en-US"/>
              </w:rPr>
              <w:t>-</w:t>
            </w:r>
            <w:r>
              <w:rPr>
                <w:rFonts w:hint="default"/>
                <w:sz w:val="24"/>
                <w:szCs w:val="24"/>
                <w:vertAlign w:val="baseline"/>
              </w:rPr>
              <w:t>Possibilité de régression des lésions de dysplasie légère après chirurgie,Dans quelques séries chirurgicales : incidence de dysplasie sévère et de l’ADK chez les patients</w:t>
            </w:r>
            <w:r>
              <w:rPr>
                <w:rFonts w:hint="default"/>
                <w:sz w:val="24"/>
                <w:szCs w:val="24"/>
                <w:vertAlign w:val="baseline"/>
                <w:lang w:val="en-US"/>
              </w:rPr>
              <w:t xml:space="preserve"> </w:t>
            </w:r>
            <w:r>
              <w:rPr>
                <w:rFonts w:hint="default"/>
                <w:sz w:val="24"/>
                <w:szCs w:val="24"/>
                <w:vertAlign w:val="baseline"/>
              </w:rPr>
              <w:t>est</w:t>
            </w:r>
            <w:r>
              <w:rPr>
                <w:rFonts w:hint="default"/>
                <w:sz w:val="24"/>
                <w:szCs w:val="24"/>
                <w:vertAlign w:val="baseline"/>
                <w:lang w:val="en-US"/>
              </w:rPr>
              <w:t xml:space="preserve"> </w:t>
            </w:r>
            <w:r>
              <w:rPr>
                <w:rFonts w:hint="default"/>
                <w:sz w:val="24"/>
                <w:szCs w:val="24"/>
                <w:vertAlign w:val="baseline"/>
              </w:rPr>
              <w:t>bien contrôlés !</w:t>
            </w:r>
          </w:p>
          <w:p w14:paraId="1B3CDFDA">
            <w:pPr>
              <w:widowControl w:val="0"/>
              <w:jc w:val="both"/>
              <w:rPr>
                <w:rFonts w:hint="default"/>
                <w:sz w:val="24"/>
                <w:szCs w:val="24"/>
                <w:vertAlign w:val="baseline"/>
              </w:rPr>
            </w:pPr>
          </w:p>
          <w:p w14:paraId="4E76CEB1">
            <w:pPr>
              <w:widowControl w:val="0"/>
              <w:jc w:val="both"/>
              <w:rPr>
                <w:rFonts w:hint="default"/>
                <w:sz w:val="24"/>
                <w:szCs w:val="24"/>
                <w:vertAlign w:val="baseline"/>
              </w:rPr>
            </w:pPr>
            <w:r>
              <w:rPr>
                <w:rFonts w:hint="default"/>
                <w:b/>
                <w:bCs/>
                <w:sz w:val="24"/>
                <w:szCs w:val="24"/>
                <w:vertAlign w:val="baseline"/>
              </w:rPr>
              <w:t xml:space="preserve">Résection chirurgicale de l’EBO </w:t>
            </w:r>
            <w:r>
              <w:rPr>
                <w:rFonts w:hint="default"/>
                <w:sz w:val="24"/>
                <w:szCs w:val="24"/>
                <w:vertAlign w:val="baseline"/>
              </w:rPr>
              <w:t>:</w:t>
            </w:r>
            <w:r>
              <w:rPr>
                <w:rFonts w:hint="default"/>
                <w:sz w:val="24"/>
                <w:szCs w:val="24"/>
                <w:vertAlign w:val="baseline"/>
                <w:lang w:val="en-US"/>
              </w:rPr>
              <w:t xml:space="preserve"> </w:t>
            </w:r>
            <w:r>
              <w:rPr>
                <w:rFonts w:hint="default"/>
                <w:sz w:val="24"/>
                <w:szCs w:val="24"/>
                <w:vertAlign w:val="baseline"/>
              </w:rPr>
              <w:t>Traitement de référence</w:t>
            </w:r>
          </w:p>
          <w:p w14:paraId="61EA9B07">
            <w:pPr>
              <w:widowControl w:val="0"/>
              <w:jc w:val="both"/>
              <w:rPr>
                <w:rFonts w:hint="default"/>
                <w:sz w:val="24"/>
                <w:szCs w:val="24"/>
                <w:vertAlign w:val="baseline"/>
              </w:rPr>
            </w:pPr>
            <w:r>
              <w:rPr>
                <w:rFonts w:hint="default"/>
                <w:b/>
                <w:bCs/>
                <w:sz w:val="24"/>
                <w:szCs w:val="24"/>
                <w:vertAlign w:val="baseline"/>
                <w:lang w:val="en-US"/>
              </w:rPr>
              <w:t>-</w:t>
            </w:r>
            <w:r>
              <w:rPr>
                <w:rFonts w:hint="default"/>
                <w:b/>
                <w:bCs/>
                <w:sz w:val="24"/>
                <w:szCs w:val="24"/>
                <w:vertAlign w:val="baseline"/>
              </w:rPr>
              <w:t xml:space="preserve">Indications </w:t>
            </w:r>
            <w:r>
              <w:rPr>
                <w:rFonts w:hint="default"/>
                <w:sz w:val="24"/>
                <w:szCs w:val="24"/>
                <w:vertAlign w:val="baseline"/>
              </w:rPr>
              <w:t xml:space="preserve">: </w:t>
            </w:r>
          </w:p>
          <w:p w14:paraId="482DC8B5">
            <w:pPr>
              <w:keepNext w:val="0"/>
              <w:keepLines w:val="0"/>
              <w:widowControl/>
              <w:suppressLineNumbers w:val="0"/>
              <w:jc w:val="left"/>
              <w:rPr>
                <w:rFonts w:hint="default"/>
                <w:lang w:val="en-US"/>
              </w:rPr>
            </w:pPr>
            <w:r>
              <w:rPr>
                <w:rFonts w:hint="default"/>
                <w:sz w:val="24"/>
                <w:szCs w:val="24"/>
                <w:vertAlign w:val="baseline"/>
              </w:rPr>
              <w:t>Dysplasie de haut grade</w:t>
            </w:r>
            <w:r>
              <w:rPr>
                <w:rFonts w:hint="default"/>
                <w:sz w:val="24"/>
                <w:szCs w:val="24"/>
                <w:vertAlign w:val="baseline"/>
                <w:lang w:val="en-US"/>
              </w:rPr>
              <w:t xml:space="preserve"> (</w:t>
            </w:r>
            <w:r>
              <w:rPr>
                <w:rFonts w:ascii="-webkit-standard" w:hAnsi="-webkit-standard" w:eastAsia="-webkit-standard" w:cs="-webkit-standard"/>
                <w:i w:val="0"/>
                <w:iCs w:val="0"/>
                <w:caps w:val="0"/>
                <w:color w:val="000000"/>
                <w:spacing w:val="0"/>
                <w:kern w:val="0"/>
                <w:sz w:val="27"/>
                <w:szCs w:val="27"/>
                <w:u w:val="none"/>
                <w:lang w:val="en-US" w:eastAsia="zh-CN" w:bidi="ar"/>
              </w:rPr>
              <w:t>mucosectomie endoscopique</w:t>
            </w:r>
            <w:r>
              <w:rPr>
                <w:rFonts w:hint="default" w:ascii="-webkit-standard" w:hAnsi="-webkit-standard" w:eastAsia="-webkit-standard" w:cs="-webkit-standard"/>
                <w:i w:val="0"/>
                <w:iCs w:val="0"/>
                <w:caps w:val="0"/>
                <w:color w:val="000000"/>
                <w:spacing w:val="0"/>
                <w:kern w:val="0"/>
                <w:sz w:val="27"/>
                <w:szCs w:val="27"/>
                <w:u w:val="none"/>
                <w:lang w:val="en-US" w:eastAsia="zh-CN" w:bidi="ar"/>
              </w:rPr>
              <w:t>)</w:t>
            </w:r>
          </w:p>
          <w:p w14:paraId="5F666795">
            <w:pPr>
              <w:widowControl w:val="0"/>
              <w:jc w:val="both"/>
              <w:rPr>
                <w:rFonts w:hint="default"/>
                <w:sz w:val="24"/>
                <w:szCs w:val="24"/>
                <w:vertAlign w:val="baseline"/>
              </w:rPr>
            </w:pPr>
            <w:r>
              <w:rPr>
                <w:rFonts w:hint="default"/>
                <w:sz w:val="24"/>
                <w:szCs w:val="24"/>
                <w:vertAlign w:val="baseline"/>
              </w:rPr>
              <w:t>Carcinome in situ</w:t>
            </w:r>
          </w:p>
          <w:p w14:paraId="4C6675C1">
            <w:pPr>
              <w:widowControl w:val="0"/>
              <w:jc w:val="both"/>
              <w:rPr>
                <w:vertAlign w:val="baseline"/>
              </w:rPr>
            </w:pPr>
            <w:r>
              <w:rPr>
                <w:rFonts w:hint="default"/>
                <w:sz w:val="24"/>
                <w:szCs w:val="24"/>
                <w:vertAlign w:val="baseline"/>
              </w:rPr>
              <w:t>Adénocarcinome</w:t>
            </w:r>
          </w:p>
        </w:tc>
      </w:tr>
      <w:tr w14:paraId="7839F6B4">
        <w:tc>
          <w:tcPr>
            <w:tcW w:w="427" w:type="dxa"/>
          </w:tcPr>
          <w:p w14:paraId="4ECD59C8">
            <w:pPr>
              <w:widowControl w:val="0"/>
              <w:numPr>
                <w:ilvl w:val="0"/>
                <w:numId w:val="1"/>
              </w:numPr>
              <w:ind w:left="425" w:leftChars="0" w:hanging="425" w:firstLineChars="0"/>
              <w:jc w:val="both"/>
              <w:rPr>
                <w:vertAlign w:val="baseline"/>
              </w:rPr>
            </w:pPr>
          </w:p>
        </w:tc>
        <w:tc>
          <w:tcPr>
            <w:tcW w:w="607" w:type="dxa"/>
          </w:tcPr>
          <w:p w14:paraId="00964307">
            <w:pPr>
              <w:widowControl w:val="0"/>
              <w:jc w:val="both"/>
              <w:rPr>
                <w:rFonts w:hint="default"/>
                <w:vertAlign w:val="baseline"/>
                <w:lang w:val="en-US"/>
              </w:rPr>
            </w:pPr>
            <w:r>
              <w:rPr>
                <w:rFonts w:hint="default"/>
                <w:vertAlign w:val="baseline"/>
                <w:lang w:val="en-US"/>
              </w:rPr>
              <w:t>A</w:t>
            </w:r>
          </w:p>
        </w:tc>
        <w:tc>
          <w:tcPr>
            <w:tcW w:w="9106" w:type="dxa"/>
          </w:tcPr>
          <w:p w14:paraId="1F7DA34E">
            <w:pPr>
              <w:widowControl w:val="0"/>
              <w:jc w:val="both"/>
              <w:rPr>
                <w:rFonts w:hint="default"/>
                <w:sz w:val="24"/>
                <w:szCs w:val="24"/>
                <w:vertAlign w:val="baseline"/>
                <w:lang w:val="en-US" w:eastAsia="zh-CN"/>
              </w:rPr>
            </w:pPr>
            <w:r>
              <w:rPr>
                <w:rFonts w:hint="default"/>
                <w:sz w:val="24"/>
                <w:szCs w:val="24"/>
                <w:vertAlign w:val="baseline"/>
                <w:lang w:val="en-US" w:eastAsia="zh-CN"/>
              </w:rPr>
              <w:t xml:space="preserve">-Les sténoses œsophagiennes </w:t>
            </w:r>
            <w:r>
              <w:rPr>
                <w:rFonts w:hint="default"/>
                <w:b/>
                <w:bCs/>
                <w:sz w:val="24"/>
                <w:szCs w:val="24"/>
                <w:vertAlign w:val="baseline"/>
                <w:lang w:val="en-US" w:eastAsia="zh-CN"/>
              </w:rPr>
              <w:t xml:space="preserve">courtes, axiales et régulières </w:t>
            </w:r>
            <w:r>
              <w:rPr>
                <w:rFonts w:hint="default"/>
                <w:sz w:val="24"/>
                <w:szCs w:val="24"/>
                <w:vertAlign w:val="baseline"/>
                <w:lang w:val="en-US" w:eastAsia="zh-CN"/>
              </w:rPr>
              <w:t xml:space="preserve">sont traitées par dilatation (aux bougies de Savary+++ ou par </w:t>
            </w:r>
          </w:p>
          <w:p w14:paraId="1502C3C5">
            <w:pPr>
              <w:widowControl w:val="0"/>
              <w:jc w:val="both"/>
              <w:rPr>
                <w:rFonts w:hint="default"/>
                <w:sz w:val="24"/>
                <w:szCs w:val="24"/>
                <w:vertAlign w:val="baseline"/>
                <w:lang w:val="en-US" w:eastAsia="zh-CN"/>
              </w:rPr>
            </w:pPr>
            <w:r>
              <w:rPr>
                <w:rFonts w:hint="default"/>
                <w:sz w:val="24"/>
                <w:szCs w:val="24"/>
                <w:vertAlign w:val="baseline"/>
                <w:lang w:val="en-US" w:eastAsia="zh-CN"/>
              </w:rPr>
              <w:t xml:space="preserve">dilatation pneumatique). Par contre, si elles sont </w:t>
            </w:r>
            <w:r>
              <w:rPr>
                <w:rFonts w:hint="default"/>
                <w:b/>
                <w:bCs/>
                <w:sz w:val="24"/>
                <w:szCs w:val="24"/>
                <w:vertAlign w:val="baseline"/>
                <w:lang w:val="en-US" w:eastAsia="zh-CN"/>
              </w:rPr>
              <w:t>longues, irrégulières et excentrées</w:t>
            </w:r>
            <w:r>
              <w:rPr>
                <w:rFonts w:hint="default"/>
                <w:sz w:val="24"/>
                <w:szCs w:val="24"/>
                <w:vertAlign w:val="baseline"/>
                <w:lang w:val="en-US" w:eastAsia="zh-CN"/>
              </w:rPr>
              <w:t xml:space="preserve">, on pratique une oesophagoplastie </w:t>
            </w:r>
          </w:p>
          <w:p w14:paraId="7CABFD86">
            <w:pPr>
              <w:widowControl w:val="0"/>
              <w:jc w:val="both"/>
              <w:rPr>
                <w:rFonts w:hint="default"/>
                <w:sz w:val="24"/>
                <w:szCs w:val="24"/>
                <w:vertAlign w:val="baseline"/>
                <w:lang w:val="en-US" w:eastAsia="zh-CN"/>
              </w:rPr>
            </w:pPr>
            <w:r>
              <w:rPr>
                <w:rFonts w:hint="default"/>
                <w:sz w:val="24"/>
                <w:szCs w:val="24"/>
                <w:vertAlign w:val="baseline"/>
                <w:lang w:val="en-US" w:eastAsia="zh-CN"/>
              </w:rPr>
              <w:t>(plastie colique avec le côlon transverse pour l’adulte et le côlon droit pour l’enfant).</w:t>
            </w:r>
          </w:p>
          <w:p w14:paraId="45A5000B">
            <w:pPr>
              <w:widowControl w:val="0"/>
              <w:jc w:val="both"/>
              <w:rPr>
                <w:rFonts w:hint="default"/>
                <w:sz w:val="24"/>
                <w:szCs w:val="24"/>
                <w:vertAlign w:val="baseline"/>
                <w:lang w:val="en-US" w:eastAsia="zh-CN"/>
              </w:rPr>
            </w:pPr>
          </w:p>
          <w:p w14:paraId="58508E1E">
            <w:pPr>
              <w:widowControl w:val="0"/>
              <w:jc w:val="both"/>
              <w:rPr>
                <w:sz w:val="24"/>
                <w:szCs w:val="24"/>
                <w:vertAlign w:val="baseline"/>
              </w:rPr>
            </w:pPr>
            <w:r>
              <w:rPr>
                <w:rFonts w:hint="default"/>
                <w:sz w:val="24"/>
                <w:szCs w:val="24"/>
                <w:vertAlign w:val="baseline"/>
                <w:lang w:val="en-US" w:eastAsia="zh-CN"/>
              </w:rPr>
              <w:t>-</w:t>
            </w:r>
            <w:r>
              <w:rPr>
                <w:sz w:val="24"/>
                <w:szCs w:val="24"/>
                <w:vertAlign w:val="baseline"/>
                <w:lang w:val="en-US" w:eastAsia="zh-CN"/>
              </w:rPr>
              <w:t>En cas de</w:t>
            </w:r>
            <w:r>
              <w:rPr>
                <w:rFonts w:hint="default"/>
                <w:sz w:val="24"/>
                <w:szCs w:val="24"/>
                <w:vertAlign w:val="baseline"/>
                <w:lang w:val="en-US" w:eastAsia="zh-CN"/>
              </w:rPr>
              <w:t> </w:t>
            </w:r>
            <w:r>
              <w:rPr>
                <w:sz w:val="24"/>
                <w:szCs w:val="24"/>
                <w:vertAlign w:val="baseline"/>
                <w:lang w:val="en-US" w:eastAsia="zh-CN"/>
              </w:rPr>
              <w:t>sténoses œsophagiennes caustiques réfractaires</w:t>
            </w:r>
            <w:r>
              <w:rPr>
                <w:rFonts w:hint="default"/>
                <w:sz w:val="24"/>
                <w:szCs w:val="24"/>
                <w:vertAlign w:val="baseline"/>
                <w:lang w:val="en-US" w:eastAsia="zh-CN"/>
              </w:rPr>
              <w:t>, l</w:t>
            </w:r>
            <w:r>
              <w:rPr>
                <w:rFonts w:hint="default"/>
                <w:b/>
                <w:bCs/>
                <w:sz w:val="24"/>
                <w:szCs w:val="24"/>
                <w:vertAlign w:val="baseline"/>
                <w:lang w:val="en-US" w:eastAsia="zh-CN"/>
              </w:rPr>
              <w:t>a </w:t>
            </w:r>
            <w:r>
              <w:rPr>
                <w:b/>
                <w:bCs/>
                <w:sz w:val="24"/>
                <w:szCs w:val="24"/>
                <w:vertAlign w:val="baseline"/>
                <w:lang w:val="en-US" w:eastAsia="zh-CN"/>
              </w:rPr>
              <w:t>chirurgie reconstructive avec œsophagectomie et interposition digestive</w:t>
            </w:r>
            <w:r>
              <w:rPr>
                <w:rFonts w:hint="default"/>
                <w:b/>
                <w:bCs/>
                <w:sz w:val="24"/>
                <w:szCs w:val="24"/>
                <w:vertAlign w:val="baseline"/>
                <w:lang w:val="en-US" w:eastAsia="zh-CN"/>
              </w:rPr>
              <w:t> est la meilleure option à long terme.</w:t>
            </w:r>
          </w:p>
        </w:tc>
      </w:tr>
      <w:tr w14:paraId="6639B9FB">
        <w:tc>
          <w:tcPr>
            <w:tcW w:w="427" w:type="dxa"/>
          </w:tcPr>
          <w:p w14:paraId="1C3B6C0D">
            <w:pPr>
              <w:widowControl w:val="0"/>
              <w:numPr>
                <w:ilvl w:val="0"/>
                <w:numId w:val="1"/>
              </w:numPr>
              <w:ind w:left="425" w:leftChars="0" w:hanging="425" w:firstLineChars="0"/>
              <w:jc w:val="both"/>
              <w:rPr>
                <w:vertAlign w:val="baseline"/>
              </w:rPr>
            </w:pPr>
          </w:p>
        </w:tc>
        <w:tc>
          <w:tcPr>
            <w:tcW w:w="607" w:type="dxa"/>
          </w:tcPr>
          <w:p w14:paraId="5D554F6E">
            <w:pPr>
              <w:widowControl w:val="0"/>
              <w:jc w:val="both"/>
              <w:rPr>
                <w:rFonts w:hint="default"/>
                <w:vertAlign w:val="baseline"/>
                <w:lang w:val="en-US"/>
              </w:rPr>
            </w:pPr>
            <w:r>
              <w:rPr>
                <w:rFonts w:hint="default"/>
                <w:vertAlign w:val="baseline"/>
                <w:lang w:val="en-US"/>
              </w:rPr>
              <w:t>D</w:t>
            </w:r>
          </w:p>
        </w:tc>
        <w:tc>
          <w:tcPr>
            <w:tcW w:w="9106" w:type="dxa"/>
          </w:tcPr>
          <w:p w14:paraId="0A033FA3">
            <w:pPr>
              <w:widowControl w:val="0"/>
              <w:jc w:val="both"/>
              <w:rPr>
                <w:sz w:val="24"/>
                <w:szCs w:val="24"/>
                <w:vertAlign w:val="baseline"/>
              </w:rPr>
            </w:pPr>
            <w:r>
              <w:rPr>
                <w:b/>
                <w:bCs/>
                <w:sz w:val="24"/>
                <w:szCs w:val="24"/>
                <w:vertAlign w:val="baseline"/>
                <w:lang w:val="en-US" w:eastAsia="zh-CN"/>
              </w:rPr>
              <w:t>L’achalasie</w:t>
            </w:r>
            <w:r>
              <w:rPr>
                <w:sz w:val="24"/>
                <w:szCs w:val="24"/>
                <w:vertAlign w:val="baseline"/>
                <w:lang w:val="en-US" w:eastAsia="zh-CN"/>
              </w:rPr>
              <w:t xml:space="preserve"> peut se voir à tout âge, sex ratio = 1, et formes familiales rares, mais possibles. </w:t>
            </w:r>
          </w:p>
          <w:p w14:paraId="52000A45">
            <w:pPr>
              <w:widowControl w:val="0"/>
              <w:jc w:val="both"/>
              <w:rPr>
                <w:sz w:val="24"/>
                <w:szCs w:val="24"/>
                <w:vertAlign w:val="baseline"/>
              </w:rPr>
            </w:pPr>
            <w:r>
              <w:rPr>
                <w:sz w:val="24"/>
                <w:szCs w:val="24"/>
                <w:vertAlign w:val="baseline"/>
                <w:lang w:val="en-US" w:eastAsia="zh-CN"/>
              </w:rPr>
              <w:t xml:space="preserve">o </w:t>
            </w:r>
            <w:r>
              <w:rPr>
                <w:rFonts w:hint="default"/>
                <w:b/>
                <w:bCs/>
                <w:sz w:val="24"/>
                <w:szCs w:val="24"/>
                <w:vertAlign w:val="baseline"/>
                <w:lang w:val="en-US" w:eastAsia="zh-CN"/>
              </w:rPr>
              <w:t>La pathogénie</w:t>
            </w:r>
            <w:r>
              <w:rPr>
                <w:rFonts w:hint="default"/>
                <w:sz w:val="24"/>
                <w:szCs w:val="24"/>
                <w:vertAlign w:val="baseline"/>
                <w:lang w:val="en-US" w:eastAsia="zh-CN"/>
              </w:rPr>
              <w:t xml:space="preserve"> est mal élucidée, mais on suppose que c’est la conséquence de la déficience de la commande vagale inhibitrice par disparition des neurones inhibiteurs à NO et VIP du plexus myentérique. </w:t>
            </w:r>
          </w:p>
          <w:p w14:paraId="104B4962">
            <w:pPr>
              <w:widowControl w:val="0"/>
              <w:jc w:val="both"/>
              <w:rPr>
                <w:sz w:val="24"/>
                <w:szCs w:val="24"/>
                <w:vertAlign w:val="baseline"/>
              </w:rPr>
            </w:pPr>
            <w:r>
              <w:rPr>
                <w:rFonts w:hint="default"/>
                <w:sz w:val="24"/>
                <w:szCs w:val="24"/>
                <w:vertAlign w:val="baseline"/>
                <w:lang w:val="en-US" w:eastAsia="zh-CN"/>
              </w:rPr>
              <w:t xml:space="preserve">o </w:t>
            </w:r>
            <w:r>
              <w:rPr>
                <w:rFonts w:hint="default"/>
                <w:b/>
                <w:bCs/>
                <w:sz w:val="24"/>
                <w:szCs w:val="24"/>
                <w:vertAlign w:val="baseline"/>
                <w:lang w:val="en-US" w:eastAsia="zh-CN"/>
              </w:rPr>
              <w:t>Cliniquement</w:t>
            </w:r>
            <w:r>
              <w:rPr>
                <w:rFonts w:hint="default"/>
                <w:sz w:val="24"/>
                <w:szCs w:val="24"/>
                <w:vertAlign w:val="baseline"/>
                <w:lang w:val="en-US" w:eastAsia="zh-CN"/>
              </w:rPr>
              <w:t xml:space="preserve">, elle peut se manifester par une dysphagie (symptôme le plus fréquent et le plus précoce, elle est paradoxale), des régurgitations, des douleurs thoraciques et un AMG. </w:t>
            </w:r>
          </w:p>
          <w:p w14:paraId="003C3625">
            <w:pPr>
              <w:widowControl w:val="0"/>
              <w:jc w:val="both"/>
              <w:rPr>
                <w:sz w:val="24"/>
                <w:szCs w:val="24"/>
                <w:vertAlign w:val="baseline"/>
              </w:rPr>
            </w:pPr>
            <w:r>
              <w:rPr>
                <w:rFonts w:hint="default"/>
                <w:sz w:val="24"/>
                <w:szCs w:val="24"/>
                <w:vertAlign w:val="baseline"/>
                <w:lang w:val="en-US" w:eastAsia="zh-CN"/>
              </w:rPr>
              <w:t xml:space="preserve">o </w:t>
            </w:r>
            <w:r>
              <w:rPr>
                <w:rFonts w:hint="default"/>
                <w:b/>
                <w:bCs/>
                <w:sz w:val="24"/>
                <w:szCs w:val="24"/>
                <w:vertAlign w:val="baseline"/>
                <w:lang w:val="en-US" w:eastAsia="zh-CN"/>
              </w:rPr>
              <w:t>À l’endoscopie</w:t>
            </w:r>
            <w:r>
              <w:rPr>
                <w:rFonts w:hint="default"/>
                <w:sz w:val="24"/>
                <w:szCs w:val="24"/>
                <w:vertAlign w:val="baseline"/>
                <w:lang w:val="en-US" w:eastAsia="zh-CN"/>
              </w:rPr>
              <w:t xml:space="preserve">, on retrouve un ressaut de l’endoscope au passage du cardia (inconstant) et le cardia présente un aspect de </w:t>
            </w:r>
          </w:p>
          <w:p w14:paraId="78E964D1">
            <w:pPr>
              <w:widowControl w:val="0"/>
              <w:jc w:val="both"/>
              <w:rPr>
                <w:sz w:val="24"/>
                <w:szCs w:val="24"/>
                <w:vertAlign w:val="baseline"/>
              </w:rPr>
            </w:pPr>
            <w:r>
              <w:rPr>
                <w:rFonts w:hint="default"/>
                <w:sz w:val="24"/>
                <w:szCs w:val="24"/>
                <w:vertAlign w:val="baseline"/>
                <w:lang w:val="en-US" w:eastAsia="zh-CN"/>
              </w:rPr>
              <w:t xml:space="preserve">rosette (ne pas oublier de biopsier -&gt; l’achalasie est un état précancéreux). </w:t>
            </w:r>
          </w:p>
          <w:p w14:paraId="5964F6D1">
            <w:pPr>
              <w:widowControl w:val="0"/>
              <w:jc w:val="both"/>
              <w:rPr>
                <w:sz w:val="24"/>
                <w:szCs w:val="24"/>
                <w:vertAlign w:val="baseline"/>
              </w:rPr>
            </w:pPr>
            <w:r>
              <w:rPr>
                <w:rFonts w:hint="default"/>
                <w:sz w:val="24"/>
                <w:szCs w:val="24"/>
                <w:vertAlign w:val="baseline"/>
                <w:lang w:val="en-US" w:eastAsia="zh-CN"/>
              </w:rPr>
              <w:t xml:space="preserve">o </w:t>
            </w:r>
            <w:r>
              <w:rPr>
                <w:rFonts w:hint="default"/>
                <w:b/>
                <w:bCs/>
                <w:sz w:val="24"/>
                <w:szCs w:val="24"/>
                <w:vertAlign w:val="baseline"/>
                <w:lang w:val="en-US" w:eastAsia="zh-CN"/>
              </w:rPr>
              <w:t>Au TOGD,</w:t>
            </w:r>
            <w:r>
              <w:rPr>
                <w:rFonts w:hint="default"/>
                <w:sz w:val="24"/>
                <w:szCs w:val="24"/>
                <w:vertAlign w:val="baseline"/>
                <w:lang w:val="en-US" w:eastAsia="zh-CN"/>
              </w:rPr>
              <w:t xml:space="preserve"> on retrouve un aspect en radis. </w:t>
            </w:r>
            <w:r>
              <w:rPr>
                <w:sz w:val="24"/>
                <w:szCs w:val="24"/>
                <w:vertAlign w:val="baseline"/>
              </w:rPr>
              <w:drawing>
                <wp:inline distT="0" distB="0" distL="114300" distR="114300">
                  <wp:extent cx="3329305" cy="2870200"/>
                  <wp:effectExtent l="0" t="0" r="23495" b="0"/>
                  <wp:docPr id="1" name="Picture 1" descr="Screenshot 2026-02-14 at 12.04.5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2-14 at 12.04.58 PM"/>
                          <pic:cNvPicPr>
                            <a:picLocks noChangeAspect="1"/>
                          </pic:cNvPicPr>
                        </pic:nvPicPr>
                        <pic:blipFill>
                          <a:blip r:embed="rId6"/>
                          <a:stretch>
                            <a:fillRect/>
                          </a:stretch>
                        </pic:blipFill>
                        <pic:spPr>
                          <a:xfrm>
                            <a:off x="0" y="0"/>
                            <a:ext cx="3329305" cy="2870200"/>
                          </a:xfrm>
                          <a:prstGeom prst="rect">
                            <a:avLst/>
                          </a:prstGeom>
                        </pic:spPr>
                      </pic:pic>
                    </a:graphicData>
                  </a:graphic>
                </wp:inline>
              </w:drawing>
            </w:r>
          </w:p>
          <w:p w14:paraId="62AA77E7">
            <w:pPr>
              <w:widowControl w:val="0"/>
              <w:jc w:val="both"/>
              <w:rPr>
                <w:sz w:val="24"/>
                <w:szCs w:val="24"/>
                <w:vertAlign w:val="baseline"/>
              </w:rPr>
            </w:pPr>
            <w:r>
              <w:rPr>
                <w:rFonts w:hint="default"/>
                <w:sz w:val="24"/>
                <w:szCs w:val="24"/>
                <w:vertAlign w:val="baseline"/>
                <w:lang w:val="en-US" w:eastAsia="zh-CN"/>
              </w:rPr>
              <w:t xml:space="preserve">o </w:t>
            </w:r>
            <w:r>
              <w:rPr>
                <w:rFonts w:hint="default"/>
                <w:b/>
                <w:bCs/>
                <w:sz w:val="24"/>
                <w:szCs w:val="24"/>
                <w:vertAlign w:val="baseline"/>
                <w:lang w:val="en-US" w:eastAsia="zh-CN"/>
              </w:rPr>
              <w:t>À la manométrie</w:t>
            </w:r>
            <w:r>
              <w:rPr>
                <w:rFonts w:hint="default"/>
                <w:sz w:val="24"/>
                <w:szCs w:val="24"/>
                <w:vertAlign w:val="baseline"/>
                <w:lang w:val="en-US" w:eastAsia="zh-CN"/>
              </w:rPr>
              <w:t xml:space="preserve">, on retrouve une absence de relaxation ou relaxation incomplète du SIO après une déglutition (+++), un </w:t>
            </w:r>
          </w:p>
          <w:p w14:paraId="53645CDB">
            <w:pPr>
              <w:widowControl w:val="0"/>
              <w:jc w:val="both"/>
              <w:rPr>
                <w:sz w:val="24"/>
                <w:szCs w:val="24"/>
                <w:vertAlign w:val="baseline"/>
              </w:rPr>
            </w:pPr>
            <w:r>
              <w:rPr>
                <w:rFonts w:hint="default"/>
                <w:sz w:val="24"/>
                <w:szCs w:val="24"/>
                <w:vertAlign w:val="baseline"/>
                <w:lang w:val="en-US" w:eastAsia="zh-CN"/>
              </w:rPr>
              <w:t>apéristaltisme (+++) et une hypertonie du SIO (inconstante, pression &gt; 25 mmHg).</w:t>
            </w:r>
          </w:p>
          <w:p w14:paraId="68DA1528">
            <w:pPr>
              <w:widowControl w:val="0"/>
              <w:jc w:val="both"/>
              <w:rPr>
                <w:vertAlign w:val="baseline"/>
              </w:rPr>
            </w:pPr>
          </w:p>
        </w:tc>
      </w:tr>
      <w:tr w14:paraId="561B4C2E">
        <w:tc>
          <w:tcPr>
            <w:tcW w:w="427" w:type="dxa"/>
          </w:tcPr>
          <w:p w14:paraId="526ECC8C">
            <w:pPr>
              <w:widowControl w:val="0"/>
              <w:numPr>
                <w:ilvl w:val="0"/>
                <w:numId w:val="1"/>
              </w:numPr>
              <w:ind w:left="425" w:leftChars="0" w:hanging="425" w:firstLineChars="0"/>
              <w:jc w:val="both"/>
              <w:rPr>
                <w:vertAlign w:val="baseline"/>
              </w:rPr>
            </w:pPr>
          </w:p>
        </w:tc>
        <w:tc>
          <w:tcPr>
            <w:tcW w:w="607" w:type="dxa"/>
          </w:tcPr>
          <w:p w14:paraId="3F8D7FBD">
            <w:pPr>
              <w:widowControl w:val="0"/>
              <w:jc w:val="both"/>
              <w:rPr>
                <w:rFonts w:hint="default"/>
                <w:vertAlign w:val="baseline"/>
                <w:lang w:val="en-US"/>
              </w:rPr>
            </w:pPr>
            <w:r>
              <w:rPr>
                <w:rFonts w:hint="default"/>
                <w:vertAlign w:val="baseline"/>
                <w:lang w:val="en-US"/>
              </w:rPr>
              <w:t>B</w:t>
            </w:r>
          </w:p>
        </w:tc>
        <w:tc>
          <w:tcPr>
            <w:tcW w:w="9106" w:type="dxa"/>
          </w:tcPr>
          <w:p w14:paraId="4B0438B9">
            <w:pPr>
              <w:widowControl w:val="0"/>
              <w:jc w:val="both"/>
              <w:rPr>
                <w:rFonts w:hint="default"/>
                <w:sz w:val="24"/>
                <w:szCs w:val="24"/>
                <w:vertAlign w:val="baseline"/>
              </w:rPr>
            </w:pPr>
            <w:r>
              <w:rPr>
                <w:rFonts w:hint="default"/>
                <w:sz w:val="24"/>
                <w:szCs w:val="24"/>
                <w:vertAlign w:val="baseline"/>
                <w:lang w:val="en-US"/>
              </w:rPr>
              <w:t xml:space="preserve">-le traitement chirurgicale </w:t>
            </w:r>
            <w:r>
              <w:rPr>
                <w:rFonts w:hint="default"/>
                <w:sz w:val="24"/>
                <w:szCs w:val="24"/>
                <w:vertAlign w:val="baseline"/>
              </w:rPr>
              <w:t xml:space="preserve"> </w:t>
            </w:r>
            <w:r>
              <w:rPr>
                <w:rFonts w:hint="default"/>
                <w:b/>
                <w:bCs/>
                <w:sz w:val="24"/>
                <w:szCs w:val="24"/>
                <w:vertAlign w:val="baseline"/>
              </w:rPr>
              <w:t xml:space="preserve">n'est plus indiqué </w:t>
            </w:r>
            <w:r>
              <w:rPr>
                <w:rFonts w:hint="default"/>
                <w:sz w:val="24"/>
                <w:szCs w:val="24"/>
                <w:vertAlign w:val="baseline"/>
              </w:rPr>
              <w:t>que pour les traitements curatifs → Pas de chirurgie palliative +++.</w:t>
            </w:r>
          </w:p>
          <w:p w14:paraId="5EC2F754">
            <w:pPr>
              <w:widowControl w:val="0"/>
              <w:jc w:val="both"/>
              <w:rPr>
                <w:rFonts w:hint="default"/>
                <w:sz w:val="24"/>
                <w:szCs w:val="24"/>
                <w:vertAlign w:val="baseline"/>
                <w:lang w:val="en-US"/>
              </w:rPr>
            </w:pPr>
            <w:r>
              <w:rPr>
                <w:rFonts w:hint="default"/>
                <w:sz w:val="24"/>
                <w:szCs w:val="24"/>
                <w:vertAlign w:val="baseline"/>
                <w:lang w:val="en-US"/>
              </w:rPr>
              <w:t xml:space="preserve">-Une fistule oesotrachéale ou oesobronchique </w:t>
            </w:r>
            <w:r>
              <w:rPr>
                <w:rFonts w:hint="default"/>
                <w:b/>
                <w:bCs/>
                <w:sz w:val="24"/>
                <w:szCs w:val="24"/>
                <w:vertAlign w:val="baseline"/>
                <w:lang w:val="en-US"/>
              </w:rPr>
              <w:t xml:space="preserve">contre indique </w:t>
            </w:r>
            <w:r>
              <w:rPr>
                <w:rFonts w:hint="default"/>
                <w:sz w:val="24"/>
                <w:szCs w:val="24"/>
                <w:vertAlign w:val="baseline"/>
                <w:lang w:val="en-US"/>
              </w:rPr>
              <w:t>la radiothérapie</w:t>
            </w:r>
          </w:p>
          <w:p w14:paraId="020D76CE">
            <w:pPr>
              <w:widowControl w:val="0"/>
              <w:jc w:val="both"/>
              <w:rPr>
                <w:rFonts w:hint="default"/>
                <w:b/>
                <w:bCs/>
                <w:sz w:val="24"/>
                <w:szCs w:val="24"/>
                <w:vertAlign w:val="baseline"/>
                <w:lang w:val="en-US"/>
              </w:rPr>
            </w:pPr>
            <w:r>
              <w:rPr>
                <w:rFonts w:hint="default"/>
                <w:b/>
                <w:bCs/>
                <w:sz w:val="24"/>
                <w:szCs w:val="24"/>
                <w:vertAlign w:val="baseline"/>
                <w:lang w:val="en-US"/>
              </w:rPr>
              <w:t>TRAITEMENT PALIATIVE ENDOSCOPIQUE</w:t>
            </w:r>
          </w:p>
          <w:p w14:paraId="4FF6C2EB">
            <w:pPr>
              <w:widowControl w:val="0"/>
              <w:jc w:val="both"/>
              <w:rPr>
                <w:rFonts w:hint="default"/>
                <w:sz w:val="24"/>
                <w:szCs w:val="24"/>
                <w:vertAlign w:val="baseline"/>
                <w:lang w:val="en-US"/>
              </w:rPr>
            </w:pPr>
            <w:r>
              <w:rPr>
                <w:rFonts w:hint="default"/>
                <w:sz w:val="24"/>
                <w:szCs w:val="24"/>
                <w:vertAlign w:val="baseline"/>
                <w:lang w:val="en-US"/>
              </w:rPr>
              <w:t>•</w:t>
            </w:r>
            <w:r>
              <w:rPr>
                <w:rFonts w:hint="default"/>
                <w:b/>
                <w:bCs/>
                <w:sz w:val="24"/>
                <w:szCs w:val="24"/>
                <w:vertAlign w:val="baseline"/>
                <w:lang w:val="en-US"/>
              </w:rPr>
              <w:t xml:space="preserve"> Dilatation œsophagienne</w:t>
            </w:r>
            <w:r>
              <w:rPr>
                <w:rFonts w:hint="default"/>
                <w:sz w:val="24"/>
                <w:szCs w:val="24"/>
                <w:vertAlign w:val="baseline"/>
                <w:lang w:val="en-US"/>
              </w:rPr>
              <w:t>, destruction tumorale par laser ou plasma...</w:t>
            </w:r>
          </w:p>
          <w:p w14:paraId="313DAC8D">
            <w:pPr>
              <w:widowControl w:val="0"/>
              <w:ind w:firstLine="240" w:firstLineChars="100"/>
              <w:jc w:val="both"/>
              <w:rPr>
                <w:rFonts w:hint="default"/>
                <w:sz w:val="24"/>
                <w:szCs w:val="24"/>
                <w:vertAlign w:val="baseline"/>
                <w:lang w:val="en-US"/>
              </w:rPr>
            </w:pPr>
            <w:r>
              <w:rPr>
                <w:rFonts w:hint="default"/>
                <w:sz w:val="24"/>
                <w:szCs w:val="24"/>
                <w:vertAlign w:val="baseline"/>
                <w:lang w:val="en-US"/>
              </w:rPr>
              <w:t>-Complications : pneumo-médiastin, hémorragie, perforation œsophagienne, médiastinite...</w:t>
            </w:r>
          </w:p>
          <w:p w14:paraId="2BD8162D">
            <w:pPr>
              <w:widowControl w:val="0"/>
              <w:jc w:val="both"/>
              <w:rPr>
                <w:rFonts w:hint="default"/>
                <w:sz w:val="24"/>
                <w:szCs w:val="24"/>
                <w:vertAlign w:val="baseline"/>
                <w:lang w:val="en-US"/>
              </w:rPr>
            </w:pPr>
            <w:r>
              <w:rPr>
                <w:rFonts w:hint="default"/>
                <w:sz w:val="24"/>
                <w:szCs w:val="24"/>
                <w:vertAlign w:val="baseline"/>
                <w:lang w:val="en-US"/>
              </w:rPr>
              <w:t xml:space="preserve">• </w:t>
            </w:r>
            <w:r>
              <w:rPr>
                <w:rFonts w:hint="default"/>
                <w:b/>
                <w:bCs/>
                <w:sz w:val="24"/>
                <w:szCs w:val="24"/>
                <w:vertAlign w:val="baseline"/>
                <w:lang w:val="en-US"/>
              </w:rPr>
              <w:t>Pose d'une endoprothèse</w:t>
            </w:r>
            <w:r>
              <w:rPr>
                <w:rFonts w:hint="default"/>
                <w:sz w:val="24"/>
                <w:szCs w:val="24"/>
                <w:vertAlign w:val="baseline"/>
                <w:lang w:val="en-US"/>
              </w:rPr>
              <w:t xml:space="preserve"> ++ : en cas de dysphagie ou fistule oesobronchique ou oesotrachéale.</w:t>
            </w:r>
          </w:p>
        </w:tc>
      </w:tr>
      <w:tr w14:paraId="0C5DACB0">
        <w:tc>
          <w:tcPr>
            <w:tcW w:w="427" w:type="dxa"/>
          </w:tcPr>
          <w:p w14:paraId="19FF2B28">
            <w:pPr>
              <w:widowControl w:val="0"/>
              <w:numPr>
                <w:ilvl w:val="0"/>
                <w:numId w:val="1"/>
              </w:numPr>
              <w:ind w:left="425" w:leftChars="0" w:hanging="425" w:firstLineChars="0"/>
              <w:jc w:val="both"/>
              <w:rPr>
                <w:vertAlign w:val="baseline"/>
              </w:rPr>
            </w:pPr>
          </w:p>
        </w:tc>
        <w:tc>
          <w:tcPr>
            <w:tcW w:w="607" w:type="dxa"/>
          </w:tcPr>
          <w:p w14:paraId="5D9CA618">
            <w:pPr>
              <w:widowControl w:val="0"/>
              <w:jc w:val="both"/>
              <w:rPr>
                <w:rFonts w:hint="default"/>
                <w:vertAlign w:val="baseline"/>
                <w:lang w:val="en-US"/>
              </w:rPr>
            </w:pPr>
            <w:r>
              <w:rPr>
                <w:rFonts w:hint="default"/>
                <w:vertAlign w:val="baseline"/>
                <w:lang w:val="en-US"/>
              </w:rPr>
              <w:t>E</w:t>
            </w:r>
          </w:p>
        </w:tc>
        <w:tc>
          <w:tcPr>
            <w:tcW w:w="9106" w:type="dxa"/>
          </w:tcPr>
          <w:p w14:paraId="37F80C46">
            <w:pPr>
              <w:widowControl w:val="0"/>
              <w:jc w:val="both"/>
              <w:rPr>
                <w:sz w:val="24"/>
                <w:szCs w:val="24"/>
                <w:vertAlign w:val="baseline"/>
              </w:rPr>
            </w:pPr>
            <w:r>
              <w:rPr>
                <w:rFonts w:hint="default"/>
                <w:sz w:val="24"/>
                <w:szCs w:val="24"/>
                <w:vertAlign w:val="baseline"/>
                <w:lang w:val="en-US" w:eastAsia="zh-CN"/>
              </w:rPr>
              <w:t>-</w:t>
            </w:r>
            <w:r>
              <w:rPr>
                <w:sz w:val="24"/>
                <w:szCs w:val="24"/>
                <w:vertAlign w:val="baseline"/>
                <w:lang w:val="en-US" w:eastAsia="zh-CN"/>
              </w:rPr>
              <w:t>La recherche de</w:t>
            </w:r>
            <w:r>
              <w:rPr>
                <w:rFonts w:hint="default"/>
                <w:sz w:val="24"/>
                <w:szCs w:val="24"/>
                <w:vertAlign w:val="baseline"/>
                <w:lang w:val="en-US" w:eastAsia="zh-CN"/>
              </w:rPr>
              <w:t> </w:t>
            </w:r>
            <w:r>
              <w:rPr>
                <w:sz w:val="24"/>
                <w:szCs w:val="24"/>
                <w:vertAlign w:val="baseline"/>
                <w:lang w:val="en-US" w:eastAsia="zh-CN"/>
              </w:rPr>
              <w:t>H. pylori</w:t>
            </w:r>
            <w:r>
              <w:rPr>
                <w:rFonts w:hint="default"/>
                <w:sz w:val="24"/>
                <w:szCs w:val="24"/>
                <w:vertAlign w:val="baseline"/>
                <w:lang w:val="en-US" w:eastAsia="zh-CN"/>
              </w:rPr>
              <w:t xml:space="preserve"> est recommandée chez les apparentés au premier degré d'un </w:t>
            </w:r>
            <w:r>
              <w:rPr>
                <w:rFonts w:hint="default"/>
                <w:b/>
                <w:bCs/>
                <w:sz w:val="24"/>
                <w:szCs w:val="24"/>
                <w:vertAlign w:val="baseline"/>
                <w:lang w:val="en-US" w:eastAsia="zh-CN"/>
              </w:rPr>
              <w:t>patient ayant eu un </w:t>
            </w:r>
            <w:r>
              <w:rPr>
                <w:b/>
                <w:bCs/>
                <w:sz w:val="24"/>
                <w:szCs w:val="24"/>
                <w:vertAlign w:val="baseline"/>
                <w:lang w:val="en-US" w:eastAsia="zh-CN"/>
              </w:rPr>
              <w:t>cancer gastrique</w:t>
            </w:r>
            <w:r>
              <w:rPr>
                <w:rFonts w:hint="default"/>
                <w:sz w:val="24"/>
                <w:szCs w:val="24"/>
                <w:vertAlign w:val="baseline"/>
                <w:lang w:val="en-US" w:eastAsia="zh-CN"/>
              </w:rPr>
              <w:t xml:space="preserve">, et non simplement chez les apparentés d'un sujet porteur de la bactérie </w:t>
            </w:r>
            <w:r>
              <w:rPr>
                <w:rFonts w:hint="default"/>
                <w:b/>
                <w:bCs/>
                <w:sz w:val="24"/>
                <w:szCs w:val="24"/>
                <w:vertAlign w:val="baseline"/>
                <w:lang w:val="en-US" w:eastAsia="zh-CN"/>
              </w:rPr>
              <w:t>(car une grande partie de la population est porteuse saine).</w:t>
            </w:r>
          </w:p>
        </w:tc>
      </w:tr>
      <w:tr w14:paraId="52557877">
        <w:tc>
          <w:tcPr>
            <w:tcW w:w="427" w:type="dxa"/>
          </w:tcPr>
          <w:p w14:paraId="3D8E9DD4">
            <w:pPr>
              <w:widowControl w:val="0"/>
              <w:numPr>
                <w:ilvl w:val="0"/>
                <w:numId w:val="1"/>
              </w:numPr>
              <w:ind w:left="425" w:leftChars="0" w:hanging="425" w:firstLineChars="0"/>
              <w:jc w:val="both"/>
              <w:rPr>
                <w:vertAlign w:val="baseline"/>
              </w:rPr>
            </w:pPr>
          </w:p>
        </w:tc>
        <w:tc>
          <w:tcPr>
            <w:tcW w:w="607" w:type="dxa"/>
          </w:tcPr>
          <w:p w14:paraId="03B4B982">
            <w:pPr>
              <w:widowControl w:val="0"/>
              <w:jc w:val="both"/>
              <w:rPr>
                <w:rFonts w:hint="default"/>
                <w:vertAlign w:val="baseline"/>
                <w:lang w:val="en-US"/>
              </w:rPr>
            </w:pPr>
            <w:r>
              <w:rPr>
                <w:rFonts w:hint="default"/>
                <w:vertAlign w:val="baseline"/>
                <w:lang w:val="en-US"/>
              </w:rPr>
              <w:t>D</w:t>
            </w:r>
          </w:p>
        </w:tc>
        <w:tc>
          <w:tcPr>
            <w:tcW w:w="9106" w:type="dxa"/>
          </w:tcPr>
          <w:p w14:paraId="3D6AEBB0">
            <w:pPr>
              <w:widowControl w:val="0"/>
              <w:jc w:val="both"/>
              <w:rPr>
                <w:sz w:val="24"/>
                <w:szCs w:val="24"/>
                <w:vertAlign w:val="baseline"/>
              </w:rPr>
            </w:pPr>
            <w:r>
              <w:rPr>
                <w:sz w:val="24"/>
                <w:szCs w:val="24"/>
                <w:vertAlign w:val="baseline"/>
                <w:lang w:val="en-US" w:eastAsia="zh-CN"/>
              </w:rPr>
              <w:t>- À l’endoscopie, on utilise la classification de Forrest :</w:t>
            </w:r>
          </w:p>
          <w:p w14:paraId="243A09CC">
            <w:pPr>
              <w:widowControl w:val="0"/>
              <w:jc w:val="both"/>
              <w:rPr>
                <w:rFonts w:hint="default"/>
                <w:sz w:val="24"/>
                <w:szCs w:val="24"/>
                <w:vertAlign w:val="baseline"/>
                <w:lang w:val="en-US"/>
              </w:rPr>
            </w:pPr>
            <w:r>
              <w:rPr>
                <w:rFonts w:hint="default"/>
                <w:sz w:val="24"/>
                <w:szCs w:val="24"/>
                <w:vertAlign w:val="baseline"/>
                <w:lang w:val="en-US"/>
              </w:rPr>
              <w:drawing>
                <wp:inline distT="0" distB="0" distL="114300" distR="114300">
                  <wp:extent cx="5643880" cy="904240"/>
                  <wp:effectExtent l="0" t="0" r="20320" b="10160"/>
                  <wp:docPr id="12" name="Picture 12" descr="Screenshot 2026-02-19 at 2.58.5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6-02-19 at 2.58.52 PM"/>
                          <pic:cNvPicPr>
                            <a:picLocks noChangeAspect="1"/>
                          </pic:cNvPicPr>
                        </pic:nvPicPr>
                        <pic:blipFill>
                          <a:blip r:embed="rId7"/>
                          <a:stretch>
                            <a:fillRect/>
                          </a:stretch>
                        </pic:blipFill>
                        <pic:spPr>
                          <a:xfrm>
                            <a:off x="0" y="0"/>
                            <a:ext cx="5643880" cy="904240"/>
                          </a:xfrm>
                          <a:prstGeom prst="rect">
                            <a:avLst/>
                          </a:prstGeom>
                        </pic:spPr>
                      </pic:pic>
                    </a:graphicData>
                  </a:graphic>
                </wp:inline>
              </w:drawing>
            </w:r>
          </w:p>
          <w:p w14:paraId="7F5C8D7F">
            <w:pPr>
              <w:widowControl w:val="0"/>
              <w:jc w:val="both"/>
              <w:rPr>
                <w:rFonts w:hint="default"/>
                <w:sz w:val="24"/>
                <w:szCs w:val="24"/>
                <w:vertAlign w:val="baseline"/>
                <w:lang w:val="en-US"/>
              </w:rPr>
            </w:pPr>
            <w:r>
              <w:rPr>
                <w:rFonts w:hint="default"/>
                <w:sz w:val="24"/>
                <w:szCs w:val="24"/>
                <w:vertAlign w:val="baseline"/>
                <w:lang w:val="en-US" w:eastAsia="zh-CN"/>
              </w:rPr>
              <w:t xml:space="preserve">Les buts du trt sont d’arrêter le saignement, de prévenir les récidives hémorragiques et d’accélérer la cicatrisation de l’ulcère : </w:t>
            </w:r>
          </w:p>
          <w:p w14:paraId="6E7FB273">
            <w:pPr>
              <w:widowControl w:val="0"/>
              <w:jc w:val="both"/>
              <w:rPr>
                <w:rFonts w:hint="default"/>
                <w:sz w:val="24"/>
                <w:szCs w:val="24"/>
                <w:vertAlign w:val="baseline"/>
                <w:lang w:val="en-US"/>
              </w:rPr>
            </w:pPr>
            <w:r>
              <w:rPr>
                <w:rFonts w:hint="default"/>
                <w:sz w:val="24"/>
                <w:szCs w:val="24"/>
                <w:vertAlign w:val="baseline"/>
                <w:lang w:val="en-US" w:eastAsia="zh-CN"/>
              </w:rPr>
              <w:t xml:space="preserve">o Trt médical -&gt; IPP per os ou en IV (car l’acidité inhibe le processus de coagulation, donc ceci prévient les récidives).Module de gastro </w:t>
            </w:r>
          </w:p>
          <w:p w14:paraId="578D810F">
            <w:pPr>
              <w:widowControl w:val="0"/>
              <w:jc w:val="both"/>
              <w:rPr>
                <w:rFonts w:hint="default"/>
                <w:sz w:val="24"/>
                <w:szCs w:val="24"/>
                <w:vertAlign w:val="baseline"/>
                <w:lang w:val="en-US"/>
              </w:rPr>
            </w:pPr>
            <w:r>
              <w:rPr>
                <w:rFonts w:hint="default"/>
                <w:sz w:val="24"/>
                <w:szCs w:val="24"/>
                <w:vertAlign w:val="baseline"/>
                <w:lang w:val="en-US" w:eastAsia="zh-CN"/>
              </w:rPr>
              <w:t xml:space="preserve">Faculté de médecine d’Alger – 4 ème année (2019/2020) </w:t>
            </w:r>
          </w:p>
          <w:p w14:paraId="2BEAEB8D">
            <w:pPr>
              <w:widowControl w:val="0"/>
              <w:jc w:val="both"/>
              <w:rPr>
                <w:rFonts w:hint="default"/>
                <w:sz w:val="24"/>
                <w:szCs w:val="24"/>
                <w:vertAlign w:val="baseline"/>
                <w:lang w:val="en-US"/>
              </w:rPr>
            </w:pPr>
            <w:r>
              <w:rPr>
                <w:rFonts w:hint="default"/>
                <w:sz w:val="24"/>
                <w:szCs w:val="24"/>
                <w:vertAlign w:val="baseline"/>
                <w:lang w:val="en-US" w:eastAsia="zh-CN"/>
              </w:rPr>
              <w:t xml:space="preserve">Ghomari Chakib </w:t>
            </w:r>
          </w:p>
          <w:p w14:paraId="2F0AB45C">
            <w:pPr>
              <w:widowControl w:val="0"/>
              <w:jc w:val="both"/>
              <w:rPr>
                <w:rFonts w:hint="default"/>
                <w:sz w:val="24"/>
                <w:szCs w:val="24"/>
                <w:vertAlign w:val="baseline"/>
                <w:lang w:val="en-US"/>
              </w:rPr>
            </w:pPr>
            <w:r>
              <w:rPr>
                <w:rFonts w:hint="default"/>
                <w:sz w:val="24"/>
                <w:szCs w:val="24"/>
                <w:vertAlign w:val="baseline"/>
                <w:lang w:val="en-US" w:eastAsia="zh-CN"/>
              </w:rPr>
              <w:t xml:space="preserve">19 </w:t>
            </w:r>
          </w:p>
          <w:p w14:paraId="2089AD38">
            <w:pPr>
              <w:widowControl w:val="0"/>
              <w:jc w:val="both"/>
              <w:rPr>
                <w:rFonts w:hint="default"/>
                <w:sz w:val="24"/>
                <w:szCs w:val="24"/>
                <w:vertAlign w:val="baseline"/>
                <w:lang w:val="en-US"/>
              </w:rPr>
            </w:pPr>
            <w:r>
              <w:rPr>
                <w:rFonts w:hint="default"/>
                <w:sz w:val="24"/>
                <w:szCs w:val="24"/>
                <w:vertAlign w:val="baseline"/>
                <w:lang w:val="en-US" w:eastAsia="zh-CN"/>
              </w:rPr>
              <w:t xml:space="preserve">o Trt endoscopique -&gt; injection de vasoactifs (adrénaline diluée par exp qui entraine une vasoconstriction temporaire) + </w:t>
            </w:r>
          </w:p>
          <w:p w14:paraId="27DE4E4D">
            <w:pPr>
              <w:widowControl w:val="0"/>
              <w:jc w:val="both"/>
              <w:rPr>
                <w:rFonts w:hint="default"/>
                <w:sz w:val="24"/>
                <w:szCs w:val="24"/>
                <w:vertAlign w:val="baseline"/>
                <w:lang w:val="en-US"/>
              </w:rPr>
            </w:pPr>
            <w:r>
              <w:rPr>
                <w:rFonts w:hint="default"/>
                <w:sz w:val="24"/>
                <w:szCs w:val="24"/>
                <w:vertAlign w:val="baseline"/>
                <w:lang w:val="en-US" w:eastAsia="zh-CN"/>
              </w:rPr>
              <w:t xml:space="preserve">méthodes thermiques (électrocoagulation, laser, sonde chauffante) ou nouvelles méthodes (clips, ligature élastique, plasma </w:t>
            </w:r>
          </w:p>
          <w:p w14:paraId="35AE281C">
            <w:pPr>
              <w:widowControl w:val="0"/>
              <w:jc w:val="both"/>
              <w:rPr>
                <w:rFonts w:hint="default"/>
                <w:sz w:val="24"/>
                <w:szCs w:val="24"/>
                <w:vertAlign w:val="baseline"/>
                <w:lang w:val="en-US"/>
              </w:rPr>
            </w:pPr>
            <w:r>
              <w:rPr>
                <w:rFonts w:hint="default"/>
                <w:sz w:val="24"/>
                <w:szCs w:val="24"/>
                <w:vertAlign w:val="baseline"/>
                <w:lang w:val="en-US" w:eastAsia="zh-CN"/>
              </w:rPr>
              <w:t xml:space="preserve">argon). </w:t>
            </w:r>
          </w:p>
          <w:p w14:paraId="7663F2A0">
            <w:pPr>
              <w:widowControl w:val="0"/>
              <w:jc w:val="both"/>
              <w:rPr>
                <w:rFonts w:hint="default"/>
                <w:sz w:val="24"/>
                <w:szCs w:val="24"/>
                <w:vertAlign w:val="baseline"/>
                <w:lang w:val="en-US"/>
              </w:rPr>
            </w:pPr>
            <w:r>
              <w:rPr>
                <w:rFonts w:hint="default"/>
                <w:sz w:val="24"/>
                <w:szCs w:val="24"/>
                <w:vertAlign w:val="baseline"/>
                <w:lang w:val="en-US" w:eastAsia="zh-CN"/>
              </w:rPr>
              <w:t xml:space="preserve">R! L'hémostase endoscopique est formellement indiquée pour les ulcères Forrest I et IIa (discutée pour IIb). Pour les autres stades, un </w:t>
            </w:r>
          </w:p>
          <w:p w14:paraId="72311AF6">
            <w:pPr>
              <w:widowControl w:val="0"/>
              <w:jc w:val="both"/>
              <w:rPr>
                <w:rFonts w:hint="default"/>
                <w:sz w:val="24"/>
                <w:szCs w:val="24"/>
                <w:vertAlign w:val="baseline"/>
                <w:lang w:val="en-US"/>
              </w:rPr>
            </w:pPr>
            <w:r>
              <w:rPr>
                <w:rFonts w:hint="default"/>
                <w:sz w:val="24"/>
                <w:szCs w:val="24"/>
                <w:vertAlign w:val="baseline"/>
                <w:lang w:val="en-US" w:eastAsia="zh-CN"/>
              </w:rPr>
              <w:t>trt médical suffit</w:t>
            </w:r>
          </w:p>
          <w:p w14:paraId="678EFDE7">
            <w:pPr>
              <w:widowControl w:val="0"/>
              <w:jc w:val="both"/>
              <w:rPr>
                <w:rFonts w:hint="default"/>
                <w:sz w:val="24"/>
                <w:szCs w:val="24"/>
                <w:vertAlign w:val="baseline"/>
                <w:lang w:val="en-US"/>
              </w:rPr>
            </w:pPr>
          </w:p>
        </w:tc>
      </w:tr>
      <w:tr w14:paraId="6E69BB61">
        <w:tc>
          <w:tcPr>
            <w:tcW w:w="427" w:type="dxa"/>
          </w:tcPr>
          <w:p w14:paraId="24052203">
            <w:pPr>
              <w:widowControl w:val="0"/>
              <w:numPr>
                <w:ilvl w:val="0"/>
                <w:numId w:val="1"/>
              </w:numPr>
              <w:ind w:left="425" w:leftChars="0" w:hanging="425" w:firstLineChars="0"/>
              <w:jc w:val="both"/>
              <w:rPr>
                <w:vertAlign w:val="baseline"/>
              </w:rPr>
            </w:pPr>
          </w:p>
        </w:tc>
        <w:tc>
          <w:tcPr>
            <w:tcW w:w="607" w:type="dxa"/>
          </w:tcPr>
          <w:p w14:paraId="73229B57">
            <w:pPr>
              <w:widowControl w:val="0"/>
              <w:jc w:val="both"/>
              <w:rPr>
                <w:rFonts w:hint="default"/>
                <w:vertAlign w:val="baseline"/>
                <w:lang w:val="en-US"/>
              </w:rPr>
            </w:pPr>
            <w:r>
              <w:rPr>
                <w:rFonts w:hint="default"/>
                <w:vertAlign w:val="baseline"/>
                <w:lang w:val="en-US"/>
              </w:rPr>
              <w:t>B</w:t>
            </w:r>
          </w:p>
        </w:tc>
        <w:tc>
          <w:tcPr>
            <w:tcW w:w="9106" w:type="dxa"/>
          </w:tcPr>
          <w:p w14:paraId="79E90B11">
            <w:pPr>
              <w:widowControl w:val="0"/>
              <w:jc w:val="both"/>
              <w:rPr>
                <w:rFonts w:hint="default"/>
                <w:sz w:val="24"/>
                <w:szCs w:val="24"/>
                <w:vertAlign w:val="baseline"/>
                <w:lang w:val="en-US"/>
              </w:rPr>
            </w:pPr>
            <w:r>
              <w:rPr>
                <w:rFonts w:hint="default"/>
                <w:sz w:val="24"/>
                <w:szCs w:val="24"/>
                <w:vertAlign w:val="baseline"/>
                <w:lang w:val="en-US"/>
              </w:rPr>
              <w:t>- la dysplasie est un</w:t>
            </w:r>
            <w:r>
              <w:rPr>
                <w:rFonts w:hint="default"/>
                <w:b/>
                <w:bCs/>
                <w:sz w:val="24"/>
                <w:szCs w:val="24"/>
                <w:vertAlign w:val="baseline"/>
                <w:lang w:val="en-US"/>
              </w:rPr>
              <w:t xml:space="preserve"> terme histologique et donc il apparait aprés biopsie </w:t>
            </w:r>
            <w:r>
              <w:rPr>
                <w:rFonts w:hint="default"/>
                <w:sz w:val="24"/>
                <w:szCs w:val="24"/>
                <w:vertAlign w:val="baseline"/>
                <w:lang w:val="en-US"/>
              </w:rPr>
              <w:t>et non pas directement en endoscopie.</w:t>
            </w:r>
          </w:p>
        </w:tc>
      </w:tr>
      <w:tr w14:paraId="3BCEF507">
        <w:tc>
          <w:tcPr>
            <w:tcW w:w="427" w:type="dxa"/>
          </w:tcPr>
          <w:p w14:paraId="12DC6A9F">
            <w:pPr>
              <w:widowControl w:val="0"/>
              <w:numPr>
                <w:ilvl w:val="0"/>
                <w:numId w:val="1"/>
              </w:numPr>
              <w:ind w:left="425" w:leftChars="0" w:hanging="425" w:firstLineChars="0"/>
              <w:jc w:val="both"/>
              <w:rPr>
                <w:vertAlign w:val="baseline"/>
              </w:rPr>
            </w:pPr>
          </w:p>
        </w:tc>
        <w:tc>
          <w:tcPr>
            <w:tcW w:w="607" w:type="dxa"/>
          </w:tcPr>
          <w:p w14:paraId="62C0041E">
            <w:pPr>
              <w:widowControl w:val="0"/>
              <w:jc w:val="both"/>
              <w:rPr>
                <w:rFonts w:hint="default"/>
                <w:vertAlign w:val="baseline"/>
                <w:lang w:val="en-US"/>
              </w:rPr>
            </w:pPr>
            <w:r>
              <w:rPr>
                <w:rFonts w:hint="default"/>
                <w:vertAlign w:val="baseline"/>
                <w:lang w:val="en-US"/>
              </w:rPr>
              <w:t>C</w:t>
            </w:r>
          </w:p>
        </w:tc>
        <w:tc>
          <w:tcPr>
            <w:tcW w:w="9106" w:type="dxa"/>
          </w:tcPr>
          <w:p w14:paraId="3000BC68">
            <w:pPr>
              <w:pStyle w:val="10"/>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En anatomopathologie gastrique (classification de Sydney), on distingue :</w:t>
            </w:r>
          </w:p>
          <w:p w14:paraId="1171ACA8">
            <w:pPr>
              <w:pStyle w:val="10"/>
              <w:keepNext w:val="0"/>
              <w:keepLines w:val="0"/>
              <w:widowControl/>
              <w:suppressLineNumbers w:val="0"/>
              <w:ind w:left="0" w:firstLine="480" w:firstLineChars="200"/>
            </w:pPr>
            <w:r>
              <w:rPr>
                <w:rFonts w:hint="default"/>
                <w:i w:val="0"/>
                <w:iCs w:val="0"/>
                <w:caps w:val="0"/>
                <w:color w:val="000000"/>
                <w:spacing w:val="0"/>
                <w:u w:val="none"/>
                <w:lang w:val="en-US"/>
              </w:rPr>
              <w:t>-</w:t>
            </w:r>
            <w:r>
              <w:rPr>
                <w:rStyle w:val="11"/>
                <w:i w:val="0"/>
                <w:iCs w:val="0"/>
                <w:caps w:val="0"/>
                <w:color w:val="000000"/>
                <w:spacing w:val="0"/>
                <w:u w:val="none"/>
              </w:rPr>
              <w:t>Gastrite chronique</w:t>
            </w:r>
            <w:r>
              <w:rPr>
                <w:i w:val="0"/>
                <w:iCs w:val="0"/>
                <w:caps w:val="0"/>
                <w:color w:val="000000"/>
                <w:spacing w:val="0"/>
                <w:u w:val="none"/>
              </w:rPr>
              <w:t> → définie par un </w:t>
            </w:r>
            <w:r>
              <w:rPr>
                <w:rStyle w:val="11"/>
                <w:i w:val="0"/>
                <w:iCs w:val="0"/>
                <w:caps w:val="0"/>
                <w:color w:val="000000"/>
                <w:spacing w:val="0"/>
                <w:u w:val="none"/>
              </w:rPr>
              <w:t>infiltrat lympho-plasmocytaire</w:t>
            </w:r>
            <w:r>
              <w:rPr>
                <w:i w:val="0"/>
                <w:iCs w:val="0"/>
                <w:caps w:val="0"/>
                <w:color w:val="000000"/>
                <w:spacing w:val="0"/>
                <w:u w:val="none"/>
              </w:rPr>
              <w:t> (mononucléé).</w:t>
            </w:r>
          </w:p>
          <w:p w14:paraId="3F228849">
            <w:pPr>
              <w:pStyle w:val="10"/>
              <w:keepNext w:val="0"/>
              <w:keepLines w:val="0"/>
              <w:widowControl/>
              <w:suppressLineNumbers w:val="0"/>
              <w:ind w:firstLine="600" w:firstLineChars="250"/>
              <w:rPr>
                <w:sz w:val="24"/>
                <w:szCs w:val="24"/>
                <w:vertAlign w:val="baseline"/>
              </w:rPr>
            </w:pPr>
            <w:r>
              <w:rPr>
                <w:rFonts w:hint="default"/>
                <w:i w:val="0"/>
                <w:iCs w:val="0"/>
                <w:caps w:val="0"/>
                <w:color w:val="000000"/>
                <w:spacing w:val="0"/>
                <w:u w:val="none"/>
                <w:lang w:val="en-US"/>
              </w:rPr>
              <w:t>-</w:t>
            </w:r>
            <w:r>
              <w:rPr>
                <w:i w:val="0"/>
                <w:iCs w:val="0"/>
                <w:caps w:val="0"/>
                <w:color w:val="000000"/>
                <w:spacing w:val="0"/>
                <w:u w:val="none"/>
              </w:rPr>
              <w:t> </w:t>
            </w:r>
            <w:r>
              <w:rPr>
                <w:rStyle w:val="11"/>
                <w:i w:val="0"/>
                <w:iCs w:val="0"/>
                <w:caps w:val="0"/>
                <w:color w:val="000000"/>
                <w:spacing w:val="0"/>
                <w:u w:val="none"/>
              </w:rPr>
              <w:t>Activité de la gastrite</w:t>
            </w:r>
            <w:r>
              <w:rPr>
                <w:i w:val="0"/>
                <w:iCs w:val="0"/>
                <w:caps w:val="0"/>
                <w:color w:val="000000"/>
                <w:spacing w:val="0"/>
                <w:u w:val="none"/>
              </w:rPr>
              <w:t> → définie par la présence de </w:t>
            </w:r>
            <w:r>
              <w:rPr>
                <w:rStyle w:val="11"/>
                <w:i w:val="0"/>
                <w:iCs w:val="0"/>
                <w:caps w:val="0"/>
                <w:color w:val="000000"/>
                <w:spacing w:val="0"/>
                <w:u w:val="none"/>
              </w:rPr>
              <w:t>polynucléaires neutrophiles</w:t>
            </w:r>
            <w:r>
              <w:rPr>
                <w:i w:val="0"/>
                <w:iCs w:val="0"/>
                <w:caps w:val="0"/>
                <w:color w:val="000000"/>
                <w:spacing w:val="0"/>
                <w:u w:val="none"/>
              </w:rPr>
              <w:t>.</w:t>
            </w:r>
          </w:p>
        </w:tc>
      </w:tr>
      <w:tr w14:paraId="1E36510F">
        <w:tc>
          <w:tcPr>
            <w:tcW w:w="427" w:type="dxa"/>
          </w:tcPr>
          <w:p w14:paraId="36E64AFC">
            <w:pPr>
              <w:widowControl w:val="0"/>
              <w:numPr>
                <w:ilvl w:val="0"/>
                <w:numId w:val="1"/>
              </w:numPr>
              <w:ind w:left="425" w:leftChars="0" w:hanging="425" w:firstLineChars="0"/>
              <w:jc w:val="both"/>
              <w:rPr>
                <w:vertAlign w:val="baseline"/>
              </w:rPr>
            </w:pPr>
          </w:p>
        </w:tc>
        <w:tc>
          <w:tcPr>
            <w:tcW w:w="607" w:type="dxa"/>
          </w:tcPr>
          <w:p w14:paraId="576F6C8E">
            <w:pPr>
              <w:widowControl w:val="0"/>
              <w:jc w:val="both"/>
              <w:rPr>
                <w:rFonts w:hint="default"/>
                <w:vertAlign w:val="baseline"/>
                <w:lang w:val="en-US"/>
              </w:rPr>
            </w:pPr>
            <w:r>
              <w:rPr>
                <w:rFonts w:hint="default"/>
                <w:vertAlign w:val="baseline"/>
                <w:lang w:val="en-US"/>
              </w:rPr>
              <w:t>E</w:t>
            </w:r>
          </w:p>
        </w:tc>
        <w:tc>
          <w:tcPr>
            <w:tcW w:w="9106" w:type="dxa"/>
          </w:tcPr>
          <w:p w14:paraId="2699B1DA">
            <w:pPr>
              <w:pStyle w:val="16"/>
              <w:widowControl w:val="0"/>
              <w:numPr>
                <w:ilvl w:val="0"/>
                <w:numId w:val="0"/>
              </w:numPr>
              <w:jc w:val="both"/>
              <w:rPr>
                <w:rFonts w:hint="default" w:ascii="Times New Roman Bold" w:hAnsi="Times New Roman Bold" w:cs="Times New Roman Bold"/>
                <w:b/>
                <w:bCs/>
                <w:sz w:val="32"/>
                <w:szCs w:val="32"/>
              </w:rPr>
            </w:pPr>
            <w:r>
              <w:rPr>
                <w:rFonts w:hint="default" w:ascii="Times New Roman Bold" w:hAnsi="Times New Roman Bold" w:cs="Times New Roman Bold"/>
                <w:b/>
                <w:bCs/>
                <w:sz w:val="32"/>
                <w:szCs w:val="32"/>
                <w:lang w:val="en-US"/>
              </w:rPr>
              <w:t>-</w:t>
            </w:r>
            <w:r>
              <w:rPr>
                <w:rFonts w:hint="default" w:ascii="Times New Roman Bold" w:hAnsi="Times New Roman Bold" w:cs="Times New Roman Bold"/>
                <w:b/>
                <w:bCs/>
                <w:sz w:val="32"/>
                <w:szCs w:val="32"/>
              </w:rPr>
              <w:t>Adénomes hépato-cellulaires :</w:t>
            </w:r>
          </w:p>
          <w:p w14:paraId="1E28156D">
            <w:pPr>
              <w:widowControl w:val="0"/>
              <w:jc w:val="both"/>
              <w:rPr>
                <w:rFonts w:hint="default"/>
                <w:sz w:val="24"/>
                <w:szCs w:val="24"/>
                <w:vertAlign w:val="baseline"/>
              </w:rPr>
            </w:pPr>
            <w:r>
              <w:rPr>
                <w:rFonts w:asciiTheme="majorBidi" w:hAnsiTheme="majorBidi" w:cstheme="majorBidi"/>
                <w:sz w:val="24"/>
                <w:szCs w:val="24"/>
              </w:rPr>
              <w:t xml:space="preserve">Ce sont des </w:t>
            </w:r>
            <w:r>
              <w:rPr>
                <w:rFonts w:hint="default" w:ascii="Times New Roman Bold" w:hAnsi="Times New Roman Bold" w:cs="Times New Roman Bold"/>
                <w:b/>
                <w:bCs/>
                <w:sz w:val="24"/>
                <w:szCs w:val="24"/>
              </w:rPr>
              <w:t>lésions épithéliales</w:t>
            </w:r>
            <w:r>
              <w:rPr>
                <w:rFonts w:hint="default" w:ascii="Times New Roman Bold" w:hAnsi="Times New Roman Bold" w:cs="Times New Roman Bold"/>
                <w:b/>
                <w:bCs/>
                <w:sz w:val="24"/>
                <w:szCs w:val="24"/>
                <w:lang w:val="en-US"/>
              </w:rPr>
              <w:t xml:space="preserve">, </w:t>
            </w:r>
            <w:r>
              <w:rPr>
                <w:rFonts w:hint="default" w:asciiTheme="majorBidi" w:hAnsiTheme="majorBidi" w:cstheme="majorBidi"/>
                <w:sz w:val="24"/>
                <w:szCs w:val="24"/>
                <w:lang w:val="en-US"/>
              </w:rPr>
              <w:t>avce une p</w:t>
            </w:r>
            <w:r>
              <w:rPr>
                <w:rFonts w:hint="default"/>
                <w:sz w:val="24"/>
                <w:szCs w:val="24"/>
                <w:vertAlign w:val="baseline"/>
              </w:rPr>
              <w:t>révalence faible/HNF:0,007-0,012% population)</w:t>
            </w:r>
          </w:p>
          <w:p w14:paraId="2D54EA62">
            <w:pPr>
              <w:widowControl w:val="0"/>
              <w:jc w:val="both"/>
              <w:rPr>
                <w:rFonts w:hint="default"/>
                <w:sz w:val="24"/>
                <w:szCs w:val="24"/>
                <w:vertAlign w:val="baseline"/>
              </w:rPr>
            </w:pPr>
            <w:r>
              <w:rPr>
                <w:rFonts w:hint="default"/>
                <w:b/>
                <w:bCs/>
                <w:sz w:val="24"/>
                <w:szCs w:val="24"/>
                <w:vertAlign w:val="baseline"/>
              </w:rPr>
              <w:t>Terrain prédisposan</w:t>
            </w:r>
            <w:r>
              <w:rPr>
                <w:rFonts w:hint="default"/>
                <w:sz w:val="24"/>
                <w:szCs w:val="24"/>
                <w:vertAlign w:val="baseline"/>
              </w:rPr>
              <w:t>t:∑d métabolique, Glycogénoses type Ia et III, prise de pilule, prise d’anabolisants (androgènes)⁼&gt;Tm hormono-dépendante+++</w:t>
            </w:r>
          </w:p>
          <w:p w14:paraId="23684D4F">
            <w:pPr>
              <w:widowControl w:val="0"/>
              <w:jc w:val="both"/>
              <w:rPr>
                <w:rFonts w:hint="default"/>
                <w:sz w:val="24"/>
                <w:szCs w:val="24"/>
                <w:vertAlign w:val="baseline"/>
              </w:rPr>
            </w:pPr>
            <w:r>
              <w:rPr>
                <w:rFonts w:hint="default"/>
                <w:b/>
                <w:bCs/>
                <w:sz w:val="24"/>
                <w:szCs w:val="24"/>
                <w:vertAlign w:val="baseline"/>
              </w:rPr>
              <w:t>Prédominance féminine</w:t>
            </w:r>
            <w:r>
              <w:rPr>
                <w:rFonts w:hint="default"/>
                <w:sz w:val="24"/>
                <w:szCs w:val="24"/>
                <w:vertAlign w:val="baseline"/>
              </w:rPr>
              <w:t xml:space="preserve"> (10F/1H): 35-40 ans</w:t>
            </w:r>
          </w:p>
          <w:p w14:paraId="02C0D297">
            <w:pPr>
              <w:widowControl w:val="0"/>
              <w:jc w:val="both"/>
              <w:rPr>
                <w:rFonts w:hint="default"/>
                <w:sz w:val="24"/>
                <w:szCs w:val="24"/>
                <w:vertAlign w:val="baseline"/>
              </w:rPr>
            </w:pPr>
            <w:r>
              <w:rPr>
                <w:rFonts w:hint="default"/>
                <w:sz w:val="24"/>
                <w:szCs w:val="24"/>
                <w:vertAlign w:val="baseline"/>
              </w:rPr>
              <w:t>Lésions svt solitaires parfois pédonculées</w:t>
            </w:r>
          </w:p>
          <w:p w14:paraId="6BE8090F">
            <w:pPr>
              <w:widowControl w:val="0"/>
              <w:jc w:val="both"/>
              <w:rPr>
                <w:rFonts w:hint="default"/>
                <w:sz w:val="24"/>
                <w:szCs w:val="24"/>
                <w:vertAlign w:val="baseline"/>
              </w:rPr>
            </w:pPr>
            <w:r>
              <w:rPr>
                <w:rFonts w:hint="default"/>
                <w:sz w:val="24"/>
                <w:szCs w:val="24"/>
                <w:vertAlign w:val="baseline"/>
              </w:rPr>
              <w:t>Taille variable: qqs mm à 30 cm</w:t>
            </w:r>
          </w:p>
          <w:p w14:paraId="08E0D9BC">
            <w:pPr>
              <w:widowControl w:val="0"/>
              <w:jc w:val="both"/>
              <w:rPr>
                <w:sz w:val="24"/>
                <w:szCs w:val="24"/>
                <w:vertAlign w:val="baseline"/>
              </w:rPr>
            </w:pPr>
            <w:r>
              <w:rPr>
                <w:rFonts w:hint="default"/>
                <w:b/>
                <w:bCs/>
                <w:sz w:val="24"/>
                <w:szCs w:val="24"/>
                <w:vertAlign w:val="baseline"/>
                <w:lang w:val="en-US"/>
              </w:rPr>
              <w:t>complication :</w:t>
            </w:r>
            <w:r>
              <w:rPr>
                <w:rFonts w:hint="default"/>
                <w:sz w:val="24"/>
                <w:szCs w:val="24"/>
                <w:vertAlign w:val="baseline"/>
                <w:lang w:val="en-US"/>
              </w:rPr>
              <w:t xml:space="preserve"> </w:t>
            </w:r>
            <w:r>
              <w:rPr>
                <w:rFonts w:hint="default"/>
                <w:sz w:val="24"/>
                <w:szCs w:val="24"/>
                <w:vertAlign w:val="baseline"/>
              </w:rPr>
              <w:t>Risque hémorragique (15-20%) et de cancérisation (5%) (rare &lt; 5cm)</w:t>
            </w:r>
            <w:r>
              <w:rPr>
                <w:rFonts w:hint="default"/>
                <w:sz w:val="24"/>
                <w:szCs w:val="24"/>
                <w:vertAlign w:val="baseline"/>
                <w:lang w:val="en-US"/>
              </w:rPr>
              <w:t xml:space="preserve"> </w:t>
            </w:r>
            <w:r>
              <w:rPr>
                <w:rFonts w:hint="default"/>
                <w:sz w:val="24"/>
                <w:szCs w:val="24"/>
                <w:vertAlign w:val="baseline"/>
              </w:rPr>
              <w:t>Ce risque ↑ taille d’où la résection des adénomes&gt;5cm</w:t>
            </w:r>
          </w:p>
        </w:tc>
      </w:tr>
      <w:tr w14:paraId="5AB31816">
        <w:tc>
          <w:tcPr>
            <w:tcW w:w="427" w:type="dxa"/>
          </w:tcPr>
          <w:p w14:paraId="601F230F">
            <w:pPr>
              <w:widowControl w:val="0"/>
              <w:numPr>
                <w:ilvl w:val="0"/>
                <w:numId w:val="1"/>
              </w:numPr>
              <w:ind w:left="425" w:leftChars="0" w:hanging="425" w:firstLineChars="0"/>
              <w:jc w:val="both"/>
              <w:rPr>
                <w:vertAlign w:val="baseline"/>
              </w:rPr>
            </w:pPr>
          </w:p>
        </w:tc>
        <w:tc>
          <w:tcPr>
            <w:tcW w:w="607" w:type="dxa"/>
          </w:tcPr>
          <w:p w14:paraId="719E8F91">
            <w:pPr>
              <w:widowControl w:val="0"/>
              <w:jc w:val="both"/>
              <w:rPr>
                <w:rFonts w:hint="default"/>
                <w:vertAlign w:val="baseline"/>
                <w:lang w:val="en-US"/>
              </w:rPr>
            </w:pPr>
            <w:r>
              <w:rPr>
                <w:vertAlign w:val="baseline"/>
                <w:lang w:val="en-US"/>
              </w:rPr>
              <w:t>D</w:t>
            </w:r>
          </w:p>
        </w:tc>
        <w:tc>
          <w:tcPr>
            <w:tcW w:w="9106" w:type="dxa"/>
          </w:tcPr>
          <w:p w14:paraId="31A20D3F">
            <w:pPr>
              <w:widowControl w:val="0"/>
              <w:jc w:val="both"/>
              <w:rPr>
                <w:rFonts w:hint="default"/>
                <w:sz w:val="24"/>
                <w:szCs w:val="24"/>
                <w:vertAlign w:val="baseline"/>
                <w:lang w:val="en-US"/>
              </w:rPr>
            </w:pPr>
            <w:r>
              <w:rPr>
                <w:rFonts w:hint="default"/>
                <w:sz w:val="24"/>
                <w:szCs w:val="24"/>
                <w:vertAlign w:val="baseline"/>
                <w:lang w:val="en-US"/>
              </w:rPr>
              <w:drawing>
                <wp:inline distT="0" distB="0" distL="114300" distR="114300">
                  <wp:extent cx="4572000" cy="3580130"/>
                  <wp:effectExtent l="0" t="0" r="0" b="1270"/>
                  <wp:docPr id="11" name="Picture 11" descr="Screenshot 2026-02-19 at 2.57.1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6-02-19 at 2.57.18 PM"/>
                          <pic:cNvPicPr>
                            <a:picLocks noChangeAspect="1"/>
                          </pic:cNvPicPr>
                        </pic:nvPicPr>
                        <pic:blipFill>
                          <a:blip r:embed="rId8"/>
                          <a:stretch>
                            <a:fillRect/>
                          </a:stretch>
                        </pic:blipFill>
                        <pic:spPr>
                          <a:xfrm>
                            <a:off x="0" y="0"/>
                            <a:ext cx="4572000" cy="3580130"/>
                          </a:xfrm>
                          <a:prstGeom prst="rect">
                            <a:avLst/>
                          </a:prstGeom>
                        </pic:spPr>
                      </pic:pic>
                    </a:graphicData>
                  </a:graphic>
                </wp:inline>
              </w:drawing>
            </w:r>
          </w:p>
        </w:tc>
      </w:tr>
      <w:tr w14:paraId="6F8D976A">
        <w:tc>
          <w:tcPr>
            <w:tcW w:w="427" w:type="dxa"/>
          </w:tcPr>
          <w:p w14:paraId="72DA6CBA">
            <w:pPr>
              <w:widowControl w:val="0"/>
              <w:numPr>
                <w:ilvl w:val="0"/>
                <w:numId w:val="1"/>
              </w:numPr>
              <w:ind w:left="425" w:leftChars="0" w:hanging="425" w:firstLineChars="0"/>
              <w:jc w:val="both"/>
              <w:rPr>
                <w:vertAlign w:val="baseline"/>
              </w:rPr>
            </w:pPr>
          </w:p>
        </w:tc>
        <w:tc>
          <w:tcPr>
            <w:tcW w:w="607" w:type="dxa"/>
          </w:tcPr>
          <w:p w14:paraId="39E9D3B3">
            <w:pPr>
              <w:widowControl w:val="0"/>
              <w:jc w:val="both"/>
              <w:rPr>
                <w:rFonts w:hint="default"/>
                <w:vertAlign w:val="baseline"/>
                <w:lang w:val="en-US"/>
              </w:rPr>
            </w:pPr>
            <w:r>
              <w:rPr>
                <w:vertAlign w:val="baseline"/>
                <w:lang w:val="en-US"/>
              </w:rPr>
              <w:t>C</w:t>
            </w:r>
          </w:p>
        </w:tc>
        <w:tc>
          <w:tcPr>
            <w:tcW w:w="9106" w:type="dxa"/>
          </w:tcPr>
          <w:p w14:paraId="4E4FB794">
            <w:pPr>
              <w:widowControl w:val="0"/>
              <w:jc w:val="both"/>
              <w:rPr>
                <w:rFonts w:hint="default"/>
                <w:sz w:val="24"/>
                <w:szCs w:val="24"/>
                <w:vertAlign w:val="baseline"/>
              </w:rPr>
            </w:pPr>
            <w:r>
              <w:rPr>
                <w:rFonts w:hint="default"/>
                <w:b/>
                <w:bCs/>
                <w:sz w:val="24"/>
                <w:szCs w:val="24"/>
                <w:vertAlign w:val="baseline"/>
              </w:rPr>
              <w:t>Cholestase biologique +++</w:t>
            </w:r>
            <w:r>
              <w:rPr>
                <w:rFonts w:hint="default"/>
                <w:sz w:val="24"/>
                <w:szCs w:val="24"/>
                <w:vertAlign w:val="baseline"/>
              </w:rPr>
              <w:t xml:space="preserve"> :</w:t>
            </w:r>
          </w:p>
          <w:p w14:paraId="1F9C77E8">
            <w:pPr>
              <w:widowControl w:val="0"/>
              <w:jc w:val="both"/>
              <w:rPr>
                <w:rFonts w:hint="default"/>
                <w:sz w:val="24"/>
                <w:szCs w:val="24"/>
                <w:vertAlign w:val="baseline"/>
              </w:rPr>
            </w:pPr>
            <w:r>
              <w:rPr>
                <w:rFonts w:hint="default"/>
                <w:sz w:val="24"/>
                <w:szCs w:val="24"/>
                <w:vertAlign w:val="baseline"/>
                <w:lang w:val="en-US"/>
              </w:rPr>
              <w:t>-</w:t>
            </w:r>
            <w:r>
              <w:rPr>
                <w:rFonts w:hint="default"/>
                <w:sz w:val="24"/>
                <w:szCs w:val="24"/>
                <w:vertAlign w:val="baseline"/>
              </w:rPr>
              <w:t xml:space="preserve"> </w:t>
            </w:r>
            <w:r>
              <w:rPr>
                <w:rFonts w:hint="default"/>
                <w:b/>
                <w:bCs/>
                <w:sz w:val="24"/>
                <w:szCs w:val="24"/>
                <w:vertAlign w:val="baseline"/>
              </w:rPr>
              <w:t>phosphatases alcalines et γ-GTaugmentées.</w:t>
            </w:r>
            <w:r>
              <w:rPr>
                <w:rFonts w:hint="default"/>
                <w:sz w:val="24"/>
                <w:szCs w:val="24"/>
                <w:vertAlign w:val="baseline"/>
              </w:rPr>
              <w:t xml:space="preserve"> Cholestase anicterique possible</w:t>
            </w:r>
          </w:p>
          <w:p w14:paraId="2E1DFBFB">
            <w:pPr>
              <w:widowControl w:val="0"/>
              <w:jc w:val="both"/>
              <w:rPr>
                <w:rFonts w:hint="default"/>
                <w:sz w:val="24"/>
                <w:szCs w:val="24"/>
                <w:vertAlign w:val="baseline"/>
              </w:rPr>
            </w:pPr>
            <w:r>
              <w:rPr>
                <w:rFonts w:hint="default"/>
                <w:sz w:val="24"/>
                <w:szCs w:val="24"/>
                <w:vertAlign w:val="baseline"/>
              </w:rPr>
              <w:t>- Ictère à bilirubine conjuguée</w:t>
            </w:r>
          </w:p>
          <w:p w14:paraId="4B9A1C09">
            <w:pPr>
              <w:widowControl w:val="0"/>
              <w:jc w:val="both"/>
              <w:rPr>
                <w:rFonts w:hint="default"/>
                <w:sz w:val="24"/>
                <w:szCs w:val="24"/>
                <w:vertAlign w:val="baseline"/>
              </w:rPr>
            </w:pPr>
            <w:r>
              <w:rPr>
                <w:rFonts w:hint="default"/>
                <w:sz w:val="24"/>
                <w:szCs w:val="24"/>
                <w:vertAlign w:val="baseline"/>
              </w:rPr>
              <w:t>- Prurit (dû à l’accumulation sous cutané de sels biliaires)</w:t>
            </w:r>
          </w:p>
          <w:p w14:paraId="75FBBC4E">
            <w:pPr>
              <w:widowControl w:val="0"/>
              <w:jc w:val="both"/>
              <w:rPr>
                <w:rFonts w:hint="default"/>
                <w:sz w:val="24"/>
                <w:szCs w:val="24"/>
                <w:vertAlign w:val="baseline"/>
              </w:rPr>
            </w:pPr>
            <w:r>
              <w:rPr>
                <w:rFonts w:hint="default"/>
                <w:sz w:val="24"/>
                <w:szCs w:val="24"/>
                <w:vertAlign w:val="baseline"/>
              </w:rPr>
              <w:t>- Selles décolorées et urines foncées</w:t>
            </w:r>
          </w:p>
          <w:p w14:paraId="1DEA76DE">
            <w:pPr>
              <w:widowControl w:val="0"/>
              <w:jc w:val="both"/>
              <w:rPr>
                <w:rFonts w:hint="default"/>
                <w:sz w:val="24"/>
                <w:szCs w:val="24"/>
                <w:vertAlign w:val="baseline"/>
              </w:rPr>
            </w:pPr>
            <w:r>
              <w:rPr>
                <w:rFonts w:hint="default"/>
                <w:sz w:val="24"/>
                <w:szCs w:val="24"/>
                <w:vertAlign w:val="baseline"/>
              </w:rPr>
              <w:t>Si obstacle aigu : colique hépatique ++ syndrome choledocien</w:t>
            </w:r>
          </w:p>
          <w:p w14:paraId="4A7CFA8D">
            <w:pPr>
              <w:widowControl w:val="0"/>
              <w:jc w:val="both"/>
              <w:rPr>
                <w:rFonts w:hint="default"/>
                <w:sz w:val="24"/>
                <w:szCs w:val="24"/>
                <w:vertAlign w:val="baseline"/>
              </w:rPr>
            </w:pPr>
            <w:r>
              <w:rPr>
                <w:rFonts w:hint="default"/>
                <w:sz w:val="24"/>
                <w:szCs w:val="24"/>
                <w:vertAlign w:val="baseline"/>
              </w:rPr>
              <w:t>Si cholestase prolongée :</w:t>
            </w:r>
          </w:p>
          <w:p w14:paraId="00A2C819">
            <w:pPr>
              <w:widowControl w:val="0"/>
              <w:jc w:val="both"/>
              <w:rPr>
                <w:rFonts w:hint="default"/>
                <w:sz w:val="24"/>
                <w:szCs w:val="24"/>
                <w:vertAlign w:val="baseline"/>
              </w:rPr>
            </w:pPr>
            <w:r>
              <w:rPr>
                <w:rFonts w:hint="default"/>
                <w:sz w:val="24"/>
                <w:szCs w:val="24"/>
                <w:vertAlign w:val="baseline"/>
              </w:rPr>
              <w:t>• Taux d’albumine normal</w:t>
            </w:r>
          </w:p>
          <w:p w14:paraId="6E2A3601">
            <w:pPr>
              <w:widowControl w:val="0"/>
              <w:jc w:val="both"/>
              <w:rPr>
                <w:rFonts w:hint="default"/>
                <w:sz w:val="24"/>
                <w:szCs w:val="24"/>
                <w:vertAlign w:val="baseline"/>
              </w:rPr>
            </w:pPr>
            <w:r>
              <w:rPr>
                <w:rFonts w:hint="default"/>
                <w:sz w:val="24"/>
                <w:szCs w:val="24"/>
                <w:vertAlign w:val="baseline"/>
              </w:rPr>
              <w:t>• élévation de 5 nucléotidase et de sels (acides) biliaires</w:t>
            </w:r>
          </w:p>
          <w:p w14:paraId="52A0070C">
            <w:pPr>
              <w:widowControl w:val="0"/>
              <w:jc w:val="both"/>
              <w:rPr>
                <w:rFonts w:hint="default"/>
                <w:sz w:val="24"/>
                <w:szCs w:val="24"/>
                <w:vertAlign w:val="baseline"/>
              </w:rPr>
            </w:pPr>
            <w:r>
              <w:rPr>
                <w:rFonts w:hint="default"/>
                <w:sz w:val="24"/>
                <w:szCs w:val="24"/>
                <w:vertAlign w:val="baseline"/>
              </w:rPr>
              <w:t>• Carences vitaminiques ADEK :</w:t>
            </w:r>
          </w:p>
          <w:p w14:paraId="04953998">
            <w:pPr>
              <w:widowControl w:val="0"/>
              <w:jc w:val="both"/>
              <w:rPr>
                <w:rFonts w:hint="default"/>
                <w:sz w:val="24"/>
                <w:szCs w:val="24"/>
                <w:vertAlign w:val="baseline"/>
              </w:rPr>
            </w:pPr>
            <w:r>
              <w:rPr>
                <w:rFonts w:hint="default"/>
                <w:sz w:val="24"/>
                <w:szCs w:val="24"/>
                <w:vertAlign w:val="baseline"/>
              </w:rPr>
              <w:t> TP abaisse</w:t>
            </w:r>
          </w:p>
          <w:p w14:paraId="3046BDA9">
            <w:pPr>
              <w:widowControl w:val="0"/>
              <w:jc w:val="both"/>
              <w:rPr>
                <w:rFonts w:hint="default"/>
                <w:sz w:val="24"/>
                <w:szCs w:val="24"/>
                <w:vertAlign w:val="baseline"/>
              </w:rPr>
            </w:pPr>
            <w:r>
              <w:rPr>
                <w:rFonts w:hint="default"/>
                <w:sz w:val="24"/>
                <w:szCs w:val="24"/>
                <w:vertAlign w:val="baseline"/>
              </w:rPr>
              <w:t> facteurs II VII X abaisses</w:t>
            </w:r>
          </w:p>
          <w:p w14:paraId="2EEDCAB3">
            <w:pPr>
              <w:widowControl w:val="0"/>
              <w:jc w:val="both"/>
              <w:rPr>
                <w:rFonts w:hint="default"/>
                <w:sz w:val="24"/>
                <w:szCs w:val="24"/>
                <w:vertAlign w:val="baseline"/>
              </w:rPr>
            </w:pPr>
            <w:r>
              <w:rPr>
                <w:rFonts w:hint="default"/>
                <w:sz w:val="24"/>
                <w:szCs w:val="24"/>
                <w:vertAlign w:val="baseline"/>
              </w:rPr>
              <w:t> facteur V normal</w:t>
            </w:r>
          </w:p>
          <w:p w14:paraId="7FEA129B">
            <w:pPr>
              <w:widowControl w:val="0"/>
              <w:jc w:val="both"/>
              <w:rPr>
                <w:rFonts w:hint="default"/>
                <w:sz w:val="24"/>
                <w:szCs w:val="24"/>
                <w:vertAlign w:val="baseline"/>
              </w:rPr>
            </w:pPr>
            <w:r>
              <w:rPr>
                <w:rFonts w:hint="default"/>
                <w:sz w:val="24"/>
                <w:szCs w:val="24"/>
                <w:vertAlign w:val="baseline"/>
              </w:rPr>
              <w:t> corrigé par la vitamine K IV (test de Koller</w:t>
            </w:r>
            <w:r>
              <w:rPr>
                <w:rFonts w:hint="default"/>
                <w:sz w:val="24"/>
                <w:szCs w:val="24"/>
                <w:vertAlign w:val="baseline"/>
                <w:lang w:val="en-US"/>
              </w:rPr>
              <w:t xml:space="preserve"> </w:t>
            </w:r>
            <w:r>
              <w:rPr>
                <w:rFonts w:hint="default"/>
                <w:sz w:val="24"/>
                <w:szCs w:val="24"/>
                <w:vertAlign w:val="baseline"/>
              </w:rPr>
              <w:t>positif)</w:t>
            </w:r>
          </w:p>
          <w:p w14:paraId="0D36C3AD">
            <w:pPr>
              <w:widowControl w:val="0"/>
              <w:jc w:val="both"/>
              <w:rPr>
                <w:rFonts w:hint="default"/>
                <w:sz w:val="24"/>
                <w:szCs w:val="24"/>
                <w:vertAlign w:val="baseline"/>
              </w:rPr>
            </w:pPr>
            <w:r>
              <w:rPr>
                <w:rFonts w:hint="default"/>
                <w:sz w:val="24"/>
                <w:szCs w:val="24"/>
                <w:vertAlign w:val="baseline"/>
              </w:rPr>
              <w:t> osteopénie</w:t>
            </w:r>
          </w:p>
          <w:p w14:paraId="184302D9">
            <w:pPr>
              <w:widowControl w:val="0"/>
              <w:jc w:val="both"/>
              <w:rPr>
                <w:rFonts w:hint="default"/>
                <w:sz w:val="24"/>
                <w:szCs w:val="24"/>
                <w:vertAlign w:val="baseline"/>
              </w:rPr>
            </w:pPr>
            <w:r>
              <w:rPr>
                <w:rFonts w:hint="default"/>
                <w:sz w:val="24"/>
                <w:szCs w:val="24"/>
                <w:vertAlign w:val="baseline"/>
              </w:rPr>
              <w:t> trouble de la vision nocturne.</w:t>
            </w:r>
          </w:p>
          <w:p w14:paraId="6F315EC1">
            <w:pPr>
              <w:widowControl w:val="0"/>
              <w:jc w:val="both"/>
              <w:rPr>
                <w:rFonts w:hint="default"/>
                <w:sz w:val="24"/>
                <w:szCs w:val="24"/>
                <w:vertAlign w:val="baseline"/>
              </w:rPr>
            </w:pPr>
            <w:r>
              <w:rPr>
                <w:rFonts w:hint="default"/>
                <w:sz w:val="24"/>
                <w:szCs w:val="24"/>
                <w:vertAlign w:val="baseline"/>
              </w:rPr>
              <w:t>• Hypercholestérolémie, xanthomes et ecchymoses</w:t>
            </w:r>
          </w:p>
          <w:p w14:paraId="52342851">
            <w:pPr>
              <w:widowControl w:val="0"/>
              <w:jc w:val="both"/>
              <w:rPr>
                <w:sz w:val="24"/>
                <w:szCs w:val="24"/>
                <w:vertAlign w:val="baseline"/>
              </w:rPr>
            </w:pPr>
            <w:r>
              <w:rPr>
                <w:rFonts w:hint="default"/>
                <w:sz w:val="24"/>
                <w:szCs w:val="24"/>
                <w:vertAlign w:val="baseline"/>
              </w:rPr>
              <w:t>• Cirrhose biliaire secondaire (IHC, HTP)</w:t>
            </w:r>
          </w:p>
        </w:tc>
      </w:tr>
      <w:tr w14:paraId="203411DA">
        <w:tc>
          <w:tcPr>
            <w:tcW w:w="427" w:type="dxa"/>
          </w:tcPr>
          <w:p w14:paraId="5C594195">
            <w:pPr>
              <w:widowControl w:val="0"/>
              <w:numPr>
                <w:ilvl w:val="0"/>
                <w:numId w:val="1"/>
              </w:numPr>
              <w:ind w:left="425" w:leftChars="0" w:hanging="425" w:firstLineChars="0"/>
              <w:jc w:val="both"/>
              <w:rPr>
                <w:vertAlign w:val="baseline"/>
              </w:rPr>
            </w:pPr>
          </w:p>
        </w:tc>
        <w:tc>
          <w:tcPr>
            <w:tcW w:w="607" w:type="dxa"/>
          </w:tcPr>
          <w:p w14:paraId="3180F3CF">
            <w:pPr>
              <w:widowControl w:val="0"/>
              <w:jc w:val="both"/>
              <w:rPr>
                <w:rFonts w:hint="default"/>
                <w:vertAlign w:val="baseline"/>
                <w:lang w:val="en-US"/>
              </w:rPr>
            </w:pPr>
            <w:r>
              <w:rPr>
                <w:rFonts w:hint="default"/>
                <w:vertAlign w:val="baseline"/>
                <w:lang w:val="en-US"/>
              </w:rPr>
              <w:t>E</w:t>
            </w:r>
          </w:p>
        </w:tc>
        <w:tc>
          <w:tcPr>
            <w:tcW w:w="9106" w:type="dxa"/>
          </w:tcPr>
          <w:p w14:paraId="246EAF55">
            <w:pPr>
              <w:widowControl w:val="0"/>
              <w:jc w:val="both"/>
              <w:rPr>
                <w:rFonts w:hint="default"/>
                <w:sz w:val="24"/>
                <w:szCs w:val="24"/>
                <w:vertAlign w:val="baseline"/>
                <w:lang w:val="en-US" w:eastAsia="zh-CN"/>
              </w:rPr>
            </w:pPr>
            <w:r>
              <w:rPr>
                <w:rFonts w:hint="default"/>
                <w:sz w:val="24"/>
                <w:szCs w:val="24"/>
                <w:vertAlign w:val="baseline"/>
                <w:lang w:val="en-US" w:eastAsia="zh-CN"/>
              </w:rPr>
              <w:t>-</w:t>
            </w:r>
            <w:r>
              <w:rPr>
                <w:sz w:val="24"/>
                <w:szCs w:val="24"/>
                <w:vertAlign w:val="baseline"/>
                <w:lang w:val="en-US" w:eastAsia="zh-CN"/>
              </w:rPr>
              <w:t>Bien que le régime hyposodé soit nécessaire, il est</w:t>
            </w:r>
            <w:r>
              <w:rPr>
                <w:rFonts w:hint="default"/>
                <w:sz w:val="24"/>
                <w:szCs w:val="24"/>
                <w:vertAlign w:val="baseline"/>
                <w:lang w:val="en-US" w:eastAsia="zh-CN"/>
              </w:rPr>
              <w:t> </w:t>
            </w:r>
            <w:r>
              <w:rPr>
                <w:sz w:val="24"/>
                <w:szCs w:val="24"/>
                <w:vertAlign w:val="baseline"/>
                <w:lang w:val="en-US" w:eastAsia="zh-CN"/>
              </w:rPr>
              <w:t>insuffisant seul</w:t>
            </w:r>
            <w:r>
              <w:rPr>
                <w:rFonts w:hint="default"/>
                <w:sz w:val="24"/>
                <w:szCs w:val="24"/>
                <w:vertAlign w:val="baseline"/>
                <w:lang w:val="en-US" w:eastAsia="zh-CN"/>
              </w:rPr>
              <w:t xml:space="preserve">. </w:t>
            </w:r>
            <w:r>
              <w:rPr>
                <w:rFonts w:hint="default"/>
                <w:b/>
                <w:bCs/>
                <w:sz w:val="24"/>
                <w:szCs w:val="24"/>
                <w:vertAlign w:val="baseline"/>
                <w:lang w:val="en-US" w:eastAsia="zh-CN"/>
              </w:rPr>
              <w:t>Le traitement de première intention de l'ascite repose sur l'association du </w:t>
            </w:r>
            <w:r>
              <w:rPr>
                <w:b/>
                <w:bCs/>
                <w:sz w:val="24"/>
                <w:szCs w:val="24"/>
                <w:vertAlign w:val="baseline"/>
                <w:lang w:val="en-US" w:eastAsia="zh-CN"/>
              </w:rPr>
              <w:t>régime hyposodé ET des diurétiques</w:t>
            </w:r>
            <w:r>
              <w:rPr>
                <w:rFonts w:hint="default"/>
                <w:b/>
                <w:bCs/>
                <w:sz w:val="24"/>
                <w:szCs w:val="24"/>
                <w:vertAlign w:val="baseline"/>
                <w:lang w:val="en-US" w:eastAsia="zh-CN"/>
              </w:rPr>
              <w:t> (Spironolactone +/- Furosémide)</w:t>
            </w:r>
            <w:r>
              <w:rPr>
                <w:rFonts w:hint="default"/>
                <w:sz w:val="24"/>
                <w:szCs w:val="24"/>
                <w:vertAlign w:val="baseline"/>
                <w:lang w:val="en-US" w:eastAsia="zh-CN"/>
              </w:rPr>
              <w:t>. Chez un patient cirrhotique, le régime seul ne permet que rarement d'obtenir une balance sodée négative efficace.</w:t>
            </w:r>
          </w:p>
          <w:p w14:paraId="0099F4FF">
            <w:pPr>
              <w:widowControl w:val="0"/>
              <w:jc w:val="both"/>
              <w:rPr>
                <w:rFonts w:hint="default"/>
                <w:sz w:val="24"/>
                <w:szCs w:val="24"/>
                <w:vertAlign w:val="baseline"/>
                <w:lang w:val="en-US" w:eastAsia="zh-CN"/>
              </w:rPr>
            </w:pPr>
            <w:r>
              <w:rPr>
                <w:rFonts w:hint="default"/>
                <w:sz w:val="24"/>
                <w:szCs w:val="24"/>
                <w:vertAlign w:val="baseline"/>
                <w:lang w:val="en-US" w:eastAsia="zh-CN"/>
              </w:rPr>
              <w:t xml:space="preserve">- en cas </w:t>
            </w:r>
            <w:r>
              <w:rPr>
                <w:rFonts w:hint="default"/>
                <w:b/>
                <w:bCs/>
                <w:sz w:val="24"/>
                <w:szCs w:val="24"/>
                <w:vertAlign w:val="baseline"/>
                <w:lang w:val="en-US" w:eastAsia="zh-CN"/>
              </w:rPr>
              <w:t>d´ascite de grande abondance une ponction evacuatrice avec perfusion d´albumine</w:t>
            </w:r>
            <w:r>
              <w:rPr>
                <w:rFonts w:hint="default"/>
                <w:sz w:val="24"/>
                <w:szCs w:val="24"/>
                <w:vertAlign w:val="baseline"/>
                <w:lang w:val="en-US" w:eastAsia="zh-CN"/>
              </w:rPr>
              <w:t xml:space="preserve"> est indiqué pour soulager le patient .</w:t>
            </w:r>
          </w:p>
        </w:tc>
      </w:tr>
      <w:tr w14:paraId="1800042A">
        <w:tc>
          <w:tcPr>
            <w:tcW w:w="427" w:type="dxa"/>
          </w:tcPr>
          <w:p w14:paraId="097CAAE8">
            <w:pPr>
              <w:widowControl w:val="0"/>
              <w:numPr>
                <w:ilvl w:val="0"/>
                <w:numId w:val="1"/>
              </w:numPr>
              <w:ind w:left="425" w:leftChars="0" w:hanging="425" w:firstLineChars="0"/>
              <w:jc w:val="both"/>
              <w:rPr>
                <w:vertAlign w:val="baseline"/>
              </w:rPr>
            </w:pPr>
          </w:p>
        </w:tc>
        <w:tc>
          <w:tcPr>
            <w:tcW w:w="607" w:type="dxa"/>
          </w:tcPr>
          <w:p w14:paraId="1AEE5CDC">
            <w:pPr>
              <w:widowControl w:val="0"/>
              <w:jc w:val="both"/>
              <w:rPr>
                <w:rFonts w:hint="default"/>
                <w:vertAlign w:val="baseline"/>
                <w:lang w:val="en-US"/>
              </w:rPr>
            </w:pPr>
            <w:r>
              <w:rPr>
                <w:vertAlign w:val="baseline"/>
                <w:lang w:val="en-US"/>
              </w:rPr>
              <w:t>D</w:t>
            </w:r>
          </w:p>
        </w:tc>
        <w:tc>
          <w:tcPr>
            <w:tcW w:w="9106" w:type="dxa"/>
          </w:tcPr>
          <w:p w14:paraId="3E043376">
            <w:pPr>
              <w:widowControl w:val="0"/>
              <w:jc w:val="both"/>
              <w:rPr>
                <w:rFonts w:hint="default"/>
                <w:sz w:val="24"/>
                <w:szCs w:val="24"/>
                <w:vertAlign w:val="baseline"/>
                <w:lang w:val="en-US"/>
              </w:rPr>
            </w:pPr>
            <w:r>
              <w:rPr>
                <w:rFonts w:hint="default"/>
                <w:sz w:val="24"/>
                <w:szCs w:val="24"/>
                <w:vertAlign w:val="baseline"/>
                <w:lang w:val="en-US"/>
              </w:rPr>
              <w:drawing>
                <wp:inline distT="0" distB="0" distL="114300" distR="114300">
                  <wp:extent cx="5475605" cy="3075940"/>
                  <wp:effectExtent l="0" t="0" r="10795" b="22860"/>
                  <wp:docPr id="10" name="Picture 10" descr="Screenshot 2026-02-16 at 9.46.3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6-02-16 at 9.46.38 PM"/>
                          <pic:cNvPicPr>
                            <a:picLocks noChangeAspect="1"/>
                          </pic:cNvPicPr>
                        </pic:nvPicPr>
                        <pic:blipFill>
                          <a:blip r:embed="rId9"/>
                          <a:stretch>
                            <a:fillRect/>
                          </a:stretch>
                        </pic:blipFill>
                        <pic:spPr>
                          <a:xfrm>
                            <a:off x="0" y="0"/>
                            <a:ext cx="5475605" cy="3075940"/>
                          </a:xfrm>
                          <a:prstGeom prst="rect">
                            <a:avLst/>
                          </a:prstGeom>
                        </pic:spPr>
                      </pic:pic>
                    </a:graphicData>
                  </a:graphic>
                </wp:inline>
              </w:drawing>
            </w:r>
          </w:p>
        </w:tc>
      </w:tr>
      <w:tr w14:paraId="796ECCB2">
        <w:tc>
          <w:tcPr>
            <w:tcW w:w="427" w:type="dxa"/>
          </w:tcPr>
          <w:p w14:paraId="4BD441C7">
            <w:pPr>
              <w:widowControl w:val="0"/>
              <w:numPr>
                <w:ilvl w:val="0"/>
                <w:numId w:val="1"/>
              </w:numPr>
              <w:ind w:left="425" w:leftChars="0" w:hanging="425" w:firstLineChars="0"/>
              <w:jc w:val="both"/>
              <w:rPr>
                <w:vertAlign w:val="baseline"/>
              </w:rPr>
            </w:pPr>
          </w:p>
        </w:tc>
        <w:tc>
          <w:tcPr>
            <w:tcW w:w="607" w:type="dxa"/>
          </w:tcPr>
          <w:p w14:paraId="07C0C505">
            <w:pPr>
              <w:widowControl w:val="0"/>
              <w:jc w:val="both"/>
              <w:rPr>
                <w:rFonts w:hint="default"/>
                <w:vertAlign w:val="baseline"/>
                <w:lang w:val="en-US"/>
              </w:rPr>
            </w:pPr>
            <w:r>
              <w:rPr>
                <w:rFonts w:hint="default"/>
                <w:vertAlign w:val="baseline"/>
                <w:lang w:val="en-US"/>
              </w:rPr>
              <w:t>B</w:t>
            </w:r>
          </w:p>
        </w:tc>
        <w:tc>
          <w:tcPr>
            <w:tcW w:w="9106" w:type="dxa"/>
          </w:tcPr>
          <w:tbl>
            <w:tblPr>
              <w:tblStyle w:val="9"/>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925"/>
              <w:gridCol w:w="2910"/>
              <w:gridCol w:w="2925"/>
            </w:tblGrid>
            <w:tr w14:paraId="77D5B9C5">
              <w:trPr>
                <w:tblHeader/>
                <w:tblCellSpacing w:w="15" w:type="dxa"/>
              </w:trPr>
              <w:tc>
                <w:tcPr>
                  <w:tcW w:w="2880" w:type="dxa"/>
                  <w:shd w:val="clear" w:color="auto" w:fill="auto"/>
                  <w:vAlign w:val="center"/>
                </w:tcPr>
                <w:p w14:paraId="47D064F7">
                  <w:pPr>
                    <w:widowControl w:val="0"/>
                    <w:jc w:val="both"/>
                    <w:rPr>
                      <w:sz w:val="24"/>
                      <w:szCs w:val="24"/>
                      <w:vertAlign w:val="baseline"/>
                    </w:rPr>
                  </w:pPr>
                  <w:r>
                    <w:rPr>
                      <w:color w:val="0000FF"/>
                      <w:sz w:val="24"/>
                      <w:szCs w:val="24"/>
                      <w:vertAlign w:val="baseline"/>
                      <w:lang w:val="en-US" w:eastAsia="zh-CN"/>
                    </w:rPr>
                    <w:t>Caractéristique</w:t>
                  </w:r>
                </w:p>
              </w:tc>
              <w:tc>
                <w:tcPr>
                  <w:tcW w:w="2880" w:type="dxa"/>
                  <w:shd w:val="clear" w:color="auto" w:fill="auto"/>
                  <w:vAlign w:val="center"/>
                </w:tcPr>
                <w:p w14:paraId="7409B1F6">
                  <w:pPr>
                    <w:widowControl w:val="0"/>
                    <w:jc w:val="both"/>
                    <w:rPr>
                      <w:color w:val="0000FF"/>
                      <w:sz w:val="24"/>
                      <w:szCs w:val="24"/>
                      <w:vertAlign w:val="baseline"/>
                    </w:rPr>
                  </w:pPr>
                  <w:r>
                    <w:rPr>
                      <w:color w:val="0000FF"/>
                      <w:sz w:val="24"/>
                      <w:szCs w:val="24"/>
                      <w:vertAlign w:val="baseline"/>
                      <w:lang w:val="en-US" w:eastAsia="zh-CN"/>
                    </w:rPr>
                    <w:t>Adénocarcinome pancréatique</w:t>
                  </w:r>
                </w:p>
              </w:tc>
              <w:tc>
                <w:tcPr>
                  <w:tcW w:w="2880" w:type="dxa"/>
                  <w:shd w:val="clear" w:color="auto" w:fill="auto"/>
                  <w:vAlign w:val="center"/>
                </w:tcPr>
                <w:p w14:paraId="24767B4E">
                  <w:pPr>
                    <w:widowControl w:val="0"/>
                    <w:jc w:val="both"/>
                    <w:rPr>
                      <w:color w:val="0000FF"/>
                      <w:sz w:val="24"/>
                      <w:szCs w:val="24"/>
                      <w:vertAlign w:val="baseline"/>
                    </w:rPr>
                  </w:pPr>
                  <w:r>
                    <w:rPr>
                      <w:color w:val="0000FF"/>
                      <w:sz w:val="24"/>
                      <w:szCs w:val="24"/>
                      <w:vertAlign w:val="baseline"/>
                      <w:lang w:val="en-US" w:eastAsia="zh-CN"/>
                    </w:rPr>
                    <w:t>Cystadénome (tumeur bénigne)</w:t>
                  </w:r>
                </w:p>
              </w:tc>
            </w:tr>
            <w:tr w14:paraId="4521B5AE">
              <w:trPr>
                <w:tblCellSpacing w:w="15" w:type="dxa"/>
              </w:trPr>
              <w:tc>
                <w:tcPr>
                  <w:tcW w:w="2880" w:type="dxa"/>
                  <w:shd w:val="clear" w:color="auto" w:fill="auto"/>
                  <w:vAlign w:val="center"/>
                </w:tcPr>
                <w:p w14:paraId="154D4308">
                  <w:pPr>
                    <w:widowControl w:val="0"/>
                    <w:jc w:val="both"/>
                    <w:rPr>
                      <w:sz w:val="24"/>
                      <w:szCs w:val="24"/>
                      <w:vertAlign w:val="baseline"/>
                    </w:rPr>
                  </w:pPr>
                  <w:r>
                    <w:rPr>
                      <w:sz w:val="24"/>
                      <w:szCs w:val="24"/>
                      <w:vertAlign w:val="baseline"/>
                      <w:lang w:val="en-US" w:eastAsia="zh-CN"/>
                    </w:rPr>
                    <w:t>Architecture</w:t>
                  </w:r>
                </w:p>
              </w:tc>
              <w:tc>
                <w:tcPr>
                  <w:tcW w:w="2880" w:type="dxa"/>
                  <w:shd w:val="clear" w:color="auto" w:fill="auto"/>
                  <w:vAlign w:val="center"/>
                </w:tcPr>
                <w:p w14:paraId="32C4BB10">
                  <w:pPr>
                    <w:widowControl w:val="0"/>
                    <w:jc w:val="both"/>
                    <w:rPr>
                      <w:sz w:val="24"/>
                      <w:szCs w:val="24"/>
                      <w:vertAlign w:val="baseline"/>
                    </w:rPr>
                  </w:pPr>
                  <w:r>
                    <w:rPr>
                      <w:sz w:val="24"/>
                      <w:szCs w:val="24"/>
                      <w:vertAlign w:val="baseline"/>
                      <w:lang w:val="en-US" w:eastAsia="zh-CN"/>
                    </w:rPr>
                    <w:t>Glandes irrégulières, nids de cellules</w:t>
                  </w:r>
                </w:p>
              </w:tc>
              <w:tc>
                <w:tcPr>
                  <w:tcW w:w="2880" w:type="dxa"/>
                  <w:shd w:val="clear" w:color="auto" w:fill="auto"/>
                  <w:vAlign w:val="center"/>
                </w:tcPr>
                <w:p w14:paraId="39EBBFF9">
                  <w:pPr>
                    <w:widowControl w:val="0"/>
                    <w:jc w:val="both"/>
                    <w:rPr>
                      <w:sz w:val="24"/>
                      <w:szCs w:val="24"/>
                      <w:vertAlign w:val="baseline"/>
                    </w:rPr>
                  </w:pPr>
                  <w:r>
                    <w:rPr>
                      <w:sz w:val="24"/>
                      <w:szCs w:val="24"/>
                      <w:vertAlign w:val="baseline"/>
                      <w:lang w:val="en-US" w:eastAsia="zh-CN"/>
                    </w:rPr>
                    <w:t>Kystes ou petites glandes régulières</w:t>
                  </w:r>
                </w:p>
              </w:tc>
            </w:tr>
            <w:tr w14:paraId="595F5E15">
              <w:trPr>
                <w:tblCellSpacing w:w="15" w:type="dxa"/>
              </w:trPr>
              <w:tc>
                <w:tcPr>
                  <w:tcW w:w="2880" w:type="dxa"/>
                  <w:shd w:val="clear" w:color="auto" w:fill="auto"/>
                  <w:vAlign w:val="center"/>
                </w:tcPr>
                <w:p w14:paraId="61F4D4F6">
                  <w:pPr>
                    <w:widowControl w:val="0"/>
                    <w:jc w:val="both"/>
                    <w:rPr>
                      <w:sz w:val="24"/>
                      <w:szCs w:val="24"/>
                      <w:vertAlign w:val="baseline"/>
                    </w:rPr>
                  </w:pPr>
                  <w:r>
                    <w:rPr>
                      <w:sz w:val="24"/>
                      <w:szCs w:val="24"/>
                      <w:vertAlign w:val="baseline"/>
                      <w:lang w:val="en-US" w:eastAsia="zh-CN"/>
                    </w:rPr>
                    <w:t>Cellules</w:t>
                  </w:r>
                </w:p>
              </w:tc>
              <w:tc>
                <w:tcPr>
                  <w:tcW w:w="2880" w:type="dxa"/>
                  <w:shd w:val="clear" w:color="auto" w:fill="auto"/>
                  <w:vAlign w:val="center"/>
                </w:tcPr>
                <w:p w14:paraId="5BAED021">
                  <w:pPr>
                    <w:widowControl w:val="0"/>
                    <w:jc w:val="both"/>
                    <w:rPr>
                      <w:sz w:val="24"/>
                      <w:szCs w:val="24"/>
                      <w:vertAlign w:val="baseline"/>
                    </w:rPr>
                  </w:pPr>
                  <w:r>
                    <w:rPr>
                      <w:sz w:val="24"/>
                      <w:szCs w:val="24"/>
                      <w:vertAlign w:val="baseline"/>
                      <w:lang w:val="en-US" w:eastAsia="zh-CN"/>
                    </w:rPr>
                    <w:t>Cytoplasme modéré à abondant, noyaux hyperchromes, atypiques</w:t>
                  </w:r>
                </w:p>
              </w:tc>
              <w:tc>
                <w:tcPr>
                  <w:tcW w:w="2880" w:type="dxa"/>
                  <w:shd w:val="clear" w:color="auto" w:fill="auto"/>
                  <w:vAlign w:val="center"/>
                </w:tcPr>
                <w:p w14:paraId="41E1B028">
                  <w:pPr>
                    <w:widowControl w:val="0"/>
                    <w:jc w:val="both"/>
                    <w:rPr>
                      <w:sz w:val="24"/>
                      <w:szCs w:val="24"/>
                      <w:vertAlign w:val="baseline"/>
                    </w:rPr>
                  </w:pPr>
                  <w:r>
                    <w:rPr>
                      <w:sz w:val="24"/>
                      <w:szCs w:val="24"/>
                      <w:vertAlign w:val="baseline"/>
                      <w:lang w:val="en-US" w:eastAsia="zh-CN"/>
                    </w:rPr>
                    <w:t>Cellules uniformes, noyaux réguliers</w:t>
                  </w:r>
                </w:p>
              </w:tc>
            </w:tr>
            <w:tr w14:paraId="0B084282">
              <w:trPr>
                <w:tblCellSpacing w:w="15" w:type="dxa"/>
              </w:trPr>
              <w:tc>
                <w:tcPr>
                  <w:tcW w:w="2880" w:type="dxa"/>
                  <w:shd w:val="clear" w:color="auto" w:fill="auto"/>
                  <w:vAlign w:val="center"/>
                </w:tcPr>
                <w:p w14:paraId="192BD791">
                  <w:pPr>
                    <w:widowControl w:val="0"/>
                    <w:jc w:val="both"/>
                    <w:rPr>
                      <w:sz w:val="24"/>
                      <w:szCs w:val="24"/>
                      <w:vertAlign w:val="baseline"/>
                    </w:rPr>
                  </w:pPr>
                  <w:r>
                    <w:rPr>
                      <w:sz w:val="24"/>
                      <w:szCs w:val="24"/>
                      <w:vertAlign w:val="baseline"/>
                      <w:lang w:val="en-US" w:eastAsia="zh-CN"/>
                    </w:rPr>
                    <w:t>Mitoses</w:t>
                  </w:r>
                </w:p>
              </w:tc>
              <w:tc>
                <w:tcPr>
                  <w:tcW w:w="2880" w:type="dxa"/>
                  <w:shd w:val="clear" w:color="auto" w:fill="auto"/>
                  <w:vAlign w:val="center"/>
                </w:tcPr>
                <w:p w14:paraId="47B7ACBA">
                  <w:pPr>
                    <w:widowControl w:val="0"/>
                    <w:jc w:val="both"/>
                    <w:rPr>
                      <w:sz w:val="24"/>
                      <w:szCs w:val="24"/>
                      <w:vertAlign w:val="baseline"/>
                    </w:rPr>
                  </w:pPr>
                  <w:r>
                    <w:rPr>
                      <w:sz w:val="24"/>
                      <w:szCs w:val="24"/>
                      <w:vertAlign w:val="baseline"/>
                      <w:lang w:val="en-US" w:eastAsia="zh-CN"/>
                    </w:rPr>
                    <w:t>Fréquentes, figures mitotiques présentes</w:t>
                  </w:r>
                </w:p>
              </w:tc>
              <w:tc>
                <w:tcPr>
                  <w:tcW w:w="2880" w:type="dxa"/>
                  <w:shd w:val="clear" w:color="auto" w:fill="auto"/>
                  <w:vAlign w:val="center"/>
                </w:tcPr>
                <w:p w14:paraId="2DC83ABC">
                  <w:pPr>
                    <w:widowControl w:val="0"/>
                    <w:jc w:val="both"/>
                    <w:rPr>
                      <w:sz w:val="24"/>
                      <w:szCs w:val="24"/>
                      <w:vertAlign w:val="baseline"/>
                    </w:rPr>
                  </w:pPr>
                  <w:r>
                    <w:rPr>
                      <w:sz w:val="24"/>
                      <w:szCs w:val="24"/>
                      <w:vertAlign w:val="baseline"/>
                      <w:lang w:val="en-US" w:eastAsia="zh-CN"/>
                    </w:rPr>
                    <w:t>Rares ou absentes</w:t>
                  </w:r>
                </w:p>
              </w:tc>
            </w:tr>
            <w:tr w14:paraId="681305B8">
              <w:trPr>
                <w:tblCellSpacing w:w="15" w:type="dxa"/>
              </w:trPr>
              <w:tc>
                <w:tcPr>
                  <w:tcW w:w="2880" w:type="dxa"/>
                  <w:shd w:val="clear" w:color="auto" w:fill="auto"/>
                  <w:vAlign w:val="center"/>
                </w:tcPr>
                <w:p w14:paraId="4FAA31B0">
                  <w:pPr>
                    <w:widowControl w:val="0"/>
                    <w:jc w:val="both"/>
                    <w:rPr>
                      <w:sz w:val="24"/>
                      <w:szCs w:val="24"/>
                      <w:vertAlign w:val="baseline"/>
                    </w:rPr>
                  </w:pPr>
                  <w:r>
                    <w:rPr>
                      <w:sz w:val="24"/>
                      <w:szCs w:val="24"/>
                      <w:vertAlign w:val="baseline"/>
                      <w:lang w:val="en-US" w:eastAsia="zh-CN"/>
                    </w:rPr>
                    <w:t>Stroma</w:t>
                  </w:r>
                </w:p>
              </w:tc>
              <w:tc>
                <w:tcPr>
                  <w:tcW w:w="2880" w:type="dxa"/>
                  <w:shd w:val="clear" w:color="auto" w:fill="auto"/>
                  <w:vAlign w:val="center"/>
                </w:tcPr>
                <w:p w14:paraId="0047EF4B">
                  <w:pPr>
                    <w:widowControl w:val="0"/>
                    <w:jc w:val="both"/>
                    <w:rPr>
                      <w:sz w:val="24"/>
                      <w:szCs w:val="24"/>
                      <w:vertAlign w:val="baseline"/>
                    </w:rPr>
                  </w:pPr>
                  <w:r>
                    <w:rPr>
                      <w:sz w:val="24"/>
                      <w:szCs w:val="24"/>
                      <w:vertAlign w:val="baseline"/>
                      <w:lang w:val="en-US" w:eastAsia="zh-CN"/>
                    </w:rPr>
                    <w:t>Fibro-inflammatoire, réaction des tissus voisins</w:t>
                  </w:r>
                </w:p>
              </w:tc>
              <w:tc>
                <w:tcPr>
                  <w:tcW w:w="2880" w:type="dxa"/>
                  <w:shd w:val="clear" w:color="auto" w:fill="auto"/>
                  <w:vAlign w:val="center"/>
                </w:tcPr>
                <w:p w14:paraId="5C61865D">
                  <w:pPr>
                    <w:widowControl w:val="0"/>
                    <w:jc w:val="both"/>
                    <w:rPr>
                      <w:sz w:val="24"/>
                      <w:szCs w:val="24"/>
                      <w:vertAlign w:val="baseline"/>
                    </w:rPr>
                  </w:pPr>
                  <w:r>
                    <w:rPr>
                      <w:sz w:val="24"/>
                      <w:szCs w:val="24"/>
                      <w:vertAlign w:val="baseline"/>
                      <w:lang w:val="en-US" w:eastAsia="zh-CN"/>
                    </w:rPr>
                    <w:t>Peu ou pas de réaction stromale</w:t>
                  </w:r>
                </w:p>
              </w:tc>
            </w:tr>
            <w:tr w14:paraId="336DE0BE">
              <w:trPr>
                <w:tblCellSpacing w:w="15" w:type="dxa"/>
              </w:trPr>
              <w:tc>
                <w:tcPr>
                  <w:tcW w:w="2880" w:type="dxa"/>
                  <w:shd w:val="clear" w:color="auto" w:fill="auto"/>
                  <w:vAlign w:val="center"/>
                </w:tcPr>
                <w:p w14:paraId="234F6810">
                  <w:pPr>
                    <w:widowControl w:val="0"/>
                    <w:jc w:val="both"/>
                    <w:rPr>
                      <w:sz w:val="24"/>
                      <w:szCs w:val="24"/>
                      <w:vertAlign w:val="baseline"/>
                    </w:rPr>
                  </w:pPr>
                  <w:r>
                    <w:rPr>
                      <w:sz w:val="24"/>
                      <w:szCs w:val="24"/>
                      <w:vertAlign w:val="baseline"/>
                      <w:lang w:val="en-US" w:eastAsia="zh-CN"/>
                    </w:rPr>
                    <w:t>Comportement clinique</w:t>
                  </w:r>
                </w:p>
              </w:tc>
              <w:tc>
                <w:tcPr>
                  <w:tcW w:w="2880" w:type="dxa"/>
                  <w:shd w:val="clear" w:color="auto" w:fill="auto"/>
                  <w:vAlign w:val="center"/>
                </w:tcPr>
                <w:p w14:paraId="6C67456E">
                  <w:pPr>
                    <w:widowControl w:val="0"/>
                    <w:jc w:val="both"/>
                    <w:rPr>
                      <w:sz w:val="24"/>
                      <w:szCs w:val="24"/>
                      <w:vertAlign w:val="baseline"/>
                    </w:rPr>
                  </w:pPr>
                  <w:r>
                    <w:rPr>
                      <w:sz w:val="24"/>
                      <w:szCs w:val="24"/>
                      <w:vertAlign w:val="baseline"/>
                      <w:lang w:val="en-US" w:eastAsia="zh-CN"/>
                    </w:rPr>
                    <w:t>Maligne, infiltrante, métastases possibles</w:t>
                  </w:r>
                </w:p>
              </w:tc>
              <w:tc>
                <w:tcPr>
                  <w:tcW w:w="2880" w:type="dxa"/>
                  <w:shd w:val="clear" w:color="auto" w:fill="auto"/>
                  <w:vAlign w:val="center"/>
                </w:tcPr>
                <w:p w14:paraId="1E9F381F">
                  <w:pPr>
                    <w:widowControl w:val="0"/>
                    <w:jc w:val="both"/>
                    <w:rPr>
                      <w:sz w:val="24"/>
                      <w:szCs w:val="24"/>
                      <w:vertAlign w:val="baseline"/>
                    </w:rPr>
                  </w:pPr>
                  <w:r>
                    <w:rPr>
                      <w:sz w:val="24"/>
                      <w:szCs w:val="24"/>
                      <w:vertAlign w:val="baseline"/>
                      <w:lang w:val="en-US" w:eastAsia="zh-CN"/>
                    </w:rPr>
                    <w:t>Bénigne, croissance lente, pas d’invasion</w:t>
                  </w:r>
                </w:p>
              </w:tc>
            </w:tr>
            <w:tr w14:paraId="3F8D289A">
              <w:trPr>
                <w:tblCellSpacing w:w="15" w:type="dxa"/>
              </w:trPr>
              <w:tc>
                <w:tcPr>
                  <w:tcW w:w="2880" w:type="dxa"/>
                  <w:shd w:val="clear" w:color="auto" w:fill="auto"/>
                  <w:vAlign w:val="center"/>
                </w:tcPr>
                <w:p w14:paraId="3AB9DE7B">
                  <w:pPr>
                    <w:widowControl w:val="0"/>
                    <w:jc w:val="both"/>
                    <w:rPr>
                      <w:sz w:val="24"/>
                      <w:szCs w:val="24"/>
                      <w:vertAlign w:val="baseline"/>
                    </w:rPr>
                  </w:pPr>
                  <w:r>
                    <w:rPr>
                      <w:sz w:val="24"/>
                      <w:szCs w:val="24"/>
                      <w:vertAlign w:val="baseline"/>
                      <w:lang w:val="en-US" w:eastAsia="zh-CN"/>
                    </w:rPr>
                    <w:t>Exemple d’imagerie</w:t>
                  </w:r>
                </w:p>
              </w:tc>
              <w:tc>
                <w:tcPr>
                  <w:tcW w:w="2880" w:type="dxa"/>
                  <w:shd w:val="clear" w:color="auto" w:fill="auto"/>
                  <w:vAlign w:val="center"/>
                </w:tcPr>
                <w:p w14:paraId="6E101032">
                  <w:pPr>
                    <w:widowControl w:val="0"/>
                    <w:jc w:val="both"/>
                    <w:rPr>
                      <w:sz w:val="24"/>
                      <w:szCs w:val="24"/>
                      <w:vertAlign w:val="baseline"/>
                    </w:rPr>
                  </w:pPr>
                  <w:r>
                    <w:rPr>
                      <w:sz w:val="24"/>
                      <w:szCs w:val="24"/>
                      <w:vertAlign w:val="baseline"/>
                      <w:lang w:val="en-US" w:eastAsia="zh-CN"/>
                    </w:rPr>
                    <w:t>Masse solide, souvent irrégulière, peut obstruer le canal pancréatique</w:t>
                  </w:r>
                </w:p>
              </w:tc>
              <w:tc>
                <w:tcPr>
                  <w:tcW w:w="2880" w:type="dxa"/>
                  <w:shd w:val="clear" w:color="auto" w:fill="auto"/>
                  <w:vAlign w:val="center"/>
                </w:tcPr>
                <w:p w14:paraId="720A34F3">
                  <w:pPr>
                    <w:widowControl w:val="0"/>
                    <w:jc w:val="both"/>
                    <w:rPr>
                      <w:sz w:val="24"/>
                      <w:szCs w:val="24"/>
                      <w:vertAlign w:val="baseline"/>
                    </w:rPr>
                  </w:pPr>
                  <w:r>
                    <w:rPr>
                      <w:sz w:val="24"/>
                      <w:szCs w:val="24"/>
                      <w:vertAlign w:val="baseline"/>
                      <w:lang w:val="en-US" w:eastAsia="zh-CN"/>
                    </w:rPr>
                    <w:t>Masse kystique, bordée d’épithélium, bien circonscrite</w:t>
                  </w:r>
                </w:p>
              </w:tc>
            </w:tr>
          </w:tbl>
          <w:p w14:paraId="6A168B30">
            <w:pPr>
              <w:widowControl w:val="0"/>
              <w:jc w:val="both"/>
              <w:rPr>
                <w:sz w:val="24"/>
                <w:szCs w:val="24"/>
                <w:vertAlign w:val="baseline"/>
              </w:rPr>
            </w:pPr>
          </w:p>
        </w:tc>
      </w:tr>
      <w:tr w14:paraId="198A6CBA">
        <w:tc>
          <w:tcPr>
            <w:tcW w:w="427" w:type="dxa"/>
          </w:tcPr>
          <w:p w14:paraId="2EB70EE1">
            <w:pPr>
              <w:widowControl w:val="0"/>
              <w:numPr>
                <w:ilvl w:val="0"/>
                <w:numId w:val="1"/>
              </w:numPr>
              <w:ind w:left="425" w:leftChars="0" w:hanging="425" w:firstLineChars="0"/>
              <w:jc w:val="both"/>
              <w:rPr>
                <w:vertAlign w:val="baseline"/>
              </w:rPr>
            </w:pPr>
          </w:p>
        </w:tc>
        <w:tc>
          <w:tcPr>
            <w:tcW w:w="607" w:type="dxa"/>
          </w:tcPr>
          <w:p w14:paraId="6D54F1F6">
            <w:pPr>
              <w:widowControl w:val="0"/>
              <w:jc w:val="both"/>
              <w:rPr>
                <w:rFonts w:hint="default"/>
                <w:vertAlign w:val="baseline"/>
                <w:lang w:val="en-US"/>
              </w:rPr>
            </w:pPr>
            <w:r>
              <w:rPr>
                <w:rFonts w:hint="default"/>
                <w:vertAlign w:val="baseline"/>
                <w:lang w:val="en-US"/>
              </w:rPr>
              <w:t>C</w:t>
            </w:r>
          </w:p>
        </w:tc>
        <w:tc>
          <w:tcPr>
            <w:tcW w:w="9106" w:type="dxa"/>
          </w:tcPr>
          <w:p w14:paraId="02AE2ED2">
            <w:pPr>
              <w:widowControl w:val="0"/>
              <w:jc w:val="both"/>
              <w:rPr>
                <w:rFonts w:hint="default"/>
                <w:b/>
                <w:bCs/>
                <w:sz w:val="24"/>
                <w:szCs w:val="24"/>
                <w:vertAlign w:val="baseline"/>
                <w:lang w:val="en-US" w:eastAsia="zh-CN"/>
              </w:rPr>
            </w:pPr>
            <w:r>
              <w:rPr>
                <w:rFonts w:hint="default"/>
                <w:b/>
                <w:bCs/>
                <w:sz w:val="24"/>
                <w:szCs w:val="24"/>
                <w:vertAlign w:val="baseline"/>
                <w:lang w:val="en-US" w:eastAsia="zh-CN"/>
              </w:rPr>
              <w:t>C’est quoi l’infection spontanée du liquide d’ascite (ISLA) ?</w:t>
            </w:r>
          </w:p>
          <w:p w14:paraId="4AF0F381">
            <w:pPr>
              <w:widowControl w:val="0"/>
              <w:jc w:val="both"/>
              <w:rPr>
                <w:rFonts w:hint="default"/>
                <w:sz w:val="24"/>
                <w:szCs w:val="24"/>
                <w:vertAlign w:val="baseline"/>
                <w:lang w:val="en-US" w:eastAsia="zh-CN"/>
              </w:rPr>
            </w:pPr>
            <w:r>
              <w:rPr>
                <w:rFonts w:hint="default"/>
                <w:sz w:val="24"/>
                <w:szCs w:val="24"/>
                <w:vertAlign w:val="baseline"/>
                <w:lang w:val="en-US" w:eastAsia="zh-CN"/>
              </w:rPr>
              <w:t>-Est définie par : des PNN &gt; 250/mm3 avec l’absence de perforation digestive / foyer infection intra abdominal.</w:t>
            </w:r>
          </w:p>
          <w:p w14:paraId="0FE1F735">
            <w:pPr>
              <w:widowControl w:val="0"/>
              <w:jc w:val="both"/>
              <w:rPr>
                <w:rFonts w:hint="default"/>
                <w:sz w:val="24"/>
                <w:szCs w:val="24"/>
                <w:vertAlign w:val="baseline"/>
                <w:lang w:val="en-US" w:eastAsia="zh-CN"/>
              </w:rPr>
            </w:pPr>
            <w:r>
              <w:rPr>
                <w:rFonts w:hint="default"/>
                <w:sz w:val="24"/>
                <w:szCs w:val="24"/>
                <w:vertAlign w:val="baseline"/>
                <w:lang w:val="en-US" w:eastAsia="zh-CN"/>
              </w:rPr>
              <w:t>C’est une complication fréquente, dont le pronostic est très mauvais pour le patient.</w:t>
            </w:r>
          </w:p>
          <w:p w14:paraId="64D3D5D3">
            <w:pPr>
              <w:widowControl w:val="0"/>
              <w:jc w:val="both"/>
              <w:rPr>
                <w:rFonts w:hint="default"/>
                <w:sz w:val="24"/>
                <w:szCs w:val="24"/>
                <w:vertAlign w:val="baseline"/>
                <w:lang w:val="en-US" w:eastAsia="zh-CN"/>
              </w:rPr>
            </w:pPr>
            <w:r>
              <w:rPr>
                <w:rFonts w:hint="default"/>
                <w:sz w:val="24"/>
                <w:szCs w:val="24"/>
                <w:vertAlign w:val="baseline"/>
                <w:lang w:val="en-US" w:eastAsia="zh-CN"/>
              </w:rPr>
              <w:t>-L’ISLA est à différencier de la Bactérascitie, cette dernière présente de PNN &lt; 250/mm3 et peut se voir à la phase initiale du développement de l’ISLA</w:t>
            </w:r>
          </w:p>
          <w:p w14:paraId="5BA85EEC">
            <w:pPr>
              <w:widowControl w:val="0"/>
              <w:jc w:val="both"/>
              <w:rPr>
                <w:rFonts w:hint="default"/>
                <w:sz w:val="24"/>
                <w:szCs w:val="24"/>
                <w:vertAlign w:val="baseline"/>
                <w:lang w:val="en-US" w:eastAsia="zh-CN"/>
              </w:rPr>
            </w:pPr>
          </w:p>
          <w:p w14:paraId="03E39E37">
            <w:pPr>
              <w:widowControl w:val="0"/>
              <w:jc w:val="both"/>
              <w:rPr>
                <w:sz w:val="24"/>
                <w:szCs w:val="24"/>
                <w:vertAlign w:val="baseline"/>
              </w:rPr>
            </w:pPr>
            <w:r>
              <w:rPr>
                <w:sz w:val="24"/>
                <w:szCs w:val="24"/>
                <w:vertAlign w:val="baseline"/>
                <w:lang w:val="en-US" w:eastAsia="zh-CN"/>
              </w:rPr>
              <w:t xml:space="preserve">La </w:t>
            </w:r>
            <w:r>
              <w:rPr>
                <w:b/>
                <w:bCs/>
                <w:sz w:val="24"/>
                <w:szCs w:val="24"/>
                <w:vertAlign w:val="baseline"/>
                <w:lang w:val="en-US" w:eastAsia="zh-CN"/>
              </w:rPr>
              <w:t>ponction</w:t>
            </w:r>
            <w:r>
              <w:rPr>
                <w:rFonts w:hint="default"/>
                <w:b/>
                <w:bCs/>
                <w:sz w:val="24"/>
                <w:szCs w:val="24"/>
                <w:vertAlign w:val="baseline"/>
                <w:lang w:val="en-US" w:eastAsia="zh-CN"/>
              </w:rPr>
              <w:t> </w:t>
            </w:r>
            <w:r>
              <w:rPr>
                <w:b/>
                <w:bCs/>
                <w:sz w:val="24"/>
                <w:szCs w:val="24"/>
                <w:vertAlign w:val="baseline"/>
                <w:lang w:val="en-US" w:eastAsia="zh-CN"/>
              </w:rPr>
              <w:t>exploratrice</w:t>
            </w:r>
            <w:r>
              <w:rPr>
                <w:rFonts w:hint="default"/>
                <w:sz w:val="24"/>
                <w:szCs w:val="24"/>
                <w:vertAlign w:val="baseline"/>
                <w:lang w:val="en-US" w:eastAsia="zh-CN"/>
              </w:rPr>
              <w:t xml:space="preserve"> est effectivement impérative et systématique pour le diagnostic. </w:t>
            </w:r>
            <w:r>
              <w:rPr>
                <w:rFonts w:hint="default"/>
                <w:b/>
                <w:bCs/>
                <w:sz w:val="24"/>
                <w:szCs w:val="24"/>
                <w:vertAlign w:val="baseline"/>
                <w:lang w:val="en-US" w:eastAsia="zh-CN"/>
              </w:rPr>
              <w:t>En revanche, la ponction </w:t>
            </w:r>
            <w:r>
              <w:rPr>
                <w:b/>
                <w:bCs/>
                <w:sz w:val="24"/>
                <w:szCs w:val="24"/>
                <w:vertAlign w:val="baseline"/>
                <w:lang w:val="en-US" w:eastAsia="zh-CN"/>
              </w:rPr>
              <w:t>évacuatrice</w:t>
            </w:r>
            <w:r>
              <w:rPr>
                <w:rFonts w:hint="default"/>
                <w:b/>
                <w:bCs/>
                <w:sz w:val="24"/>
                <w:szCs w:val="24"/>
                <w:vertAlign w:val="baseline"/>
                <w:lang w:val="en-US" w:eastAsia="zh-CN"/>
              </w:rPr>
              <w:t> (visant à vider l'ascite pour soulager le patient) n'est pas nécessaire au diagnostic</w:t>
            </w:r>
            <w:r>
              <w:rPr>
                <w:rFonts w:hint="default"/>
                <w:sz w:val="24"/>
                <w:szCs w:val="24"/>
                <w:vertAlign w:val="baseline"/>
                <w:lang w:val="en-US" w:eastAsia="zh-CN"/>
              </w:rPr>
              <w:t xml:space="preserve"> et peut même être différée si le patient est instable. Seul le prélèvement de quelques millilitres suffit pour l'analyse.</w:t>
            </w:r>
          </w:p>
        </w:tc>
      </w:tr>
      <w:tr w14:paraId="7E288F72">
        <w:tc>
          <w:tcPr>
            <w:tcW w:w="427" w:type="dxa"/>
          </w:tcPr>
          <w:p w14:paraId="43D2F6EC">
            <w:pPr>
              <w:widowControl w:val="0"/>
              <w:numPr>
                <w:ilvl w:val="0"/>
                <w:numId w:val="1"/>
              </w:numPr>
              <w:ind w:left="425" w:leftChars="0" w:hanging="425" w:firstLineChars="0"/>
              <w:jc w:val="both"/>
              <w:rPr>
                <w:vertAlign w:val="baseline"/>
              </w:rPr>
            </w:pPr>
          </w:p>
        </w:tc>
        <w:tc>
          <w:tcPr>
            <w:tcW w:w="607" w:type="dxa"/>
          </w:tcPr>
          <w:p w14:paraId="4819FE7A">
            <w:pPr>
              <w:widowControl w:val="0"/>
              <w:jc w:val="both"/>
              <w:rPr>
                <w:rFonts w:hint="default"/>
                <w:vertAlign w:val="baseline"/>
                <w:lang w:val="en-US"/>
              </w:rPr>
            </w:pPr>
            <w:r>
              <w:rPr>
                <w:rFonts w:hint="default"/>
                <w:vertAlign w:val="baseline"/>
                <w:lang w:val="en-US"/>
              </w:rPr>
              <w:t>E</w:t>
            </w:r>
          </w:p>
        </w:tc>
        <w:tc>
          <w:tcPr>
            <w:tcW w:w="9106" w:type="dxa"/>
          </w:tcPr>
          <w:p w14:paraId="1DE85AAC">
            <w:pPr>
              <w:widowControl w:val="0"/>
              <w:jc w:val="both"/>
              <w:rPr>
                <w:rFonts w:hint="default"/>
                <w:b/>
                <w:bCs/>
                <w:sz w:val="24"/>
                <w:szCs w:val="24"/>
                <w:vertAlign w:val="baseline"/>
                <w:lang w:val="en-US"/>
              </w:rPr>
            </w:pPr>
            <w:r>
              <w:rPr>
                <w:rFonts w:hint="default"/>
                <w:b/>
                <w:bCs/>
                <w:sz w:val="24"/>
                <w:szCs w:val="24"/>
                <w:vertAlign w:val="baseline"/>
                <w:lang w:val="en-US"/>
              </w:rPr>
              <w:t>examens complémentaire dans la pancreatite chronique :</w:t>
            </w:r>
          </w:p>
          <w:p w14:paraId="3A5BCBFD">
            <w:pPr>
              <w:widowControl w:val="0"/>
              <w:jc w:val="both"/>
              <w:rPr>
                <w:rFonts w:hint="default"/>
                <w:sz w:val="24"/>
                <w:szCs w:val="24"/>
                <w:vertAlign w:val="baseline"/>
              </w:rPr>
            </w:pPr>
            <w:r>
              <w:rPr>
                <w:rFonts w:hint="default"/>
                <w:b/>
                <w:bCs/>
                <w:sz w:val="24"/>
                <w:szCs w:val="24"/>
                <w:vertAlign w:val="baseline"/>
                <w:lang w:val="en-US"/>
              </w:rPr>
              <w:t>-</w:t>
            </w:r>
            <w:r>
              <w:rPr>
                <w:rFonts w:hint="default"/>
                <w:b/>
                <w:bCs/>
                <w:sz w:val="24"/>
                <w:szCs w:val="24"/>
                <w:vertAlign w:val="baseline"/>
              </w:rPr>
              <w:t>1ère intention</w:t>
            </w:r>
            <w:r>
              <w:rPr>
                <w:rFonts w:hint="default"/>
                <w:sz w:val="24"/>
                <w:szCs w:val="24"/>
                <w:vertAlign w:val="baseline"/>
              </w:rPr>
              <w:t xml:space="preserve"> ; scanner, *est l’examen non invasif </w:t>
            </w:r>
            <w:r>
              <w:rPr>
                <w:rFonts w:hint="default"/>
                <w:b/>
                <w:bCs/>
                <w:sz w:val="24"/>
                <w:szCs w:val="24"/>
                <w:vertAlign w:val="baseline"/>
              </w:rPr>
              <w:t>le + sensible au dg</w:t>
            </w:r>
            <w:r>
              <w:rPr>
                <w:rFonts w:hint="default"/>
                <w:sz w:val="24"/>
                <w:szCs w:val="24"/>
                <w:vertAlign w:val="baseline"/>
              </w:rPr>
              <w:t>, permet de faire le bilan des lésions</w:t>
            </w:r>
            <w:r>
              <w:rPr>
                <w:rFonts w:hint="default"/>
                <w:sz w:val="24"/>
                <w:szCs w:val="24"/>
                <w:vertAlign w:val="baseline"/>
                <w:lang w:val="en-US"/>
              </w:rPr>
              <w:t xml:space="preserve"> </w:t>
            </w:r>
            <w:r>
              <w:rPr>
                <w:rFonts w:hint="default"/>
                <w:sz w:val="24"/>
                <w:szCs w:val="24"/>
                <w:vertAlign w:val="baseline"/>
              </w:rPr>
              <w:t>pancréatiques (calcifications [*aspect hétérogène du pancréas], lésions des canaux pancréatiques à type de sténoses,dilatation…) et de rechercher des complications (pseudo-kystes, compression de la veine splénique, la VBP…).</w:t>
            </w:r>
          </w:p>
          <w:p w14:paraId="101FDE2E">
            <w:pPr>
              <w:widowControl w:val="0"/>
              <w:jc w:val="both"/>
              <w:rPr>
                <w:rFonts w:hint="default"/>
                <w:b/>
                <w:bCs/>
                <w:sz w:val="24"/>
                <w:szCs w:val="24"/>
                <w:vertAlign w:val="baseline"/>
              </w:rPr>
            </w:pPr>
            <w:r>
              <w:rPr>
                <w:rFonts w:hint="default"/>
                <w:b/>
                <w:bCs/>
                <w:sz w:val="24"/>
                <w:szCs w:val="24"/>
                <w:vertAlign w:val="baseline"/>
                <w:lang w:val="en-US"/>
              </w:rPr>
              <w:t>-</w:t>
            </w:r>
            <w:r>
              <w:rPr>
                <w:rFonts w:hint="default"/>
                <w:b/>
                <w:bCs/>
                <w:sz w:val="24"/>
                <w:szCs w:val="24"/>
                <w:vertAlign w:val="baseline"/>
              </w:rPr>
              <w:t xml:space="preserve"> 2ème intention :</w:t>
            </w:r>
          </w:p>
          <w:p w14:paraId="27B81C97">
            <w:pPr>
              <w:widowControl w:val="0"/>
              <w:jc w:val="both"/>
              <w:rPr>
                <w:rFonts w:hint="default"/>
                <w:sz w:val="24"/>
                <w:szCs w:val="24"/>
                <w:vertAlign w:val="baseline"/>
              </w:rPr>
            </w:pPr>
            <w:r>
              <w:rPr>
                <w:rFonts w:hint="default"/>
                <w:sz w:val="24"/>
                <w:szCs w:val="24"/>
                <w:vertAlign w:val="baseline"/>
              </w:rPr>
              <w:t>+ Écho-endo bilio pancréatique (examen invasif) -&amp;gt; intérêt dg par mise en évidence de signes précoces de PC et intérêt pourle drainage des pseudo-kystes. [*L’EE digestive est très et la + sensible au dg et elle est plus performante que le scanner</w:t>
            </w:r>
            <w:r>
              <w:rPr>
                <w:rFonts w:hint="default"/>
                <w:sz w:val="24"/>
                <w:szCs w:val="24"/>
                <w:vertAlign w:val="baseline"/>
                <w:lang w:val="en-US"/>
              </w:rPr>
              <w:t xml:space="preserve"> </w:t>
            </w:r>
            <w:r>
              <w:rPr>
                <w:rFonts w:hint="default"/>
                <w:sz w:val="24"/>
                <w:szCs w:val="24"/>
                <w:vertAlign w:val="baseline"/>
              </w:rPr>
              <w:t>abdominal dans l’évaluation des lésions]</w:t>
            </w:r>
          </w:p>
          <w:p w14:paraId="7AC44560">
            <w:pPr>
              <w:widowControl w:val="0"/>
              <w:jc w:val="both"/>
              <w:rPr>
                <w:rFonts w:hint="default"/>
                <w:sz w:val="24"/>
                <w:szCs w:val="24"/>
                <w:vertAlign w:val="baseline"/>
              </w:rPr>
            </w:pPr>
            <w:r>
              <w:rPr>
                <w:rFonts w:hint="default"/>
                <w:sz w:val="24"/>
                <w:szCs w:val="24"/>
                <w:vertAlign w:val="baseline"/>
              </w:rPr>
              <w:t>+ Wirsungo-IRM -&amp;gt; permet le bilan précis des lésions canalaires, tend à devenir l’examen de référence même si le scanner</w:t>
            </w:r>
            <w:r>
              <w:rPr>
                <w:rFonts w:hint="default"/>
                <w:sz w:val="24"/>
                <w:szCs w:val="24"/>
                <w:vertAlign w:val="baseline"/>
                <w:lang w:val="en-US"/>
              </w:rPr>
              <w:t xml:space="preserve"> </w:t>
            </w:r>
            <w:r>
              <w:rPr>
                <w:rFonts w:hint="default"/>
                <w:sz w:val="24"/>
                <w:szCs w:val="24"/>
                <w:vertAlign w:val="baseline"/>
              </w:rPr>
              <w:t>reste l’examen de 1ère intention.</w:t>
            </w:r>
          </w:p>
          <w:p w14:paraId="4D5B9A04">
            <w:pPr>
              <w:widowControl w:val="0"/>
              <w:jc w:val="both"/>
              <w:rPr>
                <w:sz w:val="24"/>
                <w:szCs w:val="24"/>
                <w:vertAlign w:val="baseline"/>
              </w:rPr>
            </w:pPr>
            <w:r>
              <w:rPr>
                <w:rFonts w:hint="default"/>
                <w:sz w:val="24"/>
                <w:szCs w:val="24"/>
                <w:vertAlign w:val="baseline"/>
              </w:rPr>
              <w:t>+ CPRE -&amp;gt; intérêt thérapeutique seulement dans la PEC des lésions des canaux pancréatiques.</w:t>
            </w:r>
          </w:p>
        </w:tc>
      </w:tr>
      <w:tr w14:paraId="13BF989F">
        <w:tc>
          <w:tcPr>
            <w:tcW w:w="427" w:type="dxa"/>
          </w:tcPr>
          <w:p w14:paraId="5256907B">
            <w:pPr>
              <w:widowControl w:val="0"/>
              <w:numPr>
                <w:ilvl w:val="0"/>
                <w:numId w:val="1"/>
              </w:numPr>
              <w:ind w:left="425" w:leftChars="0" w:hanging="425" w:firstLineChars="0"/>
              <w:jc w:val="both"/>
              <w:rPr>
                <w:vertAlign w:val="baseline"/>
              </w:rPr>
            </w:pPr>
          </w:p>
        </w:tc>
        <w:tc>
          <w:tcPr>
            <w:tcW w:w="607" w:type="dxa"/>
          </w:tcPr>
          <w:p w14:paraId="48189A45">
            <w:pPr>
              <w:widowControl w:val="0"/>
              <w:jc w:val="both"/>
              <w:rPr>
                <w:rFonts w:hint="default"/>
                <w:vertAlign w:val="baseline"/>
                <w:lang w:val="en-US"/>
              </w:rPr>
            </w:pPr>
            <w:r>
              <w:rPr>
                <w:rFonts w:hint="default"/>
                <w:vertAlign w:val="baseline"/>
                <w:lang w:val="en-US"/>
              </w:rPr>
              <w:t>E</w:t>
            </w:r>
          </w:p>
        </w:tc>
        <w:tc>
          <w:tcPr>
            <w:tcW w:w="9106" w:type="dxa"/>
          </w:tcPr>
          <w:p w14:paraId="0FB32250">
            <w:pPr>
              <w:pStyle w:val="10"/>
              <w:keepNext w:val="0"/>
              <w:keepLines w:val="0"/>
              <w:widowControl/>
              <w:suppressLineNumbers w:val="0"/>
              <w:ind w:left="0" w:firstLine="0"/>
            </w:pPr>
            <w:r>
              <w:rPr>
                <w:i w:val="0"/>
                <w:iCs w:val="0"/>
                <w:caps w:val="0"/>
                <w:color w:val="000000"/>
                <w:spacing w:val="0"/>
                <w:u w:val="none"/>
              </w:rPr>
              <w:t>Le </w:t>
            </w:r>
            <w:r>
              <w:rPr>
                <w:rStyle w:val="11"/>
                <w:i w:val="0"/>
                <w:iCs w:val="0"/>
                <w:caps w:val="0"/>
                <w:color w:val="000000"/>
                <w:spacing w:val="0"/>
                <w:u w:val="none"/>
              </w:rPr>
              <w:t>SIRS (Systemic Inflammatory Response Syndrome)</w:t>
            </w:r>
            <w:r>
              <w:rPr>
                <w:i w:val="0"/>
                <w:iCs w:val="0"/>
                <w:caps w:val="0"/>
                <w:color w:val="000000"/>
                <w:spacing w:val="0"/>
                <w:u w:val="none"/>
              </w:rPr>
              <w:t> est défini par la présence d’au moins </w:t>
            </w:r>
            <w:r>
              <w:rPr>
                <w:rStyle w:val="11"/>
                <w:i w:val="0"/>
                <w:iCs w:val="0"/>
                <w:caps w:val="0"/>
                <w:color w:val="000000"/>
                <w:spacing w:val="0"/>
                <w:u w:val="none"/>
              </w:rPr>
              <w:t>2 critères parmi les 4 suivants</w:t>
            </w:r>
            <w:r>
              <w:rPr>
                <w:i w:val="0"/>
                <w:iCs w:val="0"/>
                <w:caps w:val="0"/>
                <w:color w:val="000000"/>
                <w:spacing w:val="0"/>
                <w:u w:val="none"/>
              </w:rPr>
              <w:t> :</w:t>
            </w:r>
          </w:p>
          <w:p w14:paraId="0334A876">
            <w:pPr>
              <w:pStyle w:val="10"/>
              <w:keepNext w:val="0"/>
              <w:keepLines w:val="0"/>
              <w:widowControl/>
              <w:numPr>
                <w:ilvl w:val="0"/>
                <w:numId w:val="2"/>
              </w:numPr>
              <w:suppressLineNumbers w:val="0"/>
              <w:ind w:left="420" w:leftChars="0" w:hanging="420" w:firstLineChars="0"/>
            </w:pPr>
            <w:r>
              <w:rPr>
                <w:rStyle w:val="11"/>
                <w:i w:val="0"/>
                <w:iCs w:val="0"/>
                <w:caps w:val="0"/>
                <w:color w:val="000000"/>
                <w:spacing w:val="0"/>
                <w:u w:val="none"/>
              </w:rPr>
              <w:t>Température corporelle</w:t>
            </w:r>
            <w:r>
              <w:rPr>
                <w:i w:val="0"/>
                <w:iCs w:val="0"/>
                <w:caps w:val="0"/>
                <w:color w:val="000000"/>
                <w:spacing w:val="0"/>
                <w:u w:val="none"/>
              </w:rPr>
              <w:t> : &lt; 36°C ou &gt; 38°C</w:t>
            </w:r>
          </w:p>
          <w:p w14:paraId="31CC991F">
            <w:pPr>
              <w:pStyle w:val="10"/>
              <w:keepNext w:val="0"/>
              <w:keepLines w:val="0"/>
              <w:widowControl/>
              <w:numPr>
                <w:ilvl w:val="0"/>
                <w:numId w:val="2"/>
              </w:numPr>
              <w:suppressLineNumbers w:val="0"/>
              <w:ind w:left="420" w:leftChars="0" w:hanging="420" w:firstLineChars="0"/>
            </w:pPr>
            <w:r>
              <w:rPr>
                <w:rStyle w:val="11"/>
                <w:i w:val="0"/>
                <w:iCs w:val="0"/>
                <w:caps w:val="0"/>
                <w:color w:val="000000"/>
                <w:spacing w:val="0"/>
                <w:u w:val="none"/>
              </w:rPr>
              <w:t>Pouls</w:t>
            </w:r>
            <w:r>
              <w:rPr>
                <w:i w:val="0"/>
                <w:iCs w:val="0"/>
                <w:caps w:val="0"/>
                <w:color w:val="000000"/>
                <w:spacing w:val="0"/>
                <w:u w:val="none"/>
              </w:rPr>
              <w:t xml:space="preserve"> : &gt; 90 battements/min </w:t>
            </w:r>
          </w:p>
          <w:p w14:paraId="64886FF5">
            <w:pPr>
              <w:pStyle w:val="10"/>
              <w:keepNext w:val="0"/>
              <w:keepLines w:val="0"/>
              <w:widowControl/>
              <w:numPr>
                <w:ilvl w:val="0"/>
                <w:numId w:val="2"/>
              </w:numPr>
              <w:suppressLineNumbers w:val="0"/>
              <w:ind w:left="420" w:leftChars="0" w:hanging="420" w:firstLineChars="0"/>
            </w:pPr>
            <w:r>
              <w:rPr>
                <w:rStyle w:val="11"/>
                <w:i w:val="0"/>
                <w:iCs w:val="0"/>
                <w:caps w:val="0"/>
                <w:color w:val="000000"/>
                <w:spacing w:val="0"/>
                <w:u w:val="none"/>
              </w:rPr>
              <w:t>Fréquence respiratoire</w:t>
            </w:r>
            <w:r>
              <w:rPr>
                <w:i w:val="0"/>
                <w:iCs w:val="0"/>
                <w:caps w:val="0"/>
                <w:color w:val="000000"/>
                <w:spacing w:val="0"/>
                <w:u w:val="none"/>
              </w:rPr>
              <w:t xml:space="preserve"> : &gt; 20/min ou PaCO₂ &lt; 32 mmHg </w:t>
            </w:r>
          </w:p>
          <w:p w14:paraId="561A6E30">
            <w:pPr>
              <w:pStyle w:val="10"/>
              <w:keepNext w:val="0"/>
              <w:keepLines w:val="0"/>
              <w:widowControl/>
              <w:numPr>
                <w:ilvl w:val="0"/>
                <w:numId w:val="2"/>
              </w:numPr>
              <w:suppressLineNumbers w:val="0"/>
              <w:ind w:left="420" w:leftChars="0" w:hanging="420" w:firstLineChars="0"/>
              <w:rPr>
                <w:sz w:val="24"/>
                <w:szCs w:val="24"/>
                <w:vertAlign w:val="baseline"/>
              </w:rPr>
            </w:pPr>
            <w:r>
              <w:rPr>
                <w:rStyle w:val="11"/>
                <w:i w:val="0"/>
                <w:iCs w:val="0"/>
                <w:caps w:val="0"/>
                <w:color w:val="000000"/>
                <w:spacing w:val="0"/>
                <w:u w:val="none"/>
              </w:rPr>
              <w:t>Globules blancs</w:t>
            </w:r>
            <w:r>
              <w:rPr>
                <w:i w:val="0"/>
                <w:iCs w:val="0"/>
                <w:caps w:val="0"/>
                <w:color w:val="000000"/>
                <w:spacing w:val="0"/>
                <w:u w:val="none"/>
              </w:rPr>
              <w:t xml:space="preserve"> : &lt; 4000 ou &gt; 12 000/mm³, ou présence de &gt;10 % de formes immatures </w:t>
            </w:r>
          </w:p>
        </w:tc>
      </w:tr>
      <w:tr w14:paraId="208C9943">
        <w:tc>
          <w:tcPr>
            <w:tcW w:w="427" w:type="dxa"/>
          </w:tcPr>
          <w:p w14:paraId="1900B543">
            <w:pPr>
              <w:widowControl w:val="0"/>
              <w:numPr>
                <w:ilvl w:val="0"/>
                <w:numId w:val="1"/>
              </w:numPr>
              <w:ind w:left="425" w:leftChars="0" w:hanging="425" w:firstLineChars="0"/>
              <w:jc w:val="both"/>
              <w:rPr>
                <w:vertAlign w:val="baseline"/>
              </w:rPr>
            </w:pPr>
          </w:p>
        </w:tc>
        <w:tc>
          <w:tcPr>
            <w:tcW w:w="607" w:type="dxa"/>
          </w:tcPr>
          <w:p w14:paraId="07831DF4">
            <w:pPr>
              <w:widowControl w:val="0"/>
              <w:jc w:val="both"/>
              <w:rPr>
                <w:rFonts w:hint="default"/>
                <w:vertAlign w:val="baseline"/>
                <w:lang w:val="en-US"/>
              </w:rPr>
            </w:pPr>
            <w:r>
              <w:rPr>
                <w:rFonts w:hint="default"/>
                <w:vertAlign w:val="baseline"/>
                <w:lang w:val="en-US"/>
              </w:rPr>
              <w:t>D</w:t>
            </w:r>
          </w:p>
        </w:tc>
        <w:tc>
          <w:tcPr>
            <w:tcW w:w="9106" w:type="dxa"/>
          </w:tcPr>
          <w:p w14:paraId="16A1D5B3">
            <w:pPr>
              <w:pStyle w:val="10"/>
              <w:keepNext w:val="0"/>
              <w:keepLines w:val="0"/>
              <w:widowControl/>
              <w:suppressLineNumbers w:val="0"/>
              <w:ind w:left="0" w:firstLine="0"/>
            </w:pPr>
            <w:r>
              <w:rPr>
                <w:i w:val="0"/>
                <w:iCs w:val="0"/>
                <w:caps w:val="0"/>
                <w:color w:val="000000"/>
                <w:spacing w:val="0"/>
                <w:u w:val="none"/>
              </w:rPr>
              <w:t>Le </w:t>
            </w:r>
            <w:r>
              <w:rPr>
                <w:rStyle w:val="11"/>
                <w:i w:val="0"/>
                <w:iCs w:val="0"/>
                <w:caps w:val="0"/>
                <w:color w:val="000000"/>
                <w:spacing w:val="0"/>
                <w:u w:val="none"/>
              </w:rPr>
              <w:t>CA 19-9 n’est pas utilisé pour le dépistage</w:t>
            </w:r>
            <w:r>
              <w:rPr>
                <w:i w:val="0"/>
                <w:iCs w:val="0"/>
                <w:caps w:val="0"/>
                <w:color w:val="000000"/>
                <w:spacing w:val="0"/>
                <w:u w:val="none"/>
              </w:rPr>
              <w:t> :</w:t>
            </w:r>
          </w:p>
          <w:p w14:paraId="01092A09">
            <w:pPr>
              <w:pStyle w:val="10"/>
              <w:keepNext w:val="0"/>
              <w:keepLines w:val="0"/>
              <w:widowControl/>
              <w:numPr>
                <w:ilvl w:val="0"/>
                <w:numId w:val="3"/>
              </w:numPr>
              <w:suppressLineNumbers w:val="0"/>
              <w:ind w:left="420" w:leftChars="0" w:hanging="420" w:firstLineChars="0"/>
            </w:pPr>
            <w:r>
              <w:rPr>
                <w:i w:val="0"/>
                <w:iCs w:val="0"/>
                <w:caps w:val="0"/>
                <w:color w:val="000000"/>
                <w:spacing w:val="0"/>
                <w:u w:val="none"/>
              </w:rPr>
              <w:t>Manque de spécificité</w:t>
            </w:r>
          </w:p>
          <w:p w14:paraId="610205F7">
            <w:pPr>
              <w:pStyle w:val="10"/>
              <w:keepNext w:val="0"/>
              <w:keepLines w:val="0"/>
              <w:widowControl/>
              <w:numPr>
                <w:ilvl w:val="0"/>
                <w:numId w:val="3"/>
              </w:numPr>
              <w:suppressLineNumbers w:val="0"/>
              <w:ind w:left="420" w:leftChars="0" w:hanging="420" w:firstLineChars="0"/>
            </w:pPr>
            <w:r>
              <w:rPr>
                <w:i w:val="0"/>
                <w:iCs w:val="0"/>
                <w:caps w:val="0"/>
                <w:color w:val="000000"/>
                <w:spacing w:val="0"/>
                <w:u w:val="none"/>
              </w:rPr>
              <w:t>Peut être élevé dans les cholestases bénignes</w:t>
            </w:r>
          </w:p>
          <w:p w14:paraId="20E96E4D">
            <w:pPr>
              <w:pStyle w:val="10"/>
              <w:keepNext w:val="0"/>
              <w:keepLines w:val="0"/>
              <w:widowControl/>
              <w:numPr>
                <w:ilvl w:val="0"/>
                <w:numId w:val="3"/>
              </w:numPr>
              <w:suppressLineNumbers w:val="0"/>
              <w:ind w:left="420" w:leftChars="0" w:hanging="420" w:firstLineChars="0"/>
            </w:pPr>
            <w:r>
              <w:rPr>
                <w:i w:val="0"/>
                <w:iCs w:val="0"/>
                <w:caps w:val="0"/>
                <w:color w:val="000000"/>
                <w:spacing w:val="0"/>
                <w:u w:val="none"/>
              </w:rPr>
              <w:t>Peut être normal chez certains patients (Lewis négatifs)</w:t>
            </w:r>
          </w:p>
          <w:p w14:paraId="7AC7CC50">
            <w:pPr>
              <w:pStyle w:val="10"/>
              <w:keepNext w:val="0"/>
              <w:keepLines w:val="0"/>
              <w:widowControl/>
              <w:suppressLineNumbers w:val="0"/>
              <w:ind w:left="0" w:firstLine="0"/>
              <w:rPr>
                <w:sz w:val="24"/>
                <w:szCs w:val="24"/>
                <w:vertAlign w:val="baseline"/>
              </w:rPr>
            </w:pPr>
            <w:r>
              <w:rPr>
                <w:i w:val="0"/>
                <w:iCs w:val="0"/>
                <w:caps w:val="0"/>
                <w:color w:val="000000"/>
                <w:spacing w:val="0"/>
                <w:u w:val="none"/>
              </w:rPr>
              <w:t>Il est utilisé </w:t>
            </w:r>
            <w:r>
              <w:rPr>
                <w:rStyle w:val="11"/>
                <w:i w:val="0"/>
                <w:iCs w:val="0"/>
                <w:caps w:val="0"/>
                <w:color w:val="000000"/>
                <w:spacing w:val="0"/>
                <w:u w:val="none"/>
              </w:rPr>
              <w:t>pour le suivi et l’évaluation pronostique</w:t>
            </w:r>
            <w:r>
              <w:rPr>
                <w:i w:val="0"/>
                <w:iCs w:val="0"/>
                <w:caps w:val="0"/>
                <w:color w:val="000000"/>
                <w:spacing w:val="0"/>
                <w:u w:val="none"/>
              </w:rPr>
              <w:t>, pas pour le screening.</w:t>
            </w:r>
          </w:p>
        </w:tc>
      </w:tr>
      <w:tr w14:paraId="67C05A4D">
        <w:tc>
          <w:tcPr>
            <w:tcW w:w="427" w:type="dxa"/>
          </w:tcPr>
          <w:p w14:paraId="1B551CE3">
            <w:pPr>
              <w:widowControl w:val="0"/>
              <w:numPr>
                <w:ilvl w:val="0"/>
                <w:numId w:val="1"/>
              </w:numPr>
              <w:ind w:left="425" w:leftChars="0" w:hanging="425" w:firstLineChars="0"/>
              <w:jc w:val="both"/>
              <w:rPr>
                <w:vertAlign w:val="baseline"/>
              </w:rPr>
            </w:pPr>
          </w:p>
        </w:tc>
        <w:tc>
          <w:tcPr>
            <w:tcW w:w="607" w:type="dxa"/>
          </w:tcPr>
          <w:p w14:paraId="58EAAF8B">
            <w:pPr>
              <w:widowControl w:val="0"/>
              <w:jc w:val="both"/>
              <w:rPr>
                <w:rFonts w:hint="default"/>
                <w:vertAlign w:val="baseline"/>
                <w:lang w:val="en-US"/>
              </w:rPr>
            </w:pPr>
            <w:r>
              <w:rPr>
                <w:rFonts w:hint="default"/>
                <w:vertAlign w:val="baseline"/>
                <w:lang w:val="en-US"/>
              </w:rPr>
              <w:t>B</w:t>
            </w:r>
          </w:p>
        </w:tc>
        <w:tc>
          <w:tcPr>
            <w:tcW w:w="9106" w:type="dxa"/>
          </w:tcPr>
          <w:p w14:paraId="4F4B7BED">
            <w:pPr>
              <w:widowControl w:val="0"/>
              <w:jc w:val="both"/>
              <w:rPr>
                <w:sz w:val="24"/>
                <w:szCs w:val="24"/>
                <w:vertAlign w:val="baseline"/>
              </w:rPr>
            </w:pPr>
            <w:r>
              <w:rPr>
                <w:rFonts w:hint="default"/>
                <w:b/>
                <w:bCs/>
                <w:sz w:val="24"/>
                <w:szCs w:val="24"/>
                <w:vertAlign w:val="baseline"/>
                <w:lang w:val="en-US" w:eastAsia="zh-CN"/>
              </w:rPr>
              <w:t>-</w:t>
            </w:r>
            <w:r>
              <w:rPr>
                <w:b/>
                <w:bCs/>
                <w:sz w:val="24"/>
                <w:szCs w:val="24"/>
                <w:vertAlign w:val="baseline"/>
                <w:lang w:val="en-US" w:eastAsia="zh-CN"/>
              </w:rPr>
              <w:t>L’écho-endoscopie</w:t>
            </w:r>
            <w:r>
              <w:rPr>
                <w:sz w:val="24"/>
                <w:szCs w:val="24"/>
                <w:vertAlign w:val="baseline"/>
                <w:lang w:val="en-US" w:eastAsia="zh-CN"/>
              </w:rPr>
              <w:t xml:space="preserve"> permet des</w:t>
            </w:r>
            <w:r>
              <w:rPr>
                <w:rFonts w:hint="default"/>
                <w:sz w:val="24"/>
                <w:szCs w:val="24"/>
                <w:vertAlign w:val="baseline"/>
                <w:lang w:val="en-US" w:eastAsia="zh-CN"/>
              </w:rPr>
              <w:t> </w:t>
            </w:r>
            <w:r>
              <w:rPr>
                <w:sz w:val="24"/>
                <w:szCs w:val="24"/>
                <w:vertAlign w:val="baseline"/>
                <w:lang w:val="en-US" w:eastAsia="zh-CN"/>
              </w:rPr>
              <w:t xml:space="preserve">biopsies uniquement des lésions </w:t>
            </w:r>
            <w:r>
              <w:rPr>
                <w:b/>
                <w:bCs/>
                <w:sz w:val="24"/>
                <w:szCs w:val="24"/>
                <w:vertAlign w:val="baseline"/>
                <w:lang w:val="en-US" w:eastAsia="zh-CN"/>
              </w:rPr>
              <w:t>au contact ou proches de la paroi digestive</w:t>
            </w:r>
            <w:r>
              <w:rPr>
                <w:rFonts w:hint="default"/>
                <w:sz w:val="24"/>
                <w:szCs w:val="24"/>
                <w:vertAlign w:val="baseline"/>
                <w:lang w:val="en-US" w:eastAsia="zh-CN"/>
              </w:rPr>
              <w:t> (aiguille traversant la paroi).</w:t>
            </w:r>
          </w:p>
        </w:tc>
      </w:tr>
      <w:tr w14:paraId="6C697ADD">
        <w:tc>
          <w:tcPr>
            <w:tcW w:w="427" w:type="dxa"/>
          </w:tcPr>
          <w:p w14:paraId="0D4CFAEF">
            <w:pPr>
              <w:widowControl w:val="0"/>
              <w:numPr>
                <w:ilvl w:val="0"/>
                <w:numId w:val="1"/>
              </w:numPr>
              <w:ind w:left="425" w:leftChars="0" w:hanging="425" w:firstLineChars="0"/>
              <w:jc w:val="both"/>
              <w:rPr>
                <w:vertAlign w:val="baseline"/>
              </w:rPr>
            </w:pPr>
          </w:p>
        </w:tc>
        <w:tc>
          <w:tcPr>
            <w:tcW w:w="607" w:type="dxa"/>
          </w:tcPr>
          <w:p w14:paraId="024B3AA0">
            <w:pPr>
              <w:widowControl w:val="0"/>
              <w:jc w:val="both"/>
              <w:rPr>
                <w:rFonts w:hint="default"/>
                <w:vertAlign w:val="baseline"/>
                <w:lang w:val="en-US"/>
              </w:rPr>
            </w:pPr>
            <w:r>
              <w:rPr>
                <w:rFonts w:hint="default"/>
                <w:vertAlign w:val="baseline"/>
                <w:lang w:val="en-US"/>
              </w:rPr>
              <w:t>D</w:t>
            </w:r>
          </w:p>
        </w:tc>
        <w:tc>
          <w:tcPr>
            <w:tcW w:w="9106" w:type="dxa"/>
          </w:tcPr>
          <w:p w14:paraId="02DDB521">
            <w:pPr>
              <w:pStyle w:val="10"/>
              <w:keepNext w:val="0"/>
              <w:keepLines w:val="0"/>
              <w:widowControl/>
              <w:suppressLineNumbers w:val="0"/>
              <w:ind w:left="0" w:firstLine="0"/>
              <w:rPr>
                <w:sz w:val="24"/>
                <w:szCs w:val="24"/>
                <w:vertAlign w:val="baseline"/>
              </w:rPr>
            </w:pPr>
            <w:r>
              <w:rPr>
                <w:rFonts w:hint="default"/>
                <w:i w:val="0"/>
                <w:iCs w:val="0"/>
                <w:caps w:val="0"/>
                <w:color w:val="000000"/>
                <w:spacing w:val="0"/>
                <w:u w:val="none"/>
                <w:lang w:val="en-US"/>
              </w:rPr>
              <w:t>-</w:t>
            </w:r>
            <w:r>
              <w:rPr>
                <w:i w:val="0"/>
                <w:iCs w:val="0"/>
                <w:caps w:val="0"/>
                <w:color w:val="000000"/>
                <w:spacing w:val="0"/>
                <w:u w:val="none"/>
              </w:rPr>
              <w:t>L’</w:t>
            </w:r>
            <w:r>
              <w:rPr>
                <w:rStyle w:val="11"/>
                <w:i w:val="0"/>
                <w:iCs w:val="0"/>
                <w:caps w:val="0"/>
                <w:color w:val="000000"/>
                <w:spacing w:val="0"/>
                <w:u w:val="none"/>
              </w:rPr>
              <w:t>IDR à la tuberculine</w:t>
            </w:r>
            <w:r>
              <w:rPr>
                <w:i w:val="0"/>
                <w:iCs w:val="0"/>
                <w:caps w:val="0"/>
                <w:color w:val="000000"/>
                <w:spacing w:val="0"/>
                <w:u w:val="none"/>
              </w:rPr>
              <w:t> est </w:t>
            </w:r>
            <w:r>
              <w:rPr>
                <w:rStyle w:val="11"/>
                <w:i w:val="0"/>
                <w:iCs w:val="0"/>
                <w:caps w:val="0"/>
                <w:color w:val="000000"/>
                <w:spacing w:val="0"/>
                <w:u w:val="none"/>
              </w:rPr>
              <w:t>souvent positive</w:t>
            </w:r>
            <w:r>
              <w:rPr>
                <w:i w:val="0"/>
                <w:iCs w:val="0"/>
                <w:caps w:val="0"/>
                <w:color w:val="000000"/>
                <w:spacing w:val="0"/>
                <w:u w:val="none"/>
              </w:rPr>
              <w:t>, surtout en zone d’endémie.</w:t>
            </w:r>
            <w:r>
              <w:rPr>
                <w:i w:val="0"/>
                <w:iCs w:val="0"/>
                <w:caps w:val="0"/>
                <w:color w:val="000000"/>
                <w:spacing w:val="0"/>
                <w:u w:val="none"/>
              </w:rPr>
              <w:br w:type="textWrapping"/>
            </w:r>
            <w:r>
              <w:rPr>
                <w:rFonts w:hint="default"/>
                <w:i w:val="0"/>
                <w:iCs w:val="0"/>
                <w:caps w:val="0"/>
                <w:color w:val="000000"/>
                <w:spacing w:val="0"/>
                <w:u w:val="none"/>
                <w:lang w:val="en-US"/>
              </w:rPr>
              <w:t>-</w:t>
            </w:r>
            <w:r>
              <w:rPr>
                <w:i w:val="0"/>
                <w:iCs w:val="0"/>
                <w:caps w:val="0"/>
                <w:color w:val="000000"/>
                <w:spacing w:val="0"/>
                <w:u w:val="none"/>
              </w:rPr>
              <w:t>Elle est positive dans </w:t>
            </w:r>
            <w:r>
              <w:rPr>
                <w:rStyle w:val="11"/>
                <w:i w:val="0"/>
                <w:iCs w:val="0"/>
                <w:caps w:val="0"/>
                <w:color w:val="000000"/>
                <w:spacing w:val="0"/>
                <w:u w:val="none"/>
              </w:rPr>
              <w:t>plus de la moitié des cas</w:t>
            </w:r>
            <w:r>
              <w:rPr>
                <w:i w:val="0"/>
                <w:iCs w:val="0"/>
                <w:caps w:val="0"/>
                <w:color w:val="000000"/>
                <w:spacing w:val="0"/>
                <w:u w:val="none"/>
              </w:rPr>
              <w:t>, et non seulement dans 50 %.</w:t>
            </w:r>
            <w:r>
              <w:rPr>
                <w:i w:val="0"/>
                <w:iCs w:val="0"/>
                <w:caps w:val="0"/>
                <w:color w:val="000000"/>
                <w:spacing w:val="0"/>
                <w:u w:val="none"/>
              </w:rPr>
              <w:br w:type="textWrapping"/>
            </w:r>
            <w:r>
              <w:rPr>
                <w:rFonts w:hint="default"/>
                <w:i w:val="0"/>
                <w:iCs w:val="0"/>
                <w:caps w:val="0"/>
                <w:color w:val="000000"/>
                <w:spacing w:val="0"/>
                <w:u w:val="none"/>
                <w:lang w:val="en-US"/>
              </w:rPr>
              <w:t>-</w:t>
            </w:r>
            <w:r>
              <w:rPr>
                <w:i w:val="0"/>
                <w:iCs w:val="0"/>
                <w:caps w:val="0"/>
                <w:color w:val="000000"/>
                <w:spacing w:val="0"/>
                <w:u w:val="none"/>
              </w:rPr>
              <w:t>De plus, une IDR négative n’élimine pas le diagnostic.</w:t>
            </w:r>
          </w:p>
        </w:tc>
      </w:tr>
      <w:tr w14:paraId="744C9470">
        <w:tc>
          <w:tcPr>
            <w:tcW w:w="427" w:type="dxa"/>
          </w:tcPr>
          <w:p w14:paraId="34A8BA52">
            <w:pPr>
              <w:widowControl w:val="0"/>
              <w:numPr>
                <w:ilvl w:val="0"/>
                <w:numId w:val="1"/>
              </w:numPr>
              <w:ind w:left="425" w:leftChars="0" w:hanging="425" w:firstLineChars="0"/>
              <w:jc w:val="both"/>
              <w:rPr>
                <w:vertAlign w:val="baseline"/>
              </w:rPr>
            </w:pPr>
          </w:p>
        </w:tc>
        <w:tc>
          <w:tcPr>
            <w:tcW w:w="607" w:type="dxa"/>
          </w:tcPr>
          <w:p w14:paraId="6ED99454">
            <w:pPr>
              <w:widowControl w:val="0"/>
              <w:jc w:val="both"/>
              <w:rPr>
                <w:rFonts w:hint="default"/>
                <w:vertAlign w:val="baseline"/>
                <w:lang w:val="en-US"/>
              </w:rPr>
            </w:pPr>
            <w:r>
              <w:rPr>
                <w:rFonts w:hint="default"/>
                <w:vertAlign w:val="baseline"/>
                <w:lang w:val="en-US"/>
              </w:rPr>
              <w:t>C</w:t>
            </w:r>
          </w:p>
        </w:tc>
        <w:tc>
          <w:tcPr>
            <w:tcW w:w="9106" w:type="dxa"/>
          </w:tcPr>
          <w:p w14:paraId="789310A3">
            <w:pPr>
              <w:widowControl w:val="0"/>
              <w:jc w:val="both"/>
              <w:rPr>
                <w:rFonts w:hint="default"/>
                <w:b/>
                <w:bCs/>
                <w:sz w:val="24"/>
                <w:szCs w:val="24"/>
                <w:vertAlign w:val="baseline"/>
              </w:rPr>
            </w:pPr>
            <w:r>
              <w:rPr>
                <w:rFonts w:hint="default"/>
                <w:b/>
                <w:bCs/>
                <w:sz w:val="24"/>
                <w:szCs w:val="24"/>
                <w:vertAlign w:val="baseline"/>
              </w:rPr>
              <w:t>- Kc de la vésicule biliaire :</w:t>
            </w:r>
          </w:p>
          <w:p w14:paraId="61F9F70B">
            <w:pPr>
              <w:widowControl w:val="0"/>
              <w:jc w:val="both"/>
              <w:rPr>
                <w:rFonts w:hint="default"/>
                <w:sz w:val="24"/>
                <w:szCs w:val="24"/>
                <w:vertAlign w:val="baseline"/>
              </w:rPr>
            </w:pPr>
            <w:r>
              <w:rPr>
                <w:rFonts w:hint="default"/>
                <w:sz w:val="24"/>
                <w:szCs w:val="24"/>
                <w:vertAlign w:val="baseline"/>
              </w:rPr>
              <w:t>o C’est le Kc des voies biliaires le plus fréquent (2/3). Il est de mauvais pronostic</w:t>
            </w:r>
          </w:p>
          <w:p w14:paraId="47CA562D">
            <w:pPr>
              <w:widowControl w:val="0"/>
              <w:jc w:val="both"/>
              <w:rPr>
                <w:rFonts w:hint="default"/>
                <w:sz w:val="24"/>
                <w:szCs w:val="24"/>
                <w:vertAlign w:val="baseline"/>
              </w:rPr>
            </w:pPr>
            <w:r>
              <w:rPr>
                <w:rFonts w:hint="default"/>
                <w:sz w:val="24"/>
                <w:szCs w:val="24"/>
                <w:vertAlign w:val="baseline"/>
              </w:rPr>
              <w:t xml:space="preserve">o Le Kc de la VB est largement à </w:t>
            </w:r>
            <w:r>
              <w:rPr>
                <w:rFonts w:hint="default"/>
                <w:b/>
                <w:bCs/>
                <w:sz w:val="24"/>
                <w:szCs w:val="24"/>
                <w:vertAlign w:val="baseline"/>
              </w:rPr>
              <w:t xml:space="preserve">prédominance féminine </w:t>
            </w:r>
            <w:r>
              <w:rPr>
                <w:rFonts w:hint="default"/>
                <w:sz w:val="24"/>
                <w:szCs w:val="24"/>
                <w:vertAlign w:val="baseline"/>
              </w:rPr>
              <w:t>( 60 ans).</w:t>
            </w:r>
          </w:p>
          <w:p w14:paraId="39B851F5">
            <w:pPr>
              <w:widowControl w:val="0"/>
              <w:jc w:val="both"/>
              <w:rPr>
                <w:rFonts w:hint="default"/>
                <w:b/>
                <w:bCs/>
                <w:sz w:val="24"/>
                <w:szCs w:val="24"/>
                <w:vertAlign w:val="baseline"/>
              </w:rPr>
            </w:pPr>
            <w:r>
              <w:rPr>
                <w:rFonts w:hint="default"/>
                <w:sz w:val="24"/>
                <w:szCs w:val="24"/>
                <w:vertAlign w:val="baseline"/>
              </w:rPr>
              <w:t xml:space="preserve">o </w:t>
            </w:r>
            <w:r>
              <w:rPr>
                <w:rFonts w:hint="default"/>
                <w:b/>
                <w:bCs/>
                <w:sz w:val="24"/>
                <w:szCs w:val="24"/>
                <w:vertAlign w:val="baseline"/>
              </w:rPr>
              <w:t>Souvent associé à une lithiase dans 80-90% des cas</w:t>
            </w:r>
          </w:p>
          <w:p w14:paraId="31042EB4">
            <w:pPr>
              <w:widowControl w:val="0"/>
              <w:jc w:val="both"/>
              <w:rPr>
                <w:rFonts w:hint="default"/>
                <w:sz w:val="24"/>
                <w:szCs w:val="24"/>
                <w:vertAlign w:val="baseline"/>
              </w:rPr>
            </w:pPr>
            <w:r>
              <w:rPr>
                <w:rFonts w:hint="default"/>
                <w:sz w:val="24"/>
                <w:szCs w:val="24"/>
                <w:vertAlign w:val="baseline"/>
              </w:rPr>
              <w:t>o En Algérie, c’est le 3ème Kc digestif (après le Kc colorectal et le Kc de l’estomac).</w:t>
            </w:r>
          </w:p>
          <w:p w14:paraId="4A86428B">
            <w:pPr>
              <w:widowControl w:val="0"/>
              <w:jc w:val="both"/>
              <w:rPr>
                <w:rFonts w:hint="default"/>
                <w:sz w:val="24"/>
                <w:szCs w:val="24"/>
                <w:vertAlign w:val="baseline"/>
              </w:rPr>
            </w:pPr>
            <w:r>
              <w:rPr>
                <w:rFonts w:hint="default"/>
                <w:sz w:val="24"/>
                <w:szCs w:val="24"/>
                <w:vertAlign w:val="baseline"/>
              </w:rPr>
              <w:t>o Il est dans la majorité des</w:t>
            </w:r>
            <w:r>
              <w:rPr>
                <w:rFonts w:hint="default"/>
                <w:b/>
                <w:bCs/>
                <w:sz w:val="24"/>
                <w:szCs w:val="24"/>
                <w:vertAlign w:val="baseline"/>
              </w:rPr>
              <w:t xml:space="preserve"> cas à type d’ADK (90%)</w:t>
            </w:r>
            <w:r>
              <w:rPr>
                <w:rFonts w:hint="default"/>
                <w:sz w:val="24"/>
                <w:szCs w:val="24"/>
                <w:vertAlign w:val="baseline"/>
              </w:rPr>
              <w:t>.</w:t>
            </w:r>
          </w:p>
          <w:p w14:paraId="501DEA40">
            <w:pPr>
              <w:widowControl w:val="0"/>
              <w:jc w:val="both"/>
              <w:rPr>
                <w:rFonts w:hint="default"/>
                <w:sz w:val="24"/>
                <w:szCs w:val="24"/>
                <w:vertAlign w:val="baseline"/>
              </w:rPr>
            </w:pPr>
            <w:r>
              <w:rPr>
                <w:rFonts w:hint="default"/>
                <w:sz w:val="24"/>
                <w:szCs w:val="24"/>
                <w:vertAlign w:val="baseline"/>
              </w:rPr>
              <w:t>o FDR : LV++, vésicule porcelaine, polype adénomateux vésiculaire, anomalie de la jonction bilio-pancréatique, maladie de</w:t>
            </w:r>
          </w:p>
          <w:p w14:paraId="57F16364">
            <w:pPr>
              <w:widowControl w:val="0"/>
              <w:jc w:val="both"/>
              <w:rPr>
                <w:rFonts w:hint="default"/>
                <w:sz w:val="24"/>
                <w:szCs w:val="24"/>
                <w:vertAlign w:val="baseline"/>
              </w:rPr>
            </w:pPr>
            <w:r>
              <w:rPr>
                <w:rFonts w:hint="default"/>
                <w:sz w:val="24"/>
                <w:szCs w:val="24"/>
                <w:vertAlign w:val="baseline"/>
              </w:rPr>
              <w:t>Caroli, CSP…</w:t>
            </w:r>
          </w:p>
          <w:p w14:paraId="2DBC58BD">
            <w:pPr>
              <w:widowControl w:val="0"/>
              <w:jc w:val="both"/>
              <w:rPr>
                <w:rFonts w:hint="default"/>
                <w:sz w:val="24"/>
                <w:szCs w:val="24"/>
                <w:vertAlign w:val="baseline"/>
              </w:rPr>
            </w:pPr>
            <w:r>
              <w:rPr>
                <w:rFonts w:hint="default"/>
                <w:sz w:val="24"/>
                <w:szCs w:val="24"/>
                <w:vertAlign w:val="baseline"/>
              </w:rPr>
              <w:t>o Dg positif : *découvert souvent fortuitement à l’examen anapath après cholécystectomie (*environ 1% de cholécystectomie)</w:t>
            </w:r>
            <w:r>
              <w:rPr>
                <w:rFonts w:hint="default"/>
                <w:sz w:val="24"/>
                <w:szCs w:val="24"/>
                <w:vertAlign w:val="baseline"/>
                <w:lang w:val="en-US"/>
              </w:rPr>
              <w:t xml:space="preserve"> </w:t>
            </w:r>
            <w:r>
              <w:rPr>
                <w:rFonts w:hint="default"/>
                <w:sz w:val="24"/>
                <w:szCs w:val="24"/>
                <w:vertAlign w:val="baseline"/>
              </w:rPr>
              <w:t>ou devant des manifestations cliniques peu spécifiques (douleur, ictère…).</w:t>
            </w:r>
          </w:p>
          <w:p w14:paraId="025A206A">
            <w:pPr>
              <w:widowControl w:val="0"/>
              <w:jc w:val="both"/>
              <w:rPr>
                <w:rFonts w:hint="default"/>
                <w:sz w:val="24"/>
                <w:szCs w:val="24"/>
                <w:vertAlign w:val="baseline"/>
              </w:rPr>
            </w:pPr>
            <w:r>
              <w:rPr>
                <w:rFonts w:hint="default"/>
                <w:sz w:val="24"/>
                <w:szCs w:val="24"/>
                <w:vertAlign w:val="baseline"/>
              </w:rPr>
              <w:t xml:space="preserve"> </w:t>
            </w:r>
            <w:r>
              <w:rPr>
                <w:rFonts w:hint="default"/>
                <w:sz w:val="24"/>
                <w:szCs w:val="24"/>
                <w:vertAlign w:val="baseline"/>
                <w:lang w:val="en-US"/>
              </w:rPr>
              <w:t>-</w:t>
            </w:r>
            <w:r>
              <w:rPr>
                <w:rFonts w:hint="default"/>
                <w:sz w:val="24"/>
                <w:szCs w:val="24"/>
                <w:vertAlign w:val="baseline"/>
              </w:rPr>
              <w:t>l’examen anapath après cholécystectomie est systématique afin de découvrir des cancers précoces</w:t>
            </w:r>
          </w:p>
          <w:p w14:paraId="34939E4D">
            <w:pPr>
              <w:widowControl w:val="0"/>
              <w:jc w:val="both"/>
              <w:rPr>
                <w:rFonts w:hint="default"/>
                <w:sz w:val="24"/>
                <w:szCs w:val="24"/>
                <w:vertAlign w:val="baseline"/>
              </w:rPr>
            </w:pPr>
            <w:r>
              <w:rPr>
                <w:rFonts w:hint="default"/>
                <w:sz w:val="24"/>
                <w:szCs w:val="24"/>
                <w:vertAlign w:val="baseline"/>
              </w:rPr>
              <w:t>o Imagerie : écho, TDM et IRM (PET-Scan est une option aussi).</w:t>
            </w:r>
          </w:p>
          <w:p w14:paraId="2800FA6A">
            <w:pPr>
              <w:widowControl w:val="0"/>
              <w:jc w:val="both"/>
              <w:rPr>
                <w:sz w:val="24"/>
                <w:szCs w:val="24"/>
                <w:vertAlign w:val="baseline"/>
              </w:rPr>
            </w:pPr>
            <w:r>
              <w:rPr>
                <w:rFonts w:hint="default"/>
                <w:sz w:val="24"/>
                <w:szCs w:val="24"/>
                <w:vertAlign w:val="baseline"/>
              </w:rPr>
              <w:t>0 R! Le polype de la vésicule biliaire est souvent de bon pronostic</w:t>
            </w:r>
          </w:p>
        </w:tc>
      </w:tr>
      <w:tr w14:paraId="6B9BFAD5">
        <w:trPr>
          <w:trHeight w:val="90" w:hRule="atLeast"/>
        </w:trPr>
        <w:tc>
          <w:tcPr>
            <w:tcW w:w="427" w:type="dxa"/>
          </w:tcPr>
          <w:p w14:paraId="5AD17D59">
            <w:pPr>
              <w:widowControl w:val="0"/>
              <w:numPr>
                <w:ilvl w:val="0"/>
                <w:numId w:val="1"/>
              </w:numPr>
              <w:ind w:left="425" w:leftChars="0" w:hanging="425" w:firstLineChars="0"/>
              <w:jc w:val="both"/>
              <w:rPr>
                <w:vertAlign w:val="baseline"/>
              </w:rPr>
            </w:pPr>
          </w:p>
        </w:tc>
        <w:tc>
          <w:tcPr>
            <w:tcW w:w="607" w:type="dxa"/>
          </w:tcPr>
          <w:p w14:paraId="786B91AC">
            <w:pPr>
              <w:widowControl w:val="0"/>
              <w:jc w:val="both"/>
              <w:rPr>
                <w:rFonts w:hint="default"/>
                <w:vertAlign w:val="baseline"/>
                <w:lang w:val="en-US"/>
              </w:rPr>
            </w:pPr>
            <w:r>
              <w:rPr>
                <w:rFonts w:hint="default"/>
                <w:vertAlign w:val="baseline"/>
                <w:lang w:val="en-US"/>
              </w:rPr>
              <w:t>E</w:t>
            </w:r>
          </w:p>
        </w:tc>
        <w:tc>
          <w:tcPr>
            <w:tcW w:w="9106" w:type="dxa"/>
          </w:tcPr>
          <w:p w14:paraId="112F8145">
            <w:pPr>
              <w:pStyle w:val="10"/>
              <w:keepNext w:val="0"/>
              <w:keepLines w:val="0"/>
              <w:widowControl/>
              <w:suppressLineNumbers w:val="0"/>
              <w:ind w:left="0" w:firstLine="0"/>
              <w:rPr>
                <w:i w:val="0"/>
                <w:iCs w:val="0"/>
                <w:caps w:val="0"/>
                <w:color w:val="000000"/>
                <w:spacing w:val="0"/>
                <w:u w:val="none"/>
              </w:rPr>
            </w:pPr>
            <w:r>
              <w:rPr>
                <w:rFonts w:hint="default"/>
                <w:i w:val="0"/>
                <w:iCs w:val="0"/>
                <w:caps w:val="0"/>
                <w:color w:val="000000"/>
                <w:spacing w:val="0"/>
                <w:u w:val="none"/>
                <w:lang w:val="en-US"/>
              </w:rPr>
              <w:t>-</w:t>
            </w:r>
            <w:r>
              <w:rPr>
                <w:i w:val="0"/>
                <w:iCs w:val="0"/>
                <w:caps w:val="0"/>
                <w:color w:val="000000"/>
                <w:spacing w:val="0"/>
                <w:u w:val="none"/>
              </w:rPr>
              <w:t>Un </w:t>
            </w:r>
            <w:r>
              <w:rPr>
                <w:rStyle w:val="11"/>
                <w:i w:val="0"/>
                <w:iCs w:val="0"/>
                <w:caps w:val="0"/>
                <w:color w:val="000000"/>
                <w:spacing w:val="0"/>
                <w:u w:val="none"/>
              </w:rPr>
              <w:t>épaississement de la paroi vésiculaire n’est PAS pathognomonique</w:t>
            </w:r>
            <w:r>
              <w:rPr>
                <w:i w:val="0"/>
                <w:iCs w:val="0"/>
                <w:caps w:val="0"/>
                <w:color w:val="000000"/>
                <w:spacing w:val="0"/>
                <w:u w:val="none"/>
              </w:rPr>
              <w:t>.</w:t>
            </w:r>
          </w:p>
          <w:p w14:paraId="6F6CCA18">
            <w:pPr>
              <w:pStyle w:val="10"/>
              <w:keepNext w:val="0"/>
              <w:keepLines w:val="0"/>
              <w:widowControl/>
              <w:suppressLineNumbers w:val="0"/>
              <w:ind w:left="0" w:firstLine="0"/>
              <w:rPr>
                <w:rFonts w:hint="default"/>
                <w:i w:val="0"/>
                <w:iCs w:val="0"/>
                <w:caps w:val="0"/>
                <w:color w:val="000000"/>
                <w:spacing w:val="0"/>
                <w:u w:val="none"/>
                <w:lang w:val="en-US"/>
              </w:rPr>
            </w:pPr>
            <w:r>
              <w:rPr>
                <w:i w:val="0"/>
                <w:iCs w:val="0"/>
                <w:caps w:val="0"/>
                <w:color w:val="000000"/>
                <w:spacing w:val="0"/>
                <w:u w:val="none"/>
              </w:rPr>
              <w:t>Il peut être observé dans</w:t>
            </w:r>
            <w:r>
              <w:rPr>
                <w:rFonts w:hint="default"/>
                <w:i w:val="0"/>
                <w:iCs w:val="0"/>
                <w:caps w:val="0"/>
                <w:color w:val="000000"/>
                <w:spacing w:val="0"/>
                <w:u w:val="none"/>
                <w:lang w:val="en-US"/>
              </w:rPr>
              <w:t xml:space="preserve"> d autres situations comme </w:t>
            </w:r>
            <w:r>
              <w:rPr>
                <w:i w:val="0"/>
                <w:iCs w:val="0"/>
                <w:caps w:val="0"/>
                <w:color w:val="000000"/>
                <w:spacing w:val="0"/>
                <w:u w:val="none"/>
              </w:rPr>
              <w:t xml:space="preserve"> :</w:t>
            </w:r>
            <w:r>
              <w:rPr>
                <w:rFonts w:hint="default"/>
                <w:i w:val="0"/>
                <w:iCs w:val="0"/>
                <w:caps w:val="0"/>
                <w:color w:val="000000"/>
                <w:spacing w:val="0"/>
                <w:u w:val="none"/>
                <w:lang w:val="en-US"/>
              </w:rPr>
              <w:t xml:space="preserve"> hépatite et insuifance cardiaque,…</w:t>
            </w:r>
          </w:p>
          <w:p w14:paraId="69E570F9">
            <w:pPr>
              <w:pStyle w:val="10"/>
              <w:keepNext w:val="0"/>
              <w:keepLines w:val="0"/>
              <w:widowControl/>
              <w:suppressLineNumbers w:val="0"/>
              <w:ind w:left="0" w:firstLine="0"/>
              <w:rPr>
                <w:sz w:val="24"/>
                <w:szCs w:val="24"/>
                <w:vertAlign w:val="baseline"/>
              </w:rPr>
            </w:pPr>
            <w:r>
              <w:rPr>
                <w:rFonts w:hint="default"/>
                <w:i w:val="0"/>
                <w:iCs w:val="0"/>
                <w:caps w:val="0"/>
                <w:color w:val="000000"/>
                <w:spacing w:val="0"/>
                <w:u w:val="none"/>
                <w:lang w:val="en-US"/>
              </w:rPr>
              <w:t>-</w:t>
            </w:r>
            <w:r>
              <w:rPr>
                <w:i w:val="0"/>
                <w:iCs w:val="0"/>
                <w:caps w:val="0"/>
                <w:color w:val="000000"/>
                <w:spacing w:val="0"/>
                <w:u w:val="none"/>
              </w:rPr>
              <w:t>Donc ce signe est </w:t>
            </w:r>
            <w:r>
              <w:rPr>
                <w:rStyle w:val="11"/>
                <w:i w:val="0"/>
                <w:iCs w:val="0"/>
                <w:caps w:val="0"/>
                <w:color w:val="000000"/>
                <w:spacing w:val="0"/>
                <w:u w:val="none"/>
              </w:rPr>
              <w:t>évocateur mais non spécifique</w:t>
            </w:r>
            <w:r>
              <w:rPr>
                <w:i w:val="0"/>
                <w:iCs w:val="0"/>
                <w:caps w:val="0"/>
                <w:color w:val="000000"/>
                <w:spacing w:val="0"/>
                <w:u w:val="none"/>
              </w:rPr>
              <w:t>.</w:t>
            </w:r>
          </w:p>
        </w:tc>
      </w:tr>
      <w:tr w14:paraId="7531AA48">
        <w:tc>
          <w:tcPr>
            <w:tcW w:w="427" w:type="dxa"/>
          </w:tcPr>
          <w:p w14:paraId="0FDFA157">
            <w:pPr>
              <w:widowControl w:val="0"/>
              <w:numPr>
                <w:ilvl w:val="0"/>
                <w:numId w:val="1"/>
              </w:numPr>
              <w:ind w:left="425" w:leftChars="0" w:hanging="425" w:firstLineChars="0"/>
              <w:jc w:val="both"/>
              <w:rPr>
                <w:vertAlign w:val="baseline"/>
              </w:rPr>
            </w:pPr>
          </w:p>
        </w:tc>
        <w:tc>
          <w:tcPr>
            <w:tcW w:w="607" w:type="dxa"/>
          </w:tcPr>
          <w:p w14:paraId="17D3B205">
            <w:pPr>
              <w:widowControl w:val="0"/>
              <w:jc w:val="both"/>
              <w:rPr>
                <w:rFonts w:hint="default"/>
                <w:vertAlign w:val="baseline"/>
                <w:lang w:val="en-US"/>
              </w:rPr>
            </w:pPr>
            <w:r>
              <w:rPr>
                <w:rFonts w:hint="default"/>
                <w:vertAlign w:val="baseline"/>
                <w:lang w:val="en-US"/>
              </w:rPr>
              <w:t>C</w:t>
            </w:r>
          </w:p>
        </w:tc>
        <w:tc>
          <w:tcPr>
            <w:tcW w:w="9106" w:type="dxa"/>
          </w:tcPr>
          <w:p w14:paraId="04BE84A5">
            <w:pPr>
              <w:widowControl w:val="0"/>
              <w:bidi w:val="0"/>
              <w:jc w:val="both"/>
              <w:rPr>
                <w:rFonts w:hint="default"/>
                <w:sz w:val="24"/>
                <w:szCs w:val="24"/>
                <w:lang w:val="en-US" w:eastAsia="zh-CN"/>
              </w:rPr>
            </w:pPr>
            <w:r>
              <w:rPr>
                <w:rFonts w:hint="default"/>
                <w:sz w:val="24"/>
                <w:szCs w:val="24"/>
                <w:lang w:val="en-US" w:eastAsia="zh-CN"/>
              </w:rPr>
              <w:t>-</w:t>
            </w:r>
            <w:r>
              <w:rPr>
                <w:sz w:val="24"/>
                <w:szCs w:val="24"/>
                <w:lang w:val="en-US" w:eastAsia="zh-CN"/>
              </w:rPr>
              <w:t>La diarrhée factice concerne</w:t>
            </w:r>
            <w:r>
              <w:rPr>
                <w:rFonts w:hint="default"/>
                <w:sz w:val="24"/>
                <w:szCs w:val="24"/>
                <w:lang w:val="en-US" w:eastAsia="zh-CN"/>
              </w:rPr>
              <w:t> </w:t>
            </w:r>
            <w:r>
              <w:rPr>
                <w:b/>
                <w:bCs/>
                <w:sz w:val="24"/>
                <w:szCs w:val="24"/>
                <w:lang w:val="en-US" w:eastAsia="zh-CN"/>
              </w:rPr>
              <w:t>majoritairement les femmes</w:t>
            </w:r>
            <w:r>
              <w:rPr>
                <w:rFonts w:hint="default"/>
                <w:sz w:val="24"/>
                <w:szCs w:val="24"/>
                <w:lang w:val="en-US" w:eastAsia="zh-CN"/>
              </w:rPr>
              <w:t xml:space="preserve"> (environ 80 à 90 % des cas). </w:t>
            </w:r>
          </w:p>
          <w:p w14:paraId="6FCC0D54">
            <w:pPr>
              <w:widowControl w:val="0"/>
              <w:bidi w:val="0"/>
              <w:jc w:val="both"/>
              <w:rPr>
                <w:rFonts w:hint="default"/>
                <w:sz w:val="24"/>
                <w:szCs w:val="24"/>
                <w:lang w:val="en-US" w:eastAsia="zh-CN"/>
              </w:rPr>
            </w:pPr>
          </w:p>
          <w:p w14:paraId="2E001D91">
            <w:pPr>
              <w:widowControl w:val="0"/>
              <w:bidi w:val="0"/>
              <w:jc w:val="both"/>
              <w:rPr>
                <w:sz w:val="24"/>
                <w:szCs w:val="24"/>
                <w:vertAlign w:val="baseline"/>
              </w:rPr>
            </w:pPr>
            <w:r>
              <w:rPr>
                <w:rFonts w:hint="default"/>
                <w:sz w:val="24"/>
                <w:szCs w:val="24"/>
                <w:lang w:val="en-US" w:eastAsia="zh-CN"/>
              </w:rPr>
              <w:t>-</w:t>
            </w:r>
            <w:r>
              <w:rPr>
                <w:rFonts w:hint="default"/>
                <w:b/>
                <w:bCs/>
                <w:sz w:val="24"/>
                <w:szCs w:val="24"/>
                <w:lang w:val="en-US" w:eastAsia="zh-CN"/>
              </w:rPr>
              <w:t>Mélanose colique :</w:t>
            </w:r>
            <w:r>
              <w:rPr>
                <w:rFonts w:hint="default"/>
                <w:sz w:val="24"/>
                <w:szCs w:val="24"/>
                <w:lang w:val="en-US" w:eastAsia="zh-CN"/>
              </w:rPr>
              <w:t> C'est un signe endoscopique caractéristique de la prise chronique de laxatifs </w:t>
            </w:r>
            <w:r>
              <w:rPr>
                <w:rFonts w:hint="default"/>
                <w:b/>
                <w:bCs/>
                <w:sz w:val="24"/>
                <w:szCs w:val="24"/>
                <w:lang w:val="en-US" w:eastAsia="zh-CN"/>
              </w:rPr>
              <w:t>anthracéniques </w:t>
            </w:r>
            <w:r>
              <w:rPr>
                <w:rFonts w:hint="default"/>
                <w:sz w:val="24"/>
                <w:szCs w:val="24"/>
                <w:lang w:val="en-US" w:eastAsia="zh-CN"/>
              </w:rPr>
              <w:t>(séné, bourdaine, rhubarbe). Il s'agit d'une pigmentation brune ou noire de la muqueuse colique due à l</w:t>
            </w:r>
            <w:r>
              <w:rPr>
                <w:rFonts w:hint="default"/>
                <w:b/>
                <w:bCs/>
                <w:sz w:val="24"/>
                <w:szCs w:val="24"/>
                <w:lang w:val="en-US" w:eastAsia="zh-CN"/>
              </w:rPr>
              <w:t>'accumulation de pigments dans les macrophages.</w:t>
            </w:r>
          </w:p>
        </w:tc>
      </w:tr>
      <w:tr w14:paraId="058BA5F8">
        <w:tc>
          <w:tcPr>
            <w:tcW w:w="427" w:type="dxa"/>
          </w:tcPr>
          <w:p w14:paraId="08364EB5">
            <w:pPr>
              <w:widowControl w:val="0"/>
              <w:numPr>
                <w:ilvl w:val="0"/>
                <w:numId w:val="1"/>
              </w:numPr>
              <w:ind w:left="425" w:leftChars="0" w:hanging="425" w:firstLineChars="0"/>
              <w:jc w:val="both"/>
              <w:rPr>
                <w:vertAlign w:val="baseline"/>
              </w:rPr>
            </w:pPr>
          </w:p>
        </w:tc>
        <w:tc>
          <w:tcPr>
            <w:tcW w:w="607" w:type="dxa"/>
          </w:tcPr>
          <w:p w14:paraId="02395BFA">
            <w:pPr>
              <w:widowControl w:val="0"/>
              <w:jc w:val="both"/>
              <w:rPr>
                <w:rFonts w:hint="default"/>
                <w:vertAlign w:val="baseline"/>
                <w:lang w:val="en-US"/>
              </w:rPr>
            </w:pPr>
            <w:r>
              <w:rPr>
                <w:rFonts w:hint="default"/>
                <w:vertAlign w:val="baseline"/>
                <w:lang w:val="en-US"/>
              </w:rPr>
              <w:t>D</w:t>
            </w:r>
          </w:p>
        </w:tc>
        <w:tc>
          <w:tcPr>
            <w:tcW w:w="9106" w:type="dxa"/>
          </w:tcPr>
          <w:p w14:paraId="7F95914B">
            <w:pPr>
              <w:pStyle w:val="10"/>
              <w:keepNext w:val="0"/>
              <w:keepLines w:val="0"/>
              <w:widowControl/>
              <w:suppressLineNumbers w:val="0"/>
              <w:ind w:left="0" w:firstLine="0"/>
              <w:rPr>
                <w:i w:val="0"/>
                <w:iCs w:val="0"/>
                <w:caps w:val="0"/>
                <w:color w:val="000000"/>
                <w:spacing w:val="0"/>
                <w:u w:val="none"/>
              </w:rPr>
            </w:pPr>
            <w:r>
              <w:rPr>
                <w:rFonts w:hint="default"/>
                <w:i w:val="0"/>
                <w:iCs w:val="0"/>
                <w:caps w:val="0"/>
                <w:color w:val="000000"/>
                <w:spacing w:val="0"/>
                <w:u w:val="none"/>
                <w:lang w:val="en-US"/>
              </w:rPr>
              <w:t>-</w:t>
            </w:r>
            <w:r>
              <w:rPr>
                <w:i w:val="0"/>
                <w:iCs w:val="0"/>
                <w:caps w:val="0"/>
                <w:color w:val="000000"/>
                <w:spacing w:val="0"/>
                <w:u w:val="none"/>
              </w:rPr>
              <w:t>Le typage HLA (système d'histocompatibilité) a une excellente </w:t>
            </w:r>
            <w:r>
              <w:rPr>
                <w:b/>
                <w:bCs/>
                <w:i w:val="0"/>
                <w:iCs w:val="0"/>
                <w:caps w:val="0"/>
                <w:color w:val="000000"/>
                <w:spacing w:val="0"/>
                <w:u w:val="none"/>
              </w:rPr>
              <w:t>valeur prédictive négative</w:t>
            </w:r>
            <w:r>
              <w:rPr>
                <w:i w:val="0"/>
                <w:iCs w:val="0"/>
                <w:caps w:val="0"/>
                <w:color w:val="000000"/>
                <w:spacing w:val="0"/>
                <w:u w:val="none"/>
              </w:rPr>
              <w:t>, mais une </w:t>
            </w:r>
            <w:r>
              <w:rPr>
                <w:b/>
                <w:bCs/>
                <w:i w:val="0"/>
                <w:iCs w:val="0"/>
                <w:caps w:val="0"/>
                <w:color w:val="000000"/>
                <w:spacing w:val="0"/>
                <w:u w:val="none"/>
              </w:rPr>
              <w:t>faible valeur prédictive positive</w:t>
            </w:r>
            <w:r>
              <w:rPr>
                <w:i w:val="0"/>
                <w:iCs w:val="0"/>
                <w:caps w:val="0"/>
                <w:color w:val="000000"/>
                <w:spacing w:val="0"/>
                <w:u w:val="none"/>
              </w:rPr>
              <w:t>.</w:t>
            </w:r>
          </w:p>
          <w:p w14:paraId="6B25596C">
            <w:pPr>
              <w:pStyle w:val="10"/>
              <w:keepNext w:val="0"/>
              <w:keepLines w:val="0"/>
              <w:widowControl/>
              <w:numPr>
                <w:ilvl w:val="0"/>
                <w:numId w:val="4"/>
              </w:numPr>
              <w:suppressLineNumbers w:val="0"/>
              <w:ind w:left="420" w:leftChars="0" w:hanging="420" w:firstLineChars="0"/>
            </w:pPr>
            <w:r>
              <w:rPr>
                <w:i w:val="0"/>
                <w:iCs w:val="0"/>
                <w:caps w:val="0"/>
                <w:color w:val="000000"/>
                <w:spacing w:val="0"/>
                <w:u w:val="none"/>
              </w:rPr>
              <w:t>Près de </w:t>
            </w:r>
            <w:r>
              <w:rPr>
                <w:b/>
                <w:bCs/>
                <w:i w:val="0"/>
                <w:iCs w:val="0"/>
                <w:caps w:val="0"/>
                <w:color w:val="000000"/>
                <w:spacing w:val="0"/>
                <w:u w:val="none"/>
              </w:rPr>
              <w:t>95 %</w:t>
            </w:r>
            <w:r>
              <w:rPr>
                <w:i w:val="0"/>
                <w:iCs w:val="0"/>
                <w:caps w:val="0"/>
                <w:color w:val="000000"/>
                <w:spacing w:val="0"/>
                <w:u w:val="none"/>
              </w:rPr>
              <w:t> des patients cœliaques portent le gène </w:t>
            </w:r>
            <w:r>
              <w:rPr>
                <w:b/>
                <w:bCs/>
                <w:i w:val="0"/>
                <w:iCs w:val="0"/>
                <w:caps w:val="0"/>
                <w:color w:val="000000"/>
                <w:spacing w:val="0"/>
                <w:u w:val="none"/>
              </w:rPr>
              <w:t>HLA-DQ2</w:t>
            </w:r>
            <w:r>
              <w:rPr>
                <w:i w:val="0"/>
                <w:iCs w:val="0"/>
                <w:caps w:val="0"/>
                <w:color w:val="000000"/>
                <w:spacing w:val="0"/>
                <w:u w:val="none"/>
              </w:rPr>
              <w:t> ou </w:t>
            </w:r>
            <w:r>
              <w:rPr>
                <w:b/>
                <w:bCs/>
                <w:i w:val="0"/>
                <w:iCs w:val="0"/>
                <w:caps w:val="0"/>
                <w:color w:val="000000"/>
                <w:spacing w:val="0"/>
                <w:u w:val="none"/>
              </w:rPr>
              <w:t>DQ8</w:t>
            </w:r>
            <w:r>
              <w:rPr>
                <w:i w:val="0"/>
                <w:iCs w:val="0"/>
                <w:caps w:val="0"/>
                <w:color w:val="000000"/>
                <w:spacing w:val="0"/>
                <w:u w:val="none"/>
              </w:rPr>
              <w:t>.</w:t>
            </w:r>
          </w:p>
          <w:p w14:paraId="79CCB796">
            <w:pPr>
              <w:pStyle w:val="10"/>
              <w:keepNext w:val="0"/>
              <w:keepLines w:val="0"/>
              <w:widowControl/>
              <w:numPr>
                <w:ilvl w:val="0"/>
                <w:numId w:val="4"/>
              </w:numPr>
              <w:suppressLineNumbers w:val="0"/>
              <w:ind w:left="420" w:leftChars="0" w:hanging="420" w:firstLineChars="0"/>
            </w:pPr>
            <w:r>
              <w:rPr>
                <w:i w:val="0"/>
                <w:iCs w:val="0"/>
                <w:caps w:val="0"/>
                <w:color w:val="000000"/>
                <w:spacing w:val="0"/>
                <w:u w:val="none"/>
              </w:rPr>
              <w:t>Cependant, environ </w:t>
            </w:r>
            <w:r>
              <w:rPr>
                <w:b/>
                <w:bCs/>
                <w:i w:val="0"/>
                <w:iCs w:val="0"/>
                <w:caps w:val="0"/>
                <w:color w:val="000000"/>
                <w:spacing w:val="0"/>
                <w:u w:val="none"/>
              </w:rPr>
              <w:t>30 à 40 % de la population générale saine</w:t>
            </w:r>
            <w:r>
              <w:rPr>
                <w:i w:val="0"/>
                <w:iCs w:val="0"/>
                <w:caps w:val="0"/>
                <w:color w:val="000000"/>
                <w:spacing w:val="0"/>
                <w:u w:val="none"/>
              </w:rPr>
              <w:t> possède également ces gènes sans jamais développer la maladie.</w:t>
            </w:r>
          </w:p>
          <w:p w14:paraId="5D16399E">
            <w:pPr>
              <w:pStyle w:val="10"/>
              <w:keepNext w:val="0"/>
              <w:keepLines w:val="0"/>
              <w:widowControl/>
              <w:suppressLineNumbers w:val="0"/>
              <w:rPr>
                <w:sz w:val="24"/>
                <w:szCs w:val="24"/>
                <w:vertAlign w:val="baseline"/>
              </w:rPr>
            </w:pPr>
            <w:r>
              <w:rPr>
                <w:rFonts w:hint="default"/>
                <w:i w:val="0"/>
                <w:iCs w:val="0"/>
                <w:caps w:val="0"/>
                <w:color w:val="000000"/>
                <w:spacing w:val="0"/>
                <w:u w:val="none"/>
                <w:lang w:val="en-US"/>
              </w:rPr>
              <w:t>-</w:t>
            </w:r>
            <w:r>
              <w:rPr>
                <w:i w:val="0"/>
                <w:iCs w:val="0"/>
                <w:caps w:val="0"/>
                <w:color w:val="000000"/>
                <w:spacing w:val="0"/>
                <w:u w:val="none"/>
              </w:rPr>
              <w:t xml:space="preserve">Si le test est négatif, la maladie cœliaque est quasiment exclue. S'il est positif, il ne prouve rien ; il indique seulement une susceptibilité génétique. </w:t>
            </w:r>
            <w:r>
              <w:rPr>
                <w:rFonts w:hint="default" w:ascii="Times New Roman Bold" w:hAnsi="Times New Roman Bold" w:cs="Times New Roman Bold"/>
                <w:b/>
                <w:bCs/>
                <w:i w:val="0"/>
                <w:iCs w:val="0"/>
                <w:caps w:val="0"/>
                <w:color w:val="000000"/>
                <w:spacing w:val="0"/>
                <w:u w:val="none"/>
              </w:rPr>
              <w:t>Le diagnostic repose sur l'association de la sérologie et de l'histologie (biopsies).</w:t>
            </w:r>
          </w:p>
        </w:tc>
      </w:tr>
      <w:tr w14:paraId="14389184">
        <w:tc>
          <w:tcPr>
            <w:tcW w:w="427" w:type="dxa"/>
          </w:tcPr>
          <w:p w14:paraId="62B076CA">
            <w:pPr>
              <w:widowControl w:val="0"/>
              <w:numPr>
                <w:ilvl w:val="0"/>
                <w:numId w:val="1"/>
              </w:numPr>
              <w:ind w:left="425" w:leftChars="0" w:hanging="425" w:firstLineChars="0"/>
              <w:jc w:val="both"/>
              <w:rPr>
                <w:vertAlign w:val="baseline"/>
              </w:rPr>
            </w:pPr>
          </w:p>
        </w:tc>
        <w:tc>
          <w:tcPr>
            <w:tcW w:w="607" w:type="dxa"/>
          </w:tcPr>
          <w:p w14:paraId="5AC606C3">
            <w:pPr>
              <w:widowControl w:val="0"/>
              <w:jc w:val="both"/>
              <w:rPr>
                <w:rFonts w:hint="default"/>
                <w:vertAlign w:val="baseline"/>
                <w:lang w:val="en-US"/>
              </w:rPr>
            </w:pPr>
            <w:r>
              <w:rPr>
                <w:rFonts w:hint="default"/>
                <w:vertAlign w:val="baseline"/>
                <w:lang w:val="en-US"/>
              </w:rPr>
              <w:t>A</w:t>
            </w:r>
          </w:p>
        </w:tc>
        <w:tc>
          <w:tcPr>
            <w:tcW w:w="9106" w:type="dxa"/>
          </w:tcPr>
          <w:p w14:paraId="72F6AB0B">
            <w:pPr>
              <w:widowControl w:val="0"/>
              <w:jc w:val="both"/>
              <w:rPr>
                <w:rFonts w:hint="default"/>
                <w:sz w:val="24"/>
                <w:szCs w:val="24"/>
                <w:vertAlign w:val="baseline"/>
              </w:rPr>
            </w:pPr>
            <w:r>
              <w:rPr>
                <w:rFonts w:hint="default"/>
                <w:sz w:val="24"/>
                <w:szCs w:val="24"/>
                <w:vertAlign w:val="baseline"/>
                <w:lang w:val="en-US"/>
              </w:rPr>
              <w:t>-</w:t>
            </w:r>
            <w:r>
              <w:rPr>
                <w:rFonts w:hint="default"/>
                <w:b/>
                <w:bCs/>
                <w:sz w:val="24"/>
                <w:szCs w:val="24"/>
                <w:vertAlign w:val="baseline"/>
              </w:rPr>
              <w:t>Tout polype doit être réséqué à la coloscopie totale quand c’est possible (à l’aide d’une anse diathermique ou d’une pincele plus souvent)</w:t>
            </w:r>
            <w:r>
              <w:rPr>
                <w:rFonts w:hint="default"/>
                <w:sz w:val="24"/>
                <w:szCs w:val="24"/>
                <w:vertAlign w:val="baseline"/>
              </w:rPr>
              <w:t>, et ne pas faire de biopsie systématique à un polype qu’on va réséquer sauf suspicion de dégénérescence.</w:t>
            </w:r>
          </w:p>
          <w:p w14:paraId="2C058EF2">
            <w:pPr>
              <w:widowControl w:val="0"/>
              <w:jc w:val="both"/>
              <w:rPr>
                <w:rFonts w:hint="default"/>
                <w:b/>
                <w:bCs/>
                <w:sz w:val="24"/>
                <w:szCs w:val="24"/>
                <w:vertAlign w:val="baseline"/>
              </w:rPr>
            </w:pPr>
            <w:r>
              <w:rPr>
                <w:rFonts w:hint="default"/>
                <w:sz w:val="24"/>
                <w:szCs w:val="24"/>
                <w:vertAlign w:val="baseline"/>
              </w:rPr>
              <w:t xml:space="preserve">o Les techniques de la polypectomie : </w:t>
            </w:r>
            <w:r>
              <w:rPr>
                <w:rFonts w:hint="default"/>
                <w:b/>
                <w:bCs/>
                <w:sz w:val="24"/>
                <w:szCs w:val="24"/>
                <w:vertAlign w:val="baseline"/>
              </w:rPr>
              <w:t>polypectomie, mucosectomie, dissection sous muqueuse.</w:t>
            </w:r>
          </w:p>
          <w:p w14:paraId="17EB157D">
            <w:pPr>
              <w:widowControl w:val="0"/>
              <w:jc w:val="both"/>
              <w:rPr>
                <w:rFonts w:hint="default"/>
                <w:sz w:val="24"/>
                <w:szCs w:val="24"/>
                <w:vertAlign w:val="baseline"/>
              </w:rPr>
            </w:pPr>
            <w:r>
              <w:rPr>
                <w:rFonts w:hint="default"/>
                <w:sz w:val="24"/>
                <w:szCs w:val="24"/>
                <w:vertAlign w:val="baseline"/>
              </w:rPr>
              <w:t xml:space="preserve">o N’oublie pas d’envoyer le polype réséqué à l’anapath pour confirmer le caractère bénin, d’où la nécessité </w:t>
            </w:r>
            <w:r>
              <w:rPr>
                <w:rFonts w:hint="default"/>
                <w:sz w:val="24"/>
                <w:szCs w:val="24"/>
                <w:vertAlign w:val="baseline"/>
                <w:lang w:val="en-US"/>
              </w:rPr>
              <w:t>d</w:t>
            </w:r>
            <w:r>
              <w:rPr>
                <w:rFonts w:hint="default"/>
                <w:sz w:val="24"/>
                <w:szCs w:val="24"/>
                <w:vertAlign w:val="baseline"/>
              </w:rPr>
              <w:t>un repérage</w:t>
            </w:r>
            <w:r>
              <w:rPr>
                <w:rFonts w:hint="default"/>
                <w:sz w:val="24"/>
                <w:szCs w:val="24"/>
                <w:vertAlign w:val="baseline"/>
                <w:lang w:val="en-US"/>
              </w:rPr>
              <w:t xml:space="preserve"> </w:t>
            </w:r>
            <w:r>
              <w:rPr>
                <w:rFonts w:hint="default"/>
                <w:sz w:val="24"/>
                <w:szCs w:val="24"/>
                <w:vertAlign w:val="baseline"/>
              </w:rPr>
              <w:t>préalable par l’endoscopiste du pied du polype ou de la base de résection par une aiguille de ou un tatouage -&amp;gt; (en cas de</w:t>
            </w:r>
            <w:r>
              <w:rPr>
                <w:rFonts w:hint="default"/>
                <w:sz w:val="24"/>
                <w:szCs w:val="24"/>
                <w:vertAlign w:val="baseline"/>
                <w:lang w:val="en-US"/>
              </w:rPr>
              <w:t xml:space="preserve"> </w:t>
            </w:r>
            <w:r>
              <w:rPr>
                <w:rFonts w:hint="default"/>
                <w:sz w:val="24"/>
                <w:szCs w:val="24"/>
                <w:vertAlign w:val="baseline"/>
              </w:rPr>
              <w:t>malignité et si la résection n’est pas R0 -&amp;gt; compléter par la chirurgie)</w:t>
            </w:r>
          </w:p>
          <w:p w14:paraId="6657939E">
            <w:pPr>
              <w:widowControl w:val="0"/>
              <w:jc w:val="both"/>
              <w:rPr>
                <w:rFonts w:hint="default"/>
                <w:sz w:val="24"/>
                <w:szCs w:val="24"/>
                <w:vertAlign w:val="baseline"/>
              </w:rPr>
            </w:pPr>
            <w:r>
              <w:rPr>
                <w:rFonts w:hint="default"/>
                <w:sz w:val="24"/>
                <w:szCs w:val="24"/>
                <w:vertAlign w:val="baseline"/>
              </w:rPr>
              <w:t>o+</w:t>
            </w:r>
            <w:r>
              <w:rPr>
                <w:rFonts w:hint="default"/>
                <w:b/>
                <w:bCs/>
                <w:sz w:val="24"/>
                <w:szCs w:val="24"/>
                <w:vertAlign w:val="baseline"/>
              </w:rPr>
              <w:t>Surveillance endoscopique après résection de polype</w:t>
            </w:r>
            <w:r>
              <w:rPr>
                <w:rFonts w:hint="default"/>
                <w:sz w:val="24"/>
                <w:szCs w:val="24"/>
                <w:vertAlign w:val="baseline"/>
              </w:rPr>
              <w:t> (et examen anapath) :</w:t>
            </w:r>
          </w:p>
          <w:p w14:paraId="0FCA69F9">
            <w:pPr>
              <w:widowControl w:val="0"/>
              <w:jc w:val="both"/>
              <w:rPr>
                <w:rFonts w:hint="default"/>
                <w:sz w:val="24"/>
                <w:szCs w:val="24"/>
                <w:vertAlign w:val="baseline"/>
              </w:rPr>
            </w:pPr>
            <w:r>
              <w:rPr>
                <w:rFonts w:hint="default"/>
                <w:sz w:val="24"/>
                <w:szCs w:val="24"/>
                <w:vertAlign w:val="baseline"/>
              </w:rPr>
              <w:t> Résection incomplète :</w:t>
            </w:r>
          </w:p>
          <w:p w14:paraId="49A87758">
            <w:pPr>
              <w:widowControl w:val="0"/>
              <w:jc w:val="both"/>
              <w:rPr>
                <w:rFonts w:hint="default"/>
                <w:sz w:val="24"/>
                <w:szCs w:val="24"/>
                <w:vertAlign w:val="baseline"/>
              </w:rPr>
            </w:pPr>
            <w:r>
              <w:rPr>
                <w:rFonts w:hint="default"/>
                <w:sz w:val="24"/>
                <w:szCs w:val="24"/>
                <w:vertAlign w:val="baseline"/>
              </w:rPr>
              <w:t>- Lésion maligne à l’anapath  Compléter par la chirurgie</w:t>
            </w:r>
          </w:p>
          <w:p w14:paraId="1490DBD0">
            <w:pPr>
              <w:widowControl w:val="0"/>
              <w:jc w:val="both"/>
              <w:rPr>
                <w:rFonts w:hint="default"/>
                <w:sz w:val="24"/>
                <w:szCs w:val="24"/>
                <w:vertAlign w:val="baseline"/>
              </w:rPr>
            </w:pPr>
            <w:r>
              <w:rPr>
                <w:rFonts w:hint="default"/>
                <w:sz w:val="24"/>
                <w:szCs w:val="24"/>
                <w:vertAlign w:val="baseline"/>
              </w:rPr>
              <w:t>- Polype bénigne  reprendre 2-6 mois</w:t>
            </w:r>
          </w:p>
          <w:p w14:paraId="2901F549">
            <w:pPr>
              <w:widowControl w:val="0"/>
              <w:jc w:val="both"/>
              <w:rPr>
                <w:rFonts w:hint="default"/>
                <w:sz w:val="24"/>
                <w:szCs w:val="24"/>
                <w:vertAlign w:val="baseline"/>
              </w:rPr>
            </w:pPr>
            <w:r>
              <w:rPr>
                <w:rFonts w:hint="default"/>
                <w:sz w:val="24"/>
                <w:szCs w:val="24"/>
                <w:vertAlign w:val="baseline"/>
              </w:rPr>
              <w:t> Polype à haut risque : 10mm, nbre 3, dysplasie haut grade  3 ans</w:t>
            </w:r>
          </w:p>
          <w:p w14:paraId="2E41DABC">
            <w:pPr>
              <w:widowControl w:val="0"/>
              <w:jc w:val="both"/>
              <w:rPr>
                <w:sz w:val="24"/>
                <w:szCs w:val="24"/>
                <w:vertAlign w:val="baseline"/>
              </w:rPr>
            </w:pPr>
            <w:r>
              <w:rPr>
                <w:rFonts w:hint="default"/>
                <w:sz w:val="24"/>
                <w:szCs w:val="24"/>
                <w:vertAlign w:val="baseline"/>
              </w:rPr>
              <w:t> Polype à bas risque : 10mm, nbre 3, dysplasie bas grade  5 ans</w:t>
            </w:r>
          </w:p>
        </w:tc>
      </w:tr>
      <w:tr w14:paraId="4CE06A8C">
        <w:tc>
          <w:tcPr>
            <w:tcW w:w="427" w:type="dxa"/>
          </w:tcPr>
          <w:p w14:paraId="6BC8D6E3">
            <w:pPr>
              <w:widowControl w:val="0"/>
              <w:numPr>
                <w:ilvl w:val="0"/>
                <w:numId w:val="1"/>
              </w:numPr>
              <w:ind w:left="425" w:leftChars="0" w:hanging="425" w:firstLineChars="0"/>
              <w:jc w:val="both"/>
              <w:rPr>
                <w:vertAlign w:val="baseline"/>
              </w:rPr>
            </w:pPr>
          </w:p>
        </w:tc>
        <w:tc>
          <w:tcPr>
            <w:tcW w:w="607" w:type="dxa"/>
          </w:tcPr>
          <w:p w14:paraId="6C6A5A4C">
            <w:pPr>
              <w:widowControl w:val="0"/>
              <w:jc w:val="both"/>
              <w:rPr>
                <w:rFonts w:hint="default"/>
                <w:vertAlign w:val="baseline"/>
                <w:lang w:val="en-US"/>
              </w:rPr>
            </w:pPr>
            <w:r>
              <w:rPr>
                <w:rFonts w:hint="default"/>
                <w:vertAlign w:val="baseline"/>
                <w:lang w:val="en-US"/>
              </w:rPr>
              <w:t>A</w:t>
            </w:r>
          </w:p>
        </w:tc>
        <w:tc>
          <w:tcPr>
            <w:tcW w:w="9106" w:type="dxa"/>
          </w:tcPr>
          <w:p w14:paraId="22ABB3D2">
            <w:pPr>
              <w:widowControl w:val="0"/>
              <w:jc w:val="both"/>
              <w:rPr>
                <w:rFonts w:hint="default"/>
                <w:sz w:val="24"/>
                <w:szCs w:val="24"/>
                <w:vertAlign w:val="baseline"/>
                <w:lang w:val="en-US"/>
              </w:rPr>
            </w:pPr>
            <w:r>
              <w:rPr>
                <w:rFonts w:hint="default"/>
                <w:sz w:val="24"/>
                <w:szCs w:val="24"/>
                <w:vertAlign w:val="baseline"/>
                <w:lang w:val="en-US"/>
              </w:rPr>
              <w:drawing>
                <wp:inline distT="0" distB="0" distL="114300" distR="114300">
                  <wp:extent cx="5841365" cy="5036820"/>
                  <wp:effectExtent l="0" t="0" r="635" b="17780"/>
                  <wp:docPr id="8" name="Picture 8" descr="Screenshot 2026-02-19 at 11.21.18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2-19 at 11.21.18 AM"/>
                          <pic:cNvPicPr>
                            <a:picLocks noChangeAspect="1"/>
                          </pic:cNvPicPr>
                        </pic:nvPicPr>
                        <pic:blipFill>
                          <a:blip r:embed="rId10"/>
                          <a:stretch>
                            <a:fillRect/>
                          </a:stretch>
                        </pic:blipFill>
                        <pic:spPr>
                          <a:xfrm>
                            <a:off x="0" y="0"/>
                            <a:ext cx="5841365" cy="5036820"/>
                          </a:xfrm>
                          <a:prstGeom prst="rect">
                            <a:avLst/>
                          </a:prstGeom>
                        </pic:spPr>
                      </pic:pic>
                    </a:graphicData>
                  </a:graphic>
                </wp:inline>
              </w:drawing>
            </w:r>
          </w:p>
        </w:tc>
      </w:tr>
      <w:tr w14:paraId="3C310590">
        <w:tc>
          <w:tcPr>
            <w:tcW w:w="427" w:type="dxa"/>
          </w:tcPr>
          <w:p w14:paraId="11F5B380">
            <w:pPr>
              <w:widowControl w:val="0"/>
              <w:numPr>
                <w:ilvl w:val="0"/>
                <w:numId w:val="1"/>
              </w:numPr>
              <w:ind w:left="425" w:leftChars="0" w:hanging="425" w:firstLineChars="0"/>
              <w:jc w:val="both"/>
              <w:rPr>
                <w:vertAlign w:val="baseline"/>
              </w:rPr>
            </w:pPr>
          </w:p>
        </w:tc>
        <w:tc>
          <w:tcPr>
            <w:tcW w:w="607" w:type="dxa"/>
          </w:tcPr>
          <w:p w14:paraId="04E74DC7">
            <w:pPr>
              <w:widowControl w:val="0"/>
              <w:jc w:val="both"/>
              <w:rPr>
                <w:rFonts w:hint="default"/>
                <w:vertAlign w:val="baseline"/>
                <w:lang w:val="en-US"/>
              </w:rPr>
            </w:pPr>
            <w:r>
              <w:rPr>
                <w:rFonts w:hint="default"/>
                <w:vertAlign w:val="baseline"/>
                <w:lang w:val="en-US"/>
              </w:rPr>
              <w:t>D</w:t>
            </w:r>
          </w:p>
        </w:tc>
        <w:tc>
          <w:tcPr>
            <w:tcW w:w="9106" w:type="dxa"/>
          </w:tcPr>
          <w:p w14:paraId="6C0750B3">
            <w:pPr>
              <w:pStyle w:val="10"/>
              <w:keepNext w:val="0"/>
              <w:keepLines w:val="0"/>
              <w:widowControl/>
              <w:suppressLineNumbers w:val="0"/>
              <w:ind w:left="0" w:firstLine="0"/>
              <w:rPr>
                <w:i w:val="0"/>
                <w:iCs w:val="0"/>
                <w:caps w:val="0"/>
                <w:color w:val="000000"/>
                <w:spacing w:val="0"/>
                <w:u w:val="none"/>
              </w:rPr>
            </w:pPr>
            <w:r>
              <w:rPr>
                <w:rFonts w:hint="default"/>
                <w:i w:val="0"/>
                <w:iCs w:val="0"/>
                <w:caps w:val="0"/>
                <w:color w:val="000000"/>
                <w:spacing w:val="0"/>
                <w:u w:val="none"/>
                <w:lang w:val="en-US"/>
              </w:rPr>
              <w:t>-</w:t>
            </w:r>
            <w:r>
              <w:rPr>
                <w:i w:val="0"/>
                <w:iCs w:val="0"/>
                <w:caps w:val="0"/>
                <w:color w:val="000000"/>
                <w:spacing w:val="0"/>
                <w:u w:val="none"/>
              </w:rPr>
              <w:t>La </w:t>
            </w:r>
            <w:r>
              <w:rPr>
                <w:b/>
                <w:bCs/>
                <w:i w:val="0"/>
                <w:iCs w:val="0"/>
                <w:caps w:val="0"/>
                <w:color w:val="000000"/>
                <w:spacing w:val="0"/>
                <w:u w:val="none"/>
              </w:rPr>
              <w:t>Rectocolite Hémorragique (RCH)</w:t>
            </w:r>
            <w:r>
              <w:rPr>
                <w:i w:val="0"/>
                <w:iCs w:val="0"/>
                <w:caps w:val="0"/>
                <w:color w:val="000000"/>
                <w:spacing w:val="0"/>
                <w:u w:val="none"/>
              </w:rPr>
              <w:t> est une maladie qui, par définition, est </w:t>
            </w:r>
            <w:r>
              <w:rPr>
                <w:b/>
                <w:bCs/>
                <w:i w:val="0"/>
                <w:iCs w:val="0"/>
                <w:caps w:val="0"/>
                <w:color w:val="000000"/>
                <w:spacing w:val="0"/>
                <w:u w:val="none"/>
              </w:rPr>
              <w:t>strictement localisée au côlon et au rectum</w:t>
            </w:r>
            <w:r>
              <w:rPr>
                <w:i w:val="0"/>
                <w:iCs w:val="0"/>
                <w:caps w:val="0"/>
                <w:color w:val="000000"/>
                <w:spacing w:val="0"/>
                <w:u w:val="none"/>
              </w:rPr>
              <w:t>. L'inflammation est superficielle (muqueuse).</w:t>
            </w:r>
          </w:p>
          <w:p w14:paraId="3A2B4562">
            <w:pPr>
              <w:pStyle w:val="10"/>
              <w:keepNext w:val="0"/>
              <w:keepLines w:val="0"/>
              <w:widowControl/>
              <w:suppressLineNumbers w:val="0"/>
              <w:rPr>
                <w:sz w:val="24"/>
                <w:szCs w:val="24"/>
                <w:vertAlign w:val="baseline"/>
              </w:rPr>
            </w:pPr>
            <w:r>
              <w:rPr>
                <w:rFonts w:hint="default"/>
                <w:i w:val="0"/>
                <w:iCs w:val="0"/>
                <w:caps w:val="0"/>
                <w:color w:val="000000"/>
                <w:spacing w:val="0"/>
                <w:u w:val="none"/>
                <w:lang w:val="en-US"/>
              </w:rPr>
              <w:t>-</w:t>
            </w:r>
            <w:r>
              <w:rPr>
                <w:i w:val="0"/>
                <w:iCs w:val="0"/>
                <w:caps w:val="0"/>
                <w:color w:val="000000"/>
                <w:spacing w:val="0"/>
                <w:u w:val="none"/>
              </w:rPr>
              <w:t>Une </w:t>
            </w:r>
            <w:r>
              <w:rPr>
                <w:b/>
                <w:bCs/>
                <w:i w:val="0"/>
                <w:iCs w:val="0"/>
                <w:caps w:val="0"/>
                <w:color w:val="000000"/>
                <w:spacing w:val="0"/>
                <w:u w:val="none"/>
              </w:rPr>
              <w:t>sténose iléale</w:t>
            </w:r>
            <w:r>
              <w:rPr>
                <w:i w:val="0"/>
                <w:iCs w:val="0"/>
                <w:caps w:val="0"/>
                <w:color w:val="000000"/>
                <w:spacing w:val="0"/>
                <w:u w:val="none"/>
              </w:rPr>
              <w:t> (rétrécissement de la fin de l'intestin grêle) est une complication caractéristique de la </w:t>
            </w:r>
            <w:r>
              <w:rPr>
                <w:b/>
                <w:bCs/>
                <w:i w:val="0"/>
                <w:iCs w:val="0"/>
                <w:caps w:val="0"/>
                <w:color w:val="000000"/>
                <w:spacing w:val="0"/>
                <w:u w:val="none"/>
              </w:rPr>
              <w:t>maladie de Crohn</w:t>
            </w:r>
            <w:r>
              <w:rPr>
                <w:i w:val="0"/>
                <w:iCs w:val="0"/>
                <w:caps w:val="0"/>
                <w:color w:val="000000"/>
                <w:spacing w:val="0"/>
                <w:u w:val="none"/>
              </w:rPr>
              <w:t>, car cette dernière touche toute l'épaisseur de la paroi (transmurale) et peut affecter le grêle.</w:t>
            </w:r>
          </w:p>
        </w:tc>
      </w:tr>
      <w:tr w14:paraId="4E4D71F0">
        <w:tc>
          <w:tcPr>
            <w:tcW w:w="427" w:type="dxa"/>
          </w:tcPr>
          <w:p w14:paraId="586D34BF">
            <w:pPr>
              <w:widowControl w:val="0"/>
              <w:numPr>
                <w:ilvl w:val="0"/>
                <w:numId w:val="1"/>
              </w:numPr>
              <w:ind w:left="425" w:leftChars="0" w:hanging="425" w:firstLineChars="0"/>
              <w:jc w:val="both"/>
              <w:rPr>
                <w:vertAlign w:val="baseline"/>
              </w:rPr>
            </w:pPr>
          </w:p>
        </w:tc>
        <w:tc>
          <w:tcPr>
            <w:tcW w:w="607" w:type="dxa"/>
          </w:tcPr>
          <w:p w14:paraId="4D26B41C">
            <w:pPr>
              <w:widowControl w:val="0"/>
              <w:jc w:val="both"/>
              <w:rPr>
                <w:rFonts w:hint="default"/>
                <w:vertAlign w:val="baseline"/>
                <w:lang w:val="en-US"/>
              </w:rPr>
            </w:pPr>
            <w:r>
              <w:rPr>
                <w:rFonts w:hint="default"/>
                <w:vertAlign w:val="baseline"/>
                <w:lang w:val="en-US"/>
              </w:rPr>
              <w:t>C</w:t>
            </w:r>
          </w:p>
        </w:tc>
        <w:tc>
          <w:tcPr>
            <w:tcW w:w="9106" w:type="dxa"/>
          </w:tcPr>
          <w:p w14:paraId="2D8637D4">
            <w:pPr>
              <w:widowControl w:val="0"/>
              <w:jc w:val="both"/>
              <w:rPr>
                <w:sz w:val="24"/>
                <w:szCs w:val="24"/>
                <w:vertAlign w:val="baseline"/>
              </w:rPr>
            </w:pPr>
            <w:r>
              <w:rPr>
                <w:sz w:val="24"/>
                <w:szCs w:val="24"/>
                <w:vertAlign w:val="baseline"/>
                <w:lang w:val="en-US" w:eastAsia="zh-CN"/>
              </w:rPr>
              <w:t xml:space="preserve">Bien que la maladie de Crohn puisse toucher n'importe quel segment du tube digestif (de la bouche à l'anus), la localisation </w:t>
            </w:r>
            <w:r>
              <w:rPr>
                <w:b/>
                <w:bCs/>
                <w:sz w:val="24"/>
                <w:szCs w:val="24"/>
                <w:vertAlign w:val="baseline"/>
                <w:lang w:val="en-US" w:eastAsia="zh-CN"/>
              </w:rPr>
              <w:t>la plus fréquente est</w:t>
            </w:r>
            <w:r>
              <w:rPr>
                <w:rFonts w:hint="default"/>
                <w:b/>
                <w:bCs/>
                <w:sz w:val="24"/>
                <w:szCs w:val="24"/>
                <w:vertAlign w:val="baseline"/>
                <w:lang w:val="en-US" w:eastAsia="zh-CN"/>
              </w:rPr>
              <w:t> </w:t>
            </w:r>
            <w:r>
              <w:rPr>
                <w:b/>
                <w:bCs/>
                <w:sz w:val="24"/>
                <w:szCs w:val="24"/>
                <w:vertAlign w:val="baseline"/>
                <w:lang w:val="en-US" w:eastAsia="zh-CN"/>
              </w:rPr>
              <w:t>l'atteinte iléale ou iléo-cæcale</w:t>
            </w:r>
            <w:r>
              <w:rPr>
                <w:rFonts w:hint="default"/>
                <w:b/>
                <w:bCs/>
                <w:sz w:val="24"/>
                <w:szCs w:val="24"/>
                <w:vertAlign w:val="baseline"/>
                <w:lang w:val="en-US" w:eastAsia="zh-CN"/>
              </w:rPr>
              <w:t> (environ 40 à 50 % des cas)</w:t>
            </w:r>
            <w:r>
              <w:rPr>
                <w:rFonts w:hint="default"/>
                <w:sz w:val="24"/>
                <w:szCs w:val="24"/>
                <w:vertAlign w:val="baseline"/>
                <w:lang w:val="en-US" w:eastAsia="zh-CN"/>
              </w:rPr>
              <w:t>. L'atteinte colique isolée est moins fréquente que l'atteinte du grêle.</w:t>
            </w:r>
          </w:p>
        </w:tc>
      </w:tr>
      <w:tr w14:paraId="4D1AA02A">
        <w:tc>
          <w:tcPr>
            <w:tcW w:w="427" w:type="dxa"/>
          </w:tcPr>
          <w:p w14:paraId="02BB1DEB">
            <w:pPr>
              <w:widowControl w:val="0"/>
              <w:numPr>
                <w:ilvl w:val="0"/>
                <w:numId w:val="1"/>
              </w:numPr>
              <w:ind w:left="425" w:leftChars="0" w:hanging="425" w:firstLineChars="0"/>
              <w:jc w:val="both"/>
              <w:rPr>
                <w:vertAlign w:val="baseline"/>
              </w:rPr>
            </w:pPr>
          </w:p>
        </w:tc>
        <w:tc>
          <w:tcPr>
            <w:tcW w:w="607" w:type="dxa"/>
          </w:tcPr>
          <w:p w14:paraId="43887685">
            <w:pPr>
              <w:widowControl w:val="0"/>
              <w:jc w:val="both"/>
              <w:rPr>
                <w:rFonts w:hint="default"/>
                <w:vertAlign w:val="baseline"/>
                <w:lang w:val="en-US"/>
              </w:rPr>
            </w:pPr>
            <w:r>
              <w:rPr>
                <w:rFonts w:hint="default"/>
                <w:vertAlign w:val="baseline"/>
                <w:lang w:val="en-US"/>
              </w:rPr>
              <w:t>D</w:t>
            </w:r>
          </w:p>
        </w:tc>
        <w:tc>
          <w:tcPr>
            <w:tcW w:w="9106" w:type="dxa"/>
          </w:tcPr>
          <w:p w14:paraId="7A23B89A">
            <w:pPr>
              <w:pStyle w:val="10"/>
              <w:keepNext w:val="0"/>
              <w:keepLines w:val="0"/>
              <w:widowControl/>
              <w:suppressLineNumbers w:val="0"/>
            </w:pPr>
            <w:r>
              <w:rPr>
                <w:rFonts w:hint="default"/>
                <w:b/>
                <w:bCs/>
                <w:i w:val="0"/>
                <w:iCs w:val="0"/>
                <w:caps w:val="0"/>
                <w:color w:val="000000"/>
                <w:spacing w:val="0"/>
                <w:u w:val="none"/>
                <w:lang w:val="en-US"/>
              </w:rPr>
              <w:t>-</w:t>
            </w:r>
            <w:r>
              <w:rPr>
                <w:b/>
                <w:bCs/>
                <w:i w:val="0"/>
                <w:iCs w:val="0"/>
                <w:caps w:val="0"/>
                <w:color w:val="000000"/>
                <w:spacing w:val="0"/>
                <w:u w:val="none"/>
              </w:rPr>
              <w:t xml:space="preserve"> </w:t>
            </w:r>
            <w:r>
              <w:rPr>
                <w:i w:val="0"/>
                <w:iCs w:val="0"/>
                <w:caps w:val="0"/>
                <w:color w:val="000000"/>
                <w:spacing w:val="0"/>
                <w:u w:val="none"/>
              </w:rPr>
              <w:t xml:space="preserve"> L'expression de la protéine </w:t>
            </w:r>
            <w:r>
              <w:rPr>
                <w:b/>
                <w:bCs/>
                <w:i w:val="0"/>
                <w:iCs w:val="0"/>
                <w:caps w:val="0"/>
                <w:color w:val="000000"/>
                <w:spacing w:val="0"/>
                <w:u w:val="none"/>
              </w:rPr>
              <w:t>KIT (CD117)</w:t>
            </w:r>
            <w:r>
              <w:rPr>
                <w:i w:val="0"/>
                <w:iCs w:val="0"/>
                <w:caps w:val="0"/>
                <w:color w:val="000000"/>
                <w:spacing w:val="0"/>
                <w:u w:val="none"/>
              </w:rPr>
              <w:t> est le marqueur diagnostique majeur des GIST (Gastrointestinal Stromal Tumors). Environ 95 % de ces tumeurs sont CD117 positives.</w:t>
            </w:r>
          </w:p>
          <w:p w14:paraId="36C23FFE">
            <w:pPr>
              <w:pStyle w:val="10"/>
              <w:keepNext w:val="0"/>
              <w:keepLines w:val="0"/>
              <w:widowControl/>
              <w:suppressLineNumbers w:val="0"/>
            </w:pPr>
            <w:r>
              <w:rPr>
                <w:rFonts w:hint="default"/>
                <w:i w:val="0"/>
                <w:iCs w:val="0"/>
                <w:caps w:val="0"/>
                <w:color w:val="000000"/>
                <w:spacing w:val="0"/>
                <w:u w:val="none"/>
                <w:lang w:val="en-US"/>
              </w:rPr>
              <w:t>-</w:t>
            </w:r>
            <w:r>
              <w:rPr>
                <w:i w:val="0"/>
                <w:iCs w:val="0"/>
                <w:caps w:val="0"/>
                <w:color w:val="000000"/>
                <w:spacing w:val="0"/>
                <w:u w:val="none"/>
              </w:rPr>
              <w:t xml:space="preserve"> les GIST sont en réalité les tumeurs </w:t>
            </w:r>
            <w:r>
              <w:rPr>
                <w:b/>
                <w:bCs/>
                <w:i w:val="0"/>
                <w:iCs w:val="0"/>
                <w:caps w:val="0"/>
                <w:color w:val="000000"/>
                <w:spacing w:val="0"/>
                <w:u w:val="none"/>
              </w:rPr>
              <w:t>mésenchymateuses les plus fréquentes</w:t>
            </w:r>
            <w:r>
              <w:rPr>
                <w:i w:val="0"/>
                <w:iCs w:val="0"/>
                <w:caps w:val="0"/>
                <w:color w:val="000000"/>
                <w:spacing w:val="0"/>
                <w:u w:val="none"/>
              </w:rPr>
              <w:t> du tube digestif.</w:t>
            </w:r>
          </w:p>
          <w:p w14:paraId="15E1EB14">
            <w:pPr>
              <w:pStyle w:val="10"/>
              <w:keepNext w:val="0"/>
              <w:keepLines w:val="0"/>
              <w:widowControl/>
              <w:suppressLineNumbers w:val="0"/>
              <w:rPr>
                <w:i w:val="0"/>
                <w:iCs w:val="0"/>
                <w:caps w:val="0"/>
                <w:color w:val="000000"/>
                <w:spacing w:val="0"/>
                <w:u w:val="none"/>
              </w:rPr>
            </w:pPr>
            <w:r>
              <w:rPr>
                <w:rFonts w:hint="default"/>
                <w:b/>
                <w:bCs/>
                <w:i w:val="0"/>
                <w:iCs w:val="0"/>
                <w:caps w:val="0"/>
                <w:color w:val="000000"/>
                <w:spacing w:val="0"/>
                <w:u w:val="none"/>
                <w:lang w:val="en-US"/>
              </w:rPr>
              <w:t>-</w:t>
            </w:r>
            <w:r>
              <w:rPr>
                <w:b/>
                <w:bCs/>
                <w:i w:val="0"/>
                <w:iCs w:val="0"/>
                <w:caps w:val="0"/>
                <w:color w:val="000000"/>
                <w:spacing w:val="0"/>
                <w:u w:val="none"/>
              </w:rPr>
              <w:t xml:space="preserve"> </w:t>
            </w:r>
            <w:r>
              <w:rPr>
                <w:i w:val="0"/>
                <w:iCs w:val="0"/>
                <w:caps w:val="0"/>
                <w:color w:val="000000"/>
                <w:spacing w:val="0"/>
                <w:u w:val="none"/>
              </w:rPr>
              <w:t>Ces tumeurs se développent à partir des cellules de Cajal, qui sont les cellules "pacemaker" responsables de la motilité intestinale.</w:t>
            </w:r>
          </w:p>
          <w:p w14:paraId="1D0F0863">
            <w:pPr>
              <w:pStyle w:val="10"/>
              <w:keepNext w:val="0"/>
              <w:keepLines w:val="0"/>
              <w:widowControl/>
              <w:suppressLineNumbers w:val="0"/>
              <w:rPr>
                <w:sz w:val="24"/>
                <w:szCs w:val="24"/>
                <w:vertAlign w:val="baseline"/>
              </w:rPr>
            </w:pPr>
            <w:r>
              <w:rPr>
                <w:rFonts w:hint="default"/>
                <w:b/>
                <w:bCs/>
                <w:i w:val="0"/>
                <w:iCs w:val="0"/>
                <w:caps w:val="0"/>
                <w:color w:val="000000"/>
                <w:spacing w:val="0"/>
                <w:u w:val="none"/>
                <w:lang w:val="en-US"/>
              </w:rPr>
              <w:t>-</w:t>
            </w:r>
            <w:r>
              <w:rPr>
                <w:i w:val="0"/>
                <w:iCs w:val="0"/>
                <w:caps w:val="0"/>
                <w:color w:val="000000"/>
                <w:spacing w:val="0"/>
                <w:u w:val="none"/>
              </w:rPr>
              <w:t> Contrairement aux adénocarcinomes (qui sont épithéliaux), les GIST naissent du tissu de soutien (stroma) de la paroi digestive.</w:t>
            </w:r>
          </w:p>
        </w:tc>
      </w:tr>
      <w:tr w14:paraId="0B41F8D0">
        <w:trPr>
          <w:trHeight w:val="90" w:hRule="atLeast"/>
        </w:trPr>
        <w:tc>
          <w:tcPr>
            <w:tcW w:w="427" w:type="dxa"/>
          </w:tcPr>
          <w:p w14:paraId="706798A3">
            <w:pPr>
              <w:widowControl w:val="0"/>
              <w:numPr>
                <w:ilvl w:val="0"/>
                <w:numId w:val="1"/>
              </w:numPr>
              <w:ind w:left="425" w:leftChars="0" w:hanging="425" w:firstLineChars="0"/>
              <w:jc w:val="both"/>
              <w:rPr>
                <w:vertAlign w:val="baseline"/>
              </w:rPr>
            </w:pPr>
          </w:p>
        </w:tc>
        <w:tc>
          <w:tcPr>
            <w:tcW w:w="607" w:type="dxa"/>
          </w:tcPr>
          <w:p w14:paraId="09466C8B">
            <w:pPr>
              <w:widowControl w:val="0"/>
              <w:jc w:val="both"/>
              <w:rPr>
                <w:rFonts w:hint="default"/>
                <w:vertAlign w:val="baseline"/>
                <w:lang w:val="en-US"/>
              </w:rPr>
            </w:pPr>
            <w:r>
              <w:rPr>
                <w:rFonts w:hint="default"/>
                <w:vertAlign w:val="baseline"/>
                <w:lang w:val="en-US"/>
              </w:rPr>
              <w:t>E</w:t>
            </w:r>
          </w:p>
        </w:tc>
        <w:tc>
          <w:tcPr>
            <w:tcW w:w="9106" w:type="dxa"/>
          </w:tcPr>
          <w:p w14:paraId="00583ABB">
            <w:pPr>
              <w:widowControl w:val="0"/>
              <w:jc w:val="both"/>
              <w:rPr>
                <w:rFonts w:hint="default"/>
                <w:b/>
                <w:bCs/>
                <w:sz w:val="24"/>
                <w:szCs w:val="24"/>
                <w:vertAlign w:val="baseline"/>
                <w:lang w:val="en-US"/>
              </w:rPr>
            </w:pPr>
            <w:r>
              <w:rPr>
                <w:rFonts w:hint="default"/>
                <w:b/>
                <w:bCs/>
                <w:sz w:val="24"/>
                <w:szCs w:val="24"/>
                <w:vertAlign w:val="baseline"/>
                <w:lang w:val="en-US"/>
              </w:rPr>
              <w:t>-le traitement de la fissure anale :</w:t>
            </w:r>
          </w:p>
          <w:p w14:paraId="107DC1D5">
            <w:pPr>
              <w:widowControl w:val="0"/>
              <w:jc w:val="both"/>
              <w:rPr>
                <w:rFonts w:hint="default"/>
                <w:b/>
                <w:bCs/>
                <w:sz w:val="24"/>
                <w:szCs w:val="24"/>
                <w:vertAlign w:val="baseline"/>
              </w:rPr>
            </w:pPr>
            <w:r>
              <w:rPr>
                <w:rFonts w:hint="default"/>
                <w:b/>
                <w:bCs/>
                <w:sz w:val="24"/>
                <w:szCs w:val="24"/>
                <w:vertAlign w:val="baseline"/>
              </w:rPr>
              <w:t>- Trt médical :</w:t>
            </w:r>
          </w:p>
          <w:p w14:paraId="52F4CDEB">
            <w:pPr>
              <w:widowControl w:val="0"/>
              <w:jc w:val="both"/>
              <w:rPr>
                <w:rFonts w:hint="default"/>
                <w:sz w:val="24"/>
                <w:szCs w:val="24"/>
                <w:vertAlign w:val="baseline"/>
              </w:rPr>
            </w:pPr>
            <w:r>
              <w:rPr>
                <w:rFonts w:hint="default"/>
                <w:sz w:val="24"/>
                <w:szCs w:val="24"/>
                <w:vertAlign w:val="baseline"/>
              </w:rPr>
              <w:t xml:space="preserve">o </w:t>
            </w:r>
            <w:r>
              <w:rPr>
                <w:rFonts w:hint="default"/>
                <w:b/>
                <w:bCs/>
                <w:sz w:val="24"/>
                <w:szCs w:val="24"/>
                <w:vertAlign w:val="baseline"/>
              </w:rPr>
              <w:t>Trt non spécifique</w:t>
            </w:r>
            <w:r>
              <w:rPr>
                <w:rFonts w:hint="default"/>
                <w:sz w:val="24"/>
                <w:szCs w:val="24"/>
                <w:vertAlign w:val="baseline"/>
              </w:rPr>
              <w:t xml:space="preserve"> (1ère intention) ; régulation du transit +++ (RHD, laxatifs et repos) et lutte contre la douleur (antalgiques,</w:t>
            </w:r>
          </w:p>
          <w:p w14:paraId="7FE8A593">
            <w:pPr>
              <w:widowControl w:val="0"/>
              <w:jc w:val="both"/>
              <w:rPr>
                <w:rFonts w:hint="default"/>
                <w:sz w:val="24"/>
                <w:szCs w:val="24"/>
                <w:vertAlign w:val="baseline"/>
              </w:rPr>
            </w:pPr>
            <w:r>
              <w:rPr>
                <w:rFonts w:hint="default"/>
                <w:sz w:val="24"/>
                <w:szCs w:val="24"/>
                <w:vertAlign w:val="baseline"/>
              </w:rPr>
              <w:t>anti-inflammatoires ou topiques locaux).</w:t>
            </w:r>
          </w:p>
          <w:p w14:paraId="6FFF2605">
            <w:pPr>
              <w:widowControl w:val="0"/>
              <w:jc w:val="both"/>
              <w:rPr>
                <w:rFonts w:hint="default"/>
                <w:sz w:val="24"/>
                <w:szCs w:val="24"/>
                <w:vertAlign w:val="baseline"/>
              </w:rPr>
            </w:pPr>
            <w:r>
              <w:rPr>
                <w:rFonts w:hint="default"/>
                <w:sz w:val="24"/>
                <w:szCs w:val="24"/>
                <w:vertAlign w:val="baseline"/>
              </w:rPr>
              <w:t xml:space="preserve">o </w:t>
            </w:r>
            <w:r>
              <w:rPr>
                <w:rFonts w:hint="default"/>
                <w:b/>
                <w:bCs/>
                <w:sz w:val="24"/>
                <w:szCs w:val="24"/>
                <w:vertAlign w:val="baseline"/>
              </w:rPr>
              <w:t>Trt spécifique</w:t>
            </w:r>
            <w:r>
              <w:rPr>
                <w:rFonts w:hint="default"/>
                <w:sz w:val="24"/>
                <w:szCs w:val="24"/>
                <w:vertAlign w:val="baseline"/>
              </w:rPr>
              <w:t xml:space="preserve"> (*diminuer de façon réversible l’hypertonie sphinctérienne) -&amp;gt; sphinctérolyse chimique avec injections</w:t>
            </w:r>
          </w:p>
          <w:p w14:paraId="49F2F6BD">
            <w:pPr>
              <w:widowControl w:val="0"/>
              <w:jc w:val="both"/>
              <w:rPr>
                <w:rFonts w:hint="default"/>
                <w:sz w:val="24"/>
                <w:szCs w:val="24"/>
                <w:vertAlign w:val="baseline"/>
              </w:rPr>
            </w:pPr>
            <w:r>
              <w:rPr>
                <w:rFonts w:hint="default"/>
                <w:sz w:val="24"/>
                <w:szCs w:val="24"/>
                <w:vertAlign w:val="baseline"/>
              </w:rPr>
              <w:t>sclérosantes, dérivés nitrés, inhibiteurs calciques et toxine botulique.</w:t>
            </w:r>
          </w:p>
          <w:p w14:paraId="53FF3E54">
            <w:pPr>
              <w:widowControl w:val="0"/>
              <w:jc w:val="both"/>
              <w:rPr>
                <w:rFonts w:hint="default"/>
                <w:sz w:val="24"/>
                <w:szCs w:val="24"/>
                <w:vertAlign w:val="baseline"/>
              </w:rPr>
            </w:pPr>
            <w:r>
              <w:rPr>
                <w:rFonts w:hint="default"/>
                <w:sz w:val="24"/>
                <w:szCs w:val="24"/>
                <w:vertAlign w:val="baseline"/>
              </w:rPr>
              <w:t>R! Le trt médical doit être poursuivi pendant au moins 4 semaines</w:t>
            </w:r>
          </w:p>
          <w:p w14:paraId="3948BDF4">
            <w:pPr>
              <w:widowControl w:val="0"/>
              <w:jc w:val="both"/>
              <w:rPr>
                <w:rFonts w:hint="default"/>
                <w:sz w:val="24"/>
                <w:szCs w:val="24"/>
                <w:vertAlign w:val="baseline"/>
              </w:rPr>
            </w:pPr>
          </w:p>
          <w:p w14:paraId="3E4EB7C1">
            <w:pPr>
              <w:widowControl w:val="0"/>
              <w:jc w:val="both"/>
              <w:rPr>
                <w:rFonts w:hint="default"/>
                <w:sz w:val="24"/>
                <w:szCs w:val="24"/>
                <w:vertAlign w:val="baseline"/>
              </w:rPr>
            </w:pPr>
            <w:r>
              <w:rPr>
                <w:rFonts w:hint="default"/>
                <w:b/>
                <w:bCs/>
                <w:sz w:val="24"/>
                <w:szCs w:val="24"/>
                <w:vertAlign w:val="baseline"/>
              </w:rPr>
              <w:t>- Trt chirurgical :</w:t>
            </w:r>
            <w:r>
              <w:rPr>
                <w:rFonts w:hint="default"/>
                <w:sz w:val="24"/>
                <w:szCs w:val="24"/>
                <w:vertAlign w:val="baseline"/>
              </w:rPr>
              <w:t xml:space="preserve"> (*le trt curatif au long terme)</w:t>
            </w:r>
          </w:p>
          <w:p w14:paraId="1738F01E">
            <w:pPr>
              <w:widowControl w:val="0"/>
              <w:jc w:val="both"/>
              <w:rPr>
                <w:rFonts w:hint="default"/>
                <w:sz w:val="24"/>
                <w:szCs w:val="24"/>
                <w:vertAlign w:val="baseline"/>
              </w:rPr>
            </w:pPr>
            <w:r>
              <w:rPr>
                <w:rFonts w:hint="default"/>
                <w:sz w:val="24"/>
                <w:szCs w:val="24"/>
                <w:vertAlign w:val="baseline"/>
              </w:rPr>
              <w:t>o</w:t>
            </w:r>
            <w:r>
              <w:rPr>
                <w:rFonts w:hint="default"/>
                <w:b/>
                <w:bCs/>
                <w:sz w:val="24"/>
                <w:szCs w:val="24"/>
                <w:vertAlign w:val="baseline"/>
              </w:rPr>
              <w:t xml:space="preserve"> Principes ; </w:t>
            </w:r>
            <w:r>
              <w:rPr>
                <w:rFonts w:hint="default"/>
                <w:sz w:val="24"/>
                <w:szCs w:val="24"/>
                <w:vertAlign w:val="baseline"/>
              </w:rPr>
              <w:t>diminuer le tonus du sphincter et procéder à l’exérèse de la FA.</w:t>
            </w:r>
          </w:p>
          <w:p w14:paraId="702B8197">
            <w:pPr>
              <w:widowControl w:val="0"/>
              <w:jc w:val="both"/>
              <w:rPr>
                <w:rFonts w:hint="default"/>
                <w:sz w:val="24"/>
                <w:szCs w:val="24"/>
                <w:vertAlign w:val="baseline"/>
              </w:rPr>
            </w:pPr>
            <w:r>
              <w:rPr>
                <w:rFonts w:hint="default"/>
                <w:sz w:val="24"/>
                <w:szCs w:val="24"/>
                <w:vertAlign w:val="baseline"/>
              </w:rPr>
              <w:t xml:space="preserve">o </w:t>
            </w:r>
            <w:r>
              <w:rPr>
                <w:rFonts w:hint="default"/>
                <w:b/>
                <w:bCs/>
                <w:sz w:val="24"/>
                <w:szCs w:val="24"/>
                <w:vertAlign w:val="baseline"/>
              </w:rPr>
              <w:t>Techniques</w:t>
            </w:r>
            <w:r>
              <w:rPr>
                <w:rFonts w:hint="default"/>
                <w:sz w:val="24"/>
                <w:szCs w:val="24"/>
                <w:vertAlign w:val="baseline"/>
              </w:rPr>
              <w:t xml:space="preserve"> ; fissurectomie avec/sans sphinctérotomie partielle avec/sans anoplastie.</w:t>
            </w:r>
          </w:p>
          <w:p w14:paraId="0C3C8D88">
            <w:pPr>
              <w:widowControl w:val="0"/>
              <w:jc w:val="both"/>
              <w:rPr>
                <w:rFonts w:hint="default"/>
                <w:sz w:val="24"/>
                <w:szCs w:val="24"/>
                <w:vertAlign w:val="baseline"/>
              </w:rPr>
            </w:pPr>
          </w:p>
          <w:p w14:paraId="68491249">
            <w:pPr>
              <w:widowControl w:val="0"/>
              <w:jc w:val="both"/>
              <w:rPr>
                <w:rFonts w:hint="default"/>
                <w:sz w:val="24"/>
                <w:szCs w:val="24"/>
                <w:vertAlign w:val="baseline"/>
              </w:rPr>
            </w:pPr>
            <w:r>
              <w:rPr>
                <w:rFonts w:hint="default"/>
                <w:sz w:val="24"/>
                <w:szCs w:val="24"/>
                <w:vertAlign w:val="baseline"/>
              </w:rPr>
              <w:t xml:space="preserve">o </w:t>
            </w:r>
            <w:r>
              <w:rPr>
                <w:rFonts w:hint="default"/>
                <w:b/>
                <w:bCs/>
                <w:sz w:val="24"/>
                <w:szCs w:val="24"/>
                <w:vertAlign w:val="baseline"/>
              </w:rPr>
              <w:t>Indications</w:t>
            </w:r>
            <w:r>
              <w:rPr>
                <w:rFonts w:hint="default"/>
                <w:sz w:val="24"/>
                <w:szCs w:val="24"/>
                <w:vertAlign w:val="baseline"/>
              </w:rPr>
              <w:t xml:space="preserve"> ; fissure hyperalgique ou résistante au trt médical, FA surinfectée, fissure atypique avec doute dg et fissure</w:t>
            </w:r>
            <w:r>
              <w:rPr>
                <w:rFonts w:hint="default"/>
                <w:sz w:val="24"/>
                <w:szCs w:val="24"/>
                <w:vertAlign w:val="baseline"/>
                <w:lang w:val="en-US"/>
              </w:rPr>
              <w:t xml:space="preserve"> </w:t>
            </w:r>
            <w:r>
              <w:rPr>
                <w:rFonts w:hint="default"/>
                <w:sz w:val="24"/>
                <w:szCs w:val="24"/>
                <w:vertAlign w:val="baseline"/>
              </w:rPr>
              <w:t>associée à une patho proctologique relevant de la chirurgie.</w:t>
            </w:r>
          </w:p>
          <w:p w14:paraId="7E9F6A31">
            <w:pPr>
              <w:widowControl w:val="0"/>
              <w:jc w:val="both"/>
              <w:rPr>
                <w:sz w:val="24"/>
                <w:szCs w:val="24"/>
                <w:vertAlign w:val="baseline"/>
              </w:rPr>
            </w:pPr>
            <w:r>
              <w:rPr>
                <w:rFonts w:hint="default"/>
                <w:sz w:val="24"/>
                <w:szCs w:val="24"/>
                <w:vertAlign w:val="baseline"/>
              </w:rPr>
              <w:t>R! Le trt de la FA jeune repose sur le trt médical en 1ère intention, en cas d’échec après qq semaines, le trt chirurgical est de</w:t>
            </w:r>
            <w:r>
              <w:rPr>
                <w:rFonts w:hint="default"/>
                <w:sz w:val="24"/>
                <w:szCs w:val="24"/>
                <w:vertAlign w:val="baseline"/>
                <w:lang w:val="en-US"/>
              </w:rPr>
              <w:t xml:space="preserve"> </w:t>
            </w:r>
            <w:r>
              <w:rPr>
                <w:rFonts w:hint="default"/>
                <w:sz w:val="24"/>
                <w:szCs w:val="24"/>
                <w:vertAlign w:val="baseline"/>
              </w:rPr>
              <w:t>mise. Par contre en cas de FA chronique et/ou infectée, on passe directement vers le trt chirurgical.</w:t>
            </w:r>
          </w:p>
        </w:tc>
      </w:tr>
      <w:tr w14:paraId="17616595">
        <w:tc>
          <w:tcPr>
            <w:tcW w:w="427" w:type="dxa"/>
          </w:tcPr>
          <w:p w14:paraId="6A429655">
            <w:pPr>
              <w:widowControl w:val="0"/>
              <w:numPr>
                <w:ilvl w:val="0"/>
                <w:numId w:val="1"/>
              </w:numPr>
              <w:ind w:left="425" w:leftChars="0" w:hanging="425" w:firstLineChars="0"/>
              <w:jc w:val="both"/>
              <w:rPr>
                <w:vertAlign w:val="baseline"/>
              </w:rPr>
            </w:pPr>
          </w:p>
        </w:tc>
        <w:tc>
          <w:tcPr>
            <w:tcW w:w="607" w:type="dxa"/>
          </w:tcPr>
          <w:p w14:paraId="6370E3EC">
            <w:pPr>
              <w:widowControl w:val="0"/>
              <w:jc w:val="both"/>
              <w:rPr>
                <w:rFonts w:hint="default"/>
                <w:vertAlign w:val="baseline"/>
                <w:lang w:val="en-US"/>
              </w:rPr>
            </w:pPr>
            <w:r>
              <w:rPr>
                <w:rFonts w:hint="default"/>
                <w:vertAlign w:val="baseline"/>
                <w:lang w:val="en-US"/>
              </w:rPr>
              <w:t>C</w:t>
            </w:r>
          </w:p>
        </w:tc>
        <w:tc>
          <w:tcPr>
            <w:tcW w:w="9106" w:type="dxa"/>
          </w:tcPr>
          <w:tbl>
            <w:tblPr>
              <w:tblStyle w:val="9"/>
              <w:tblW w:w="0" w:type="auto"/>
              <w:tblCellSpacing w:w="15" w:type="dxa"/>
              <w:tblInd w:w="-5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4380"/>
              <w:gridCol w:w="4380"/>
            </w:tblGrid>
            <w:tr w14:paraId="269D1FE8">
              <w:trPr>
                <w:trHeight w:val="443" w:hRule="atLeast"/>
                <w:tblHeader/>
                <w:tblCellSpacing w:w="15" w:type="dxa"/>
              </w:trPr>
              <w:tc>
                <w:tcPr>
                  <w:tcW w:w="4335" w:type="dxa"/>
                  <w:tcBorders>
                    <w:top w:val="single" w:color="auto" w:sz="8" w:space="0"/>
                    <w:left w:val="single" w:color="auto" w:sz="8" w:space="0"/>
                    <w:bottom w:val="single" w:color="auto" w:sz="8" w:space="0"/>
                    <w:right w:val="single" w:color="auto" w:sz="8" w:space="0"/>
                  </w:tcBorders>
                  <w:shd w:val="clear" w:color="auto" w:fill="auto"/>
                  <w:vAlign w:val="center"/>
                </w:tcPr>
                <w:p w14:paraId="50710F2D">
                  <w:pPr>
                    <w:keepNext w:val="0"/>
                    <w:keepLines w:val="0"/>
                    <w:widowControl/>
                    <w:suppressLineNumbers w:val="0"/>
                    <w:spacing w:before="0" w:beforeAutospacing="0" w:line="23" w:lineRule="atLeast"/>
                    <w:jc w:val="left"/>
                    <w:rPr>
                      <w:rFonts w:ascii="sans-serif" w:hAnsi="sans-serif" w:eastAsia="sans-serif" w:cs="sans-serif"/>
                      <w:i w:val="0"/>
                      <w:iCs w:val="0"/>
                      <w:caps w:val="0"/>
                      <w:color w:val="000000"/>
                      <w:spacing w:val="0"/>
                      <w:u w:val="none"/>
                    </w:rPr>
                  </w:pPr>
                  <w:r>
                    <w:rPr>
                      <w:rStyle w:val="11"/>
                      <w:rFonts w:hint="default" w:ascii="sans-serif" w:hAnsi="sans-serif" w:eastAsia="sans-serif" w:cs="sans-serif"/>
                      <w:i w:val="0"/>
                      <w:iCs w:val="0"/>
                      <w:caps w:val="0"/>
                      <w:color w:val="000000"/>
                      <w:spacing w:val="0"/>
                      <w:kern w:val="0"/>
                      <w:sz w:val="24"/>
                      <w:szCs w:val="24"/>
                      <w:u w:val="none"/>
                      <w:lang w:val="en-US" w:eastAsia="zh-CN" w:bidi="ar"/>
                    </w:rPr>
                    <w:t>Stade de Marsh</w:t>
                  </w:r>
                </w:p>
              </w:tc>
              <w:tc>
                <w:tcPr>
                  <w:tcW w:w="4335" w:type="dxa"/>
                  <w:tcBorders>
                    <w:top w:val="single" w:color="auto" w:sz="8" w:space="0"/>
                    <w:left w:val="single" w:color="auto" w:sz="8" w:space="0"/>
                    <w:bottom w:val="single" w:color="auto" w:sz="8" w:space="0"/>
                    <w:right w:val="single" w:color="auto" w:sz="8" w:space="0"/>
                  </w:tcBorders>
                  <w:shd w:val="clear" w:color="auto" w:fill="auto"/>
                  <w:vAlign w:val="center"/>
                </w:tcPr>
                <w:p w14:paraId="2E3FEB1A">
                  <w:pPr>
                    <w:keepNext w:val="0"/>
                    <w:keepLines w:val="0"/>
                    <w:widowControl/>
                    <w:suppressLineNumbers w:val="0"/>
                    <w:spacing w:before="0" w:beforeAutospacing="0" w:line="23" w:lineRule="atLeast"/>
                    <w:jc w:val="left"/>
                    <w:rPr>
                      <w:rFonts w:hint="default" w:ascii="sans-serif" w:hAnsi="sans-serif" w:eastAsia="sans-serif" w:cs="sans-serif"/>
                      <w:i w:val="0"/>
                      <w:iCs w:val="0"/>
                      <w:caps w:val="0"/>
                      <w:color w:val="000000"/>
                      <w:spacing w:val="0"/>
                      <w:u w:val="none"/>
                    </w:rPr>
                  </w:pPr>
                  <w:r>
                    <w:rPr>
                      <w:rStyle w:val="11"/>
                      <w:rFonts w:hint="default" w:ascii="sans-serif" w:hAnsi="sans-serif" w:eastAsia="sans-serif" w:cs="sans-serif"/>
                      <w:i w:val="0"/>
                      <w:iCs w:val="0"/>
                      <w:caps w:val="0"/>
                      <w:color w:val="000000"/>
                      <w:spacing w:val="0"/>
                      <w:kern w:val="0"/>
                      <w:sz w:val="24"/>
                      <w:szCs w:val="24"/>
                      <w:u w:val="none"/>
                      <w:lang w:val="en-US" w:eastAsia="zh-CN" w:bidi="ar"/>
                    </w:rPr>
                    <w:t>Caractéristiques Histologiques</w:t>
                  </w:r>
                </w:p>
              </w:tc>
            </w:tr>
            <w:tr w14:paraId="28FDEBF9">
              <w:trPr>
                <w:trHeight w:val="740" w:hRule="atLeast"/>
                <w:tblCellSpacing w:w="15" w:type="dxa"/>
              </w:trPr>
              <w:tc>
                <w:tcPr>
                  <w:tcW w:w="4335" w:type="dxa"/>
                  <w:tcBorders>
                    <w:top w:val="single" w:color="auto" w:sz="8" w:space="0"/>
                    <w:left w:val="single" w:color="auto" w:sz="8" w:space="0"/>
                    <w:bottom w:val="single" w:color="auto" w:sz="8" w:space="0"/>
                    <w:right w:val="single" w:color="auto" w:sz="8" w:space="0"/>
                  </w:tcBorders>
                  <w:shd w:val="clear" w:color="auto" w:fill="auto"/>
                  <w:vAlign w:val="center"/>
                </w:tcPr>
                <w:p w14:paraId="4376CC6C">
                  <w:pPr>
                    <w:keepNext w:val="0"/>
                    <w:keepLines w:val="0"/>
                    <w:widowControl/>
                    <w:suppressLineNumbers w:val="0"/>
                    <w:spacing w:before="0" w:beforeAutospacing="0" w:line="23" w:lineRule="atLeast"/>
                    <w:jc w:val="left"/>
                    <w:rPr>
                      <w:rFonts w:hint="default" w:ascii="sans-serif" w:hAnsi="sans-serif" w:eastAsia="sans-serif" w:cs="sans-serif"/>
                      <w:i w:val="0"/>
                      <w:iCs w:val="0"/>
                      <w:caps w:val="0"/>
                      <w:color w:val="000000"/>
                      <w:spacing w:val="0"/>
                      <w:u w:val="none"/>
                    </w:rPr>
                  </w:pPr>
                  <w:r>
                    <w:rPr>
                      <w:rFonts w:hint="default" w:ascii="sans-serif" w:hAnsi="sans-serif" w:eastAsia="sans-serif" w:cs="sans-serif"/>
                      <w:b/>
                      <w:bCs/>
                      <w:i w:val="0"/>
                      <w:iCs w:val="0"/>
                      <w:caps w:val="0"/>
                      <w:color w:val="000000"/>
                      <w:spacing w:val="0"/>
                      <w:kern w:val="0"/>
                      <w:sz w:val="24"/>
                      <w:szCs w:val="24"/>
                      <w:u w:val="none"/>
                      <w:lang w:val="en-US" w:eastAsia="zh-CN" w:bidi="ar"/>
                    </w:rPr>
                    <w:t>Type 1 (Infiltratif)</w:t>
                  </w:r>
                </w:p>
              </w:tc>
              <w:tc>
                <w:tcPr>
                  <w:tcW w:w="4335" w:type="dxa"/>
                  <w:tcBorders>
                    <w:top w:val="single" w:color="auto" w:sz="8" w:space="0"/>
                    <w:left w:val="single" w:color="auto" w:sz="8" w:space="0"/>
                    <w:bottom w:val="single" w:color="auto" w:sz="8" w:space="0"/>
                    <w:right w:val="single" w:color="auto" w:sz="8" w:space="0"/>
                  </w:tcBorders>
                  <w:shd w:val="clear" w:color="auto" w:fill="auto"/>
                  <w:vAlign w:val="center"/>
                </w:tcPr>
                <w:p w14:paraId="0BD64D57">
                  <w:pPr>
                    <w:keepNext w:val="0"/>
                    <w:keepLines w:val="0"/>
                    <w:widowControl/>
                    <w:suppressLineNumbers w:val="0"/>
                    <w:spacing w:before="0" w:beforeAutospacing="0" w:line="23" w:lineRule="atLeast"/>
                    <w:jc w:val="left"/>
                    <w:rPr>
                      <w:rFonts w:hint="default" w:ascii="sans-serif" w:hAnsi="sans-serif" w:eastAsia="sans-serif" w:cs="sans-serif"/>
                      <w:i w:val="0"/>
                      <w:iCs w:val="0"/>
                      <w:caps w:val="0"/>
                      <w:color w:val="000000"/>
                      <w:spacing w:val="0"/>
                      <w:u w:val="none"/>
                    </w:rPr>
                  </w:pPr>
                  <w:r>
                    <w:rPr>
                      <w:rFonts w:hint="default" w:ascii="sans-serif" w:hAnsi="sans-serif" w:eastAsia="sans-serif" w:cs="sans-serif"/>
                      <w:i w:val="0"/>
                      <w:iCs w:val="0"/>
                      <w:caps w:val="0"/>
                      <w:color w:val="000000"/>
                      <w:spacing w:val="0"/>
                      <w:kern w:val="0"/>
                      <w:sz w:val="24"/>
                      <w:szCs w:val="24"/>
                      <w:u w:val="none"/>
                      <w:lang w:val="en-US" w:eastAsia="zh-CN" w:bidi="ar"/>
                    </w:rPr>
                    <w:t>Villosités normales + Augmentation des Lymphocytes Intra Epithéliale (&gt; 25%).</w:t>
                  </w:r>
                </w:p>
              </w:tc>
            </w:tr>
            <w:tr w14:paraId="1BF6BFF1">
              <w:trPr>
                <w:trHeight w:val="426" w:hRule="atLeast"/>
                <w:tblCellSpacing w:w="15" w:type="dxa"/>
              </w:trPr>
              <w:tc>
                <w:tcPr>
                  <w:tcW w:w="4335" w:type="dxa"/>
                  <w:tcBorders>
                    <w:top w:val="single" w:color="auto" w:sz="8" w:space="0"/>
                    <w:left w:val="single" w:color="auto" w:sz="8" w:space="0"/>
                    <w:bottom w:val="single" w:color="auto" w:sz="8" w:space="0"/>
                    <w:right w:val="single" w:color="auto" w:sz="8" w:space="0"/>
                  </w:tcBorders>
                  <w:shd w:val="clear" w:color="auto" w:fill="auto"/>
                  <w:vAlign w:val="center"/>
                </w:tcPr>
                <w:p w14:paraId="40DBE6B4">
                  <w:pPr>
                    <w:keepNext w:val="0"/>
                    <w:keepLines w:val="0"/>
                    <w:widowControl/>
                    <w:suppressLineNumbers w:val="0"/>
                    <w:spacing w:before="0" w:beforeAutospacing="0" w:line="23" w:lineRule="atLeast"/>
                    <w:jc w:val="left"/>
                    <w:rPr>
                      <w:rFonts w:hint="default" w:ascii="sans-serif" w:hAnsi="sans-serif" w:eastAsia="sans-serif" w:cs="sans-serif"/>
                      <w:i w:val="0"/>
                      <w:iCs w:val="0"/>
                      <w:caps w:val="0"/>
                      <w:color w:val="000000"/>
                      <w:spacing w:val="0"/>
                      <w:u w:val="none"/>
                    </w:rPr>
                  </w:pPr>
                  <w:r>
                    <w:rPr>
                      <w:rFonts w:hint="default" w:ascii="sans-serif" w:hAnsi="sans-serif" w:eastAsia="sans-serif" w:cs="sans-serif"/>
                      <w:b/>
                      <w:bCs/>
                      <w:i w:val="0"/>
                      <w:iCs w:val="0"/>
                      <w:caps w:val="0"/>
                      <w:color w:val="000000"/>
                      <w:spacing w:val="0"/>
                      <w:kern w:val="0"/>
                      <w:sz w:val="24"/>
                      <w:szCs w:val="24"/>
                      <w:u w:val="none"/>
                      <w:lang w:val="en-US" w:eastAsia="zh-CN" w:bidi="ar"/>
                    </w:rPr>
                    <w:t>Type 2 (Hyperplasique)</w:t>
                  </w:r>
                </w:p>
              </w:tc>
              <w:tc>
                <w:tcPr>
                  <w:tcW w:w="4335" w:type="dxa"/>
                  <w:tcBorders>
                    <w:top w:val="single" w:color="auto" w:sz="8" w:space="0"/>
                    <w:left w:val="single" w:color="auto" w:sz="8" w:space="0"/>
                    <w:bottom w:val="single" w:color="auto" w:sz="8" w:space="0"/>
                    <w:right w:val="single" w:color="auto" w:sz="8" w:space="0"/>
                  </w:tcBorders>
                  <w:shd w:val="clear" w:color="auto" w:fill="auto"/>
                  <w:vAlign w:val="center"/>
                </w:tcPr>
                <w:p w14:paraId="030FA734">
                  <w:pPr>
                    <w:keepNext w:val="0"/>
                    <w:keepLines w:val="0"/>
                    <w:widowControl/>
                    <w:suppressLineNumbers w:val="0"/>
                    <w:spacing w:before="0" w:beforeAutospacing="0" w:line="23" w:lineRule="atLeast"/>
                    <w:jc w:val="left"/>
                    <w:rPr>
                      <w:rFonts w:hint="default" w:ascii="sans-serif" w:hAnsi="sans-serif" w:eastAsia="sans-serif" w:cs="sans-serif"/>
                      <w:i w:val="0"/>
                      <w:iCs w:val="0"/>
                      <w:caps w:val="0"/>
                      <w:color w:val="000000"/>
                      <w:spacing w:val="0"/>
                      <w:u w:val="none"/>
                    </w:rPr>
                  </w:pPr>
                  <w:r>
                    <w:rPr>
                      <w:rFonts w:hint="default" w:ascii="sans-serif" w:hAnsi="sans-serif" w:eastAsia="sans-serif" w:cs="sans-serif"/>
                      <w:i w:val="0"/>
                      <w:iCs w:val="0"/>
                      <w:caps w:val="0"/>
                      <w:color w:val="000000"/>
                      <w:spacing w:val="0"/>
                      <w:kern w:val="0"/>
                      <w:sz w:val="24"/>
                      <w:szCs w:val="24"/>
                      <w:u w:val="none"/>
                      <w:lang w:val="en-US" w:eastAsia="zh-CN" w:bidi="ar"/>
                    </w:rPr>
                    <w:t>Type 1 + Hyperplasie des cryptes.</w:t>
                  </w:r>
                </w:p>
              </w:tc>
            </w:tr>
            <w:tr w14:paraId="6AB64AB2">
              <w:trPr>
                <w:trHeight w:val="757" w:hRule="atLeast"/>
                <w:tblCellSpacing w:w="15" w:type="dxa"/>
              </w:trPr>
              <w:tc>
                <w:tcPr>
                  <w:tcW w:w="4335" w:type="dxa"/>
                  <w:tcBorders>
                    <w:top w:val="single" w:color="auto" w:sz="8" w:space="0"/>
                    <w:left w:val="single" w:color="auto" w:sz="8" w:space="0"/>
                    <w:bottom w:val="single" w:color="auto" w:sz="8" w:space="0"/>
                    <w:right w:val="single" w:color="auto" w:sz="8" w:space="0"/>
                  </w:tcBorders>
                  <w:shd w:val="clear" w:color="auto" w:fill="auto"/>
                  <w:vAlign w:val="center"/>
                </w:tcPr>
                <w:p w14:paraId="19864107">
                  <w:pPr>
                    <w:keepNext w:val="0"/>
                    <w:keepLines w:val="0"/>
                    <w:widowControl/>
                    <w:suppressLineNumbers w:val="0"/>
                    <w:spacing w:before="0" w:beforeAutospacing="0" w:line="23" w:lineRule="atLeast"/>
                    <w:jc w:val="left"/>
                    <w:rPr>
                      <w:rFonts w:hint="default" w:ascii="sans-serif" w:hAnsi="sans-serif" w:eastAsia="sans-serif" w:cs="sans-serif"/>
                      <w:i w:val="0"/>
                      <w:iCs w:val="0"/>
                      <w:caps w:val="0"/>
                      <w:color w:val="000000"/>
                      <w:spacing w:val="0"/>
                      <w:u w:val="none"/>
                    </w:rPr>
                  </w:pPr>
                  <w:r>
                    <w:rPr>
                      <w:rFonts w:hint="default" w:ascii="sans-serif" w:hAnsi="sans-serif" w:eastAsia="sans-serif" w:cs="sans-serif"/>
                      <w:b/>
                      <w:bCs/>
                      <w:i w:val="0"/>
                      <w:iCs w:val="0"/>
                      <w:caps w:val="0"/>
                      <w:color w:val="000000"/>
                      <w:spacing w:val="0"/>
                      <w:kern w:val="0"/>
                      <w:sz w:val="24"/>
                      <w:szCs w:val="24"/>
                      <w:u w:val="none"/>
                      <w:lang w:val="en-US" w:eastAsia="zh-CN" w:bidi="ar"/>
                    </w:rPr>
                    <w:t>Type 3 (Atrophique)</w:t>
                  </w:r>
                </w:p>
              </w:tc>
              <w:tc>
                <w:tcPr>
                  <w:tcW w:w="4335" w:type="dxa"/>
                  <w:tcBorders>
                    <w:top w:val="single" w:color="auto" w:sz="8" w:space="0"/>
                    <w:left w:val="single" w:color="auto" w:sz="8" w:space="0"/>
                    <w:bottom w:val="single" w:color="auto" w:sz="8" w:space="0"/>
                    <w:right w:val="single" w:color="auto" w:sz="8" w:space="0"/>
                  </w:tcBorders>
                  <w:shd w:val="clear" w:color="auto" w:fill="auto"/>
                  <w:vAlign w:val="center"/>
                </w:tcPr>
                <w:p w14:paraId="78C2301A">
                  <w:pPr>
                    <w:keepNext w:val="0"/>
                    <w:keepLines w:val="0"/>
                    <w:widowControl/>
                    <w:suppressLineNumbers w:val="0"/>
                    <w:spacing w:before="0" w:beforeAutospacing="0" w:line="23" w:lineRule="atLeast"/>
                    <w:jc w:val="left"/>
                    <w:rPr>
                      <w:rFonts w:hint="default" w:ascii="sans-serif" w:hAnsi="sans-serif" w:eastAsia="sans-serif" w:cs="sans-serif"/>
                      <w:i w:val="0"/>
                      <w:iCs w:val="0"/>
                      <w:caps w:val="0"/>
                      <w:color w:val="000000"/>
                      <w:spacing w:val="0"/>
                      <w:u w:val="none"/>
                    </w:rPr>
                  </w:pPr>
                  <w:r>
                    <w:rPr>
                      <w:rFonts w:hint="default" w:ascii="sans-serif" w:hAnsi="sans-serif" w:eastAsia="sans-serif" w:cs="sans-serif"/>
                      <w:i w:val="0"/>
                      <w:iCs w:val="0"/>
                      <w:caps w:val="0"/>
                      <w:color w:val="000000"/>
                      <w:spacing w:val="0"/>
                      <w:kern w:val="0"/>
                      <w:sz w:val="24"/>
                      <w:szCs w:val="24"/>
                      <w:u w:val="none"/>
                      <w:lang w:val="en-US" w:eastAsia="zh-CN" w:bidi="ar"/>
                    </w:rPr>
                    <w:t>Type 2 + </w:t>
                  </w:r>
                  <w:r>
                    <w:rPr>
                      <w:rFonts w:hint="default" w:ascii="sans-serif" w:hAnsi="sans-serif" w:eastAsia="sans-serif" w:cs="sans-serif"/>
                      <w:b/>
                      <w:bCs/>
                      <w:i w:val="0"/>
                      <w:iCs w:val="0"/>
                      <w:caps w:val="0"/>
                      <w:color w:val="000000"/>
                      <w:spacing w:val="0"/>
                      <w:kern w:val="0"/>
                      <w:sz w:val="24"/>
                      <w:szCs w:val="24"/>
                      <w:u w:val="none"/>
                      <w:lang w:val="en-US" w:eastAsia="zh-CN" w:bidi="ar"/>
                    </w:rPr>
                    <w:t>Atrophie villositaire</w:t>
                  </w:r>
                  <w:r>
                    <w:rPr>
                      <w:rFonts w:hint="default" w:ascii="sans-serif" w:hAnsi="sans-serif" w:eastAsia="sans-serif" w:cs="sans-serif"/>
                      <w:i w:val="0"/>
                      <w:iCs w:val="0"/>
                      <w:caps w:val="0"/>
                      <w:color w:val="000000"/>
                      <w:spacing w:val="0"/>
                      <w:kern w:val="0"/>
                      <w:sz w:val="24"/>
                      <w:szCs w:val="24"/>
                      <w:u w:val="none"/>
                      <w:lang w:val="en-US" w:eastAsia="zh-CN" w:bidi="ar"/>
                    </w:rPr>
                    <w:t> (A: partielle, B: subtotale, C: totale).</w:t>
                  </w:r>
                </w:p>
              </w:tc>
            </w:tr>
          </w:tbl>
          <w:p w14:paraId="07C241BE">
            <w:pPr>
              <w:widowControl w:val="0"/>
              <w:jc w:val="both"/>
              <w:rPr>
                <w:sz w:val="24"/>
                <w:szCs w:val="24"/>
                <w:vertAlign w:val="baseline"/>
              </w:rPr>
            </w:pPr>
          </w:p>
        </w:tc>
      </w:tr>
      <w:tr w14:paraId="6C3CCC7C">
        <w:tc>
          <w:tcPr>
            <w:tcW w:w="427" w:type="dxa"/>
          </w:tcPr>
          <w:p w14:paraId="674075D1">
            <w:pPr>
              <w:widowControl w:val="0"/>
              <w:numPr>
                <w:ilvl w:val="0"/>
                <w:numId w:val="1"/>
              </w:numPr>
              <w:ind w:left="425" w:leftChars="0" w:hanging="425" w:firstLineChars="0"/>
              <w:jc w:val="both"/>
              <w:rPr>
                <w:vertAlign w:val="baseline"/>
              </w:rPr>
            </w:pPr>
          </w:p>
        </w:tc>
        <w:tc>
          <w:tcPr>
            <w:tcW w:w="607" w:type="dxa"/>
          </w:tcPr>
          <w:p w14:paraId="42E51F13">
            <w:pPr>
              <w:widowControl w:val="0"/>
              <w:jc w:val="both"/>
              <w:rPr>
                <w:rFonts w:hint="default"/>
                <w:vertAlign w:val="baseline"/>
                <w:lang w:val="en-US"/>
              </w:rPr>
            </w:pPr>
            <w:r>
              <w:rPr>
                <w:rFonts w:hint="default"/>
                <w:vertAlign w:val="baseline"/>
                <w:lang w:val="en-US"/>
              </w:rPr>
              <w:t>A</w:t>
            </w:r>
          </w:p>
        </w:tc>
        <w:tc>
          <w:tcPr>
            <w:tcW w:w="9106" w:type="dxa"/>
          </w:tcPr>
          <w:p w14:paraId="1A44E6ED">
            <w:pPr>
              <w:pStyle w:val="10"/>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L'hémobilie correspond à une communication anormale entre un vaisseau sanguin (artère hépatique ou veine porte) et les voies biliaires.</w:t>
            </w:r>
          </w:p>
          <w:p w14:paraId="31217818">
            <w:pPr>
              <w:pStyle w:val="10"/>
              <w:keepNext w:val="0"/>
              <w:keepLines w:val="0"/>
              <w:widowControl/>
              <w:suppressLineNumbers w:val="0"/>
              <w:ind w:left="0" w:firstLine="120" w:firstLineChars="50"/>
              <w:rPr>
                <w:i w:val="0"/>
                <w:iCs w:val="0"/>
                <w:caps w:val="0"/>
                <w:color w:val="000000"/>
                <w:spacing w:val="0"/>
                <w:u w:val="none"/>
              </w:rPr>
            </w:pPr>
            <w:r>
              <w:rPr>
                <w:rFonts w:hint="default"/>
                <w:i w:val="0"/>
                <w:iCs w:val="0"/>
                <w:caps w:val="0"/>
                <w:color w:val="000000"/>
                <w:spacing w:val="0"/>
                <w:u w:val="none"/>
                <w:lang w:val="en-US"/>
              </w:rPr>
              <w:t>-</w:t>
            </w:r>
            <w:r>
              <w:rPr>
                <w:b/>
                <w:bCs/>
                <w:i w:val="0"/>
                <w:iCs w:val="0"/>
                <w:caps w:val="0"/>
                <w:color w:val="000000"/>
                <w:spacing w:val="0"/>
                <w:u w:val="none"/>
              </w:rPr>
              <w:t>Le mécanisme :</w:t>
            </w:r>
            <w:r>
              <w:rPr>
                <w:i w:val="0"/>
                <w:iCs w:val="0"/>
                <w:caps w:val="0"/>
                <w:color w:val="000000"/>
                <w:spacing w:val="0"/>
                <w:u w:val="none"/>
              </w:rPr>
              <w:t> Après le traumatisme, un faux anévrisme artériel ou un hématome intra-hépatique se forme. Avec le temps (parfois plusieurs mois après, comme ici à 6 mois), l'érosion finit par créer un passage dans un canal biliaire.</w:t>
            </w:r>
          </w:p>
          <w:p w14:paraId="276386F7">
            <w:pPr>
              <w:pStyle w:val="10"/>
              <w:keepNext w:val="0"/>
              <w:keepLines w:val="0"/>
              <w:widowControl/>
              <w:suppressLineNumbers w:val="0"/>
              <w:ind w:left="0" w:firstLine="240" w:firstLineChars="100"/>
            </w:pPr>
            <w:r>
              <w:rPr>
                <w:rFonts w:hint="default"/>
                <w:i w:val="0"/>
                <w:iCs w:val="0"/>
                <w:caps w:val="0"/>
                <w:color w:val="000000"/>
                <w:spacing w:val="0"/>
                <w:u w:val="none"/>
                <w:lang w:val="en-US"/>
              </w:rPr>
              <w:t>-</w:t>
            </w:r>
            <w:r>
              <w:rPr>
                <w:b/>
                <w:bCs/>
                <w:i w:val="0"/>
                <w:iCs w:val="0"/>
                <w:caps w:val="0"/>
                <w:color w:val="000000"/>
                <w:spacing w:val="0"/>
                <w:u w:val="none"/>
              </w:rPr>
              <w:t>La Triade de Sandblom :</w:t>
            </w:r>
            <w:r>
              <w:rPr>
                <w:i w:val="0"/>
                <w:iCs w:val="0"/>
                <w:caps w:val="0"/>
                <w:color w:val="000000"/>
                <w:spacing w:val="0"/>
                <w:u w:val="none"/>
              </w:rPr>
              <w:t> C'est la présentation typique que vous avez décrite :</w:t>
            </w:r>
          </w:p>
          <w:p w14:paraId="17E4BC6D">
            <w:pPr>
              <w:pStyle w:val="10"/>
              <w:keepNext w:val="0"/>
              <w:keepLines w:val="0"/>
              <w:widowControl/>
              <w:numPr>
                <w:ilvl w:val="0"/>
                <w:numId w:val="5"/>
              </w:numPr>
              <w:suppressLineNumbers w:val="0"/>
              <w:ind w:left="420" w:leftChars="0" w:hanging="420" w:firstLineChars="0"/>
            </w:pPr>
            <w:r>
              <w:rPr>
                <w:b/>
                <w:bCs/>
                <w:i w:val="0"/>
                <w:iCs w:val="0"/>
                <w:caps w:val="0"/>
                <w:color w:val="000000"/>
                <w:spacing w:val="0"/>
                <w:u w:val="none"/>
              </w:rPr>
              <w:t>Douleur biliaire</w:t>
            </w:r>
            <w:r>
              <w:rPr>
                <w:i w:val="0"/>
                <w:iCs w:val="0"/>
                <w:caps w:val="0"/>
                <w:color w:val="000000"/>
                <w:spacing w:val="0"/>
                <w:u w:val="none"/>
              </w:rPr>
              <w:t> (colique hépatique due à la migration de caillots de sang dans le cholédoque).</w:t>
            </w:r>
          </w:p>
          <w:p w14:paraId="3B1053E9">
            <w:pPr>
              <w:pStyle w:val="10"/>
              <w:keepNext w:val="0"/>
              <w:keepLines w:val="0"/>
              <w:widowControl/>
              <w:numPr>
                <w:ilvl w:val="0"/>
                <w:numId w:val="5"/>
              </w:numPr>
              <w:suppressLineNumbers w:val="0"/>
              <w:ind w:left="420" w:leftChars="0" w:hanging="420" w:firstLineChars="0"/>
            </w:pPr>
            <w:r>
              <w:rPr>
                <w:b/>
                <w:bCs/>
                <w:i w:val="0"/>
                <w:iCs w:val="0"/>
                <w:caps w:val="0"/>
                <w:color w:val="000000"/>
                <w:spacing w:val="0"/>
                <w:u w:val="none"/>
              </w:rPr>
              <w:t>Ictère rétentionnel</w:t>
            </w:r>
            <w:r>
              <w:rPr>
                <w:i w:val="0"/>
                <w:iCs w:val="0"/>
                <w:caps w:val="0"/>
                <w:color w:val="000000"/>
                <w:spacing w:val="0"/>
                <w:u w:val="none"/>
              </w:rPr>
              <w:t> (obstruction des voies biliaires par ces mêmes caillots).</w:t>
            </w:r>
          </w:p>
          <w:p w14:paraId="47A5C4EE">
            <w:pPr>
              <w:pStyle w:val="10"/>
              <w:keepNext w:val="0"/>
              <w:keepLines w:val="0"/>
              <w:widowControl/>
              <w:numPr>
                <w:ilvl w:val="0"/>
                <w:numId w:val="5"/>
              </w:numPr>
              <w:suppressLineNumbers w:val="0"/>
              <w:ind w:left="420" w:leftChars="0" w:hanging="420" w:firstLineChars="0"/>
              <w:rPr>
                <w:b/>
                <w:bCs/>
                <w:i w:val="0"/>
                <w:iCs w:val="0"/>
                <w:caps w:val="0"/>
                <w:color w:val="000000"/>
                <w:spacing w:val="0"/>
                <w:u w:val="none"/>
              </w:rPr>
            </w:pPr>
            <w:r>
              <w:rPr>
                <w:b/>
                <w:bCs/>
                <w:i w:val="0"/>
                <w:iCs w:val="0"/>
                <w:caps w:val="0"/>
                <w:color w:val="000000"/>
                <w:spacing w:val="0"/>
                <w:u w:val="none"/>
              </w:rPr>
              <w:t>Hémorragie digestive</w:t>
            </w:r>
            <w:r>
              <w:rPr>
                <w:i w:val="0"/>
                <w:iCs w:val="0"/>
                <w:caps w:val="0"/>
                <w:color w:val="000000"/>
                <w:spacing w:val="0"/>
                <w:u w:val="none"/>
              </w:rPr>
              <w:t> (se manifestant par un </w:t>
            </w:r>
            <w:r>
              <w:rPr>
                <w:b/>
                <w:bCs/>
                <w:i w:val="0"/>
                <w:iCs w:val="0"/>
                <w:caps w:val="0"/>
                <w:color w:val="000000"/>
                <w:spacing w:val="0"/>
                <w:u w:val="none"/>
              </w:rPr>
              <w:t>méléna</w:t>
            </w:r>
            <w:r>
              <w:rPr>
                <w:i w:val="0"/>
                <w:iCs w:val="0"/>
                <w:caps w:val="0"/>
                <w:color w:val="000000"/>
                <w:spacing w:val="0"/>
                <w:u w:val="none"/>
              </w:rPr>
              <w:t> ou une hématémèse).</w:t>
            </w:r>
          </w:p>
          <w:p w14:paraId="5D5CAC8C">
            <w:pPr>
              <w:pStyle w:val="10"/>
              <w:keepNext w:val="0"/>
              <w:keepLines w:val="0"/>
              <w:widowControl/>
              <w:suppressLineNumbers w:val="0"/>
              <w:ind w:firstLine="721" w:firstLineChars="300"/>
              <w:rPr>
                <w:sz w:val="24"/>
                <w:szCs w:val="24"/>
                <w:vertAlign w:val="baseline"/>
              </w:rPr>
            </w:pPr>
            <w:r>
              <w:rPr>
                <w:rFonts w:hint="default"/>
                <w:b/>
                <w:bCs/>
                <w:i w:val="0"/>
                <w:iCs w:val="0"/>
                <w:caps w:val="0"/>
                <w:color w:val="000000"/>
                <w:spacing w:val="0"/>
                <w:u w:val="none"/>
                <w:lang w:val="en-US"/>
              </w:rPr>
              <w:t>-</w:t>
            </w:r>
            <w:r>
              <w:rPr>
                <w:b/>
                <w:bCs/>
                <w:i w:val="0"/>
                <w:iCs w:val="0"/>
                <w:caps w:val="0"/>
                <w:color w:val="000000"/>
                <w:spacing w:val="0"/>
                <w:u w:val="none"/>
              </w:rPr>
              <w:t>Le fébricule :</w:t>
            </w:r>
            <w:r>
              <w:rPr>
                <w:i w:val="0"/>
                <w:iCs w:val="0"/>
                <w:caps w:val="0"/>
                <w:color w:val="000000"/>
                <w:spacing w:val="0"/>
                <w:u w:val="none"/>
              </w:rPr>
              <w:t> Il peut s'expliquer par une angiocholite mineure associée à l'obstruction biliaire.</w:t>
            </w:r>
          </w:p>
        </w:tc>
      </w:tr>
      <w:tr w14:paraId="50F04384">
        <w:tc>
          <w:tcPr>
            <w:tcW w:w="427" w:type="dxa"/>
          </w:tcPr>
          <w:p w14:paraId="745BA340">
            <w:pPr>
              <w:widowControl w:val="0"/>
              <w:numPr>
                <w:ilvl w:val="0"/>
                <w:numId w:val="1"/>
              </w:numPr>
              <w:ind w:left="425" w:leftChars="0" w:hanging="425" w:firstLineChars="0"/>
              <w:jc w:val="both"/>
              <w:rPr>
                <w:vertAlign w:val="baseline"/>
              </w:rPr>
            </w:pPr>
          </w:p>
        </w:tc>
        <w:tc>
          <w:tcPr>
            <w:tcW w:w="607" w:type="dxa"/>
          </w:tcPr>
          <w:p w14:paraId="47FF8583">
            <w:pPr>
              <w:widowControl w:val="0"/>
              <w:jc w:val="both"/>
              <w:rPr>
                <w:rFonts w:hint="default"/>
                <w:vertAlign w:val="baseline"/>
                <w:lang w:val="en-US"/>
              </w:rPr>
            </w:pPr>
            <w:r>
              <w:rPr>
                <w:rFonts w:hint="default"/>
                <w:vertAlign w:val="baseline"/>
                <w:lang w:val="en-US"/>
              </w:rPr>
              <w:t>A</w:t>
            </w:r>
          </w:p>
        </w:tc>
        <w:tc>
          <w:tcPr>
            <w:tcW w:w="9106" w:type="dxa"/>
          </w:tcPr>
          <w:p w14:paraId="631B3D80">
            <w:pPr>
              <w:pStyle w:val="17"/>
              <w:widowControl w:val="0"/>
              <w:jc w:val="both"/>
              <w:rPr>
                <w:sz w:val="19"/>
                <w:szCs w:val="19"/>
              </w:rPr>
            </w:pPr>
            <w:r>
              <w:rPr>
                <w:sz w:val="19"/>
                <w:szCs w:val="19"/>
              </w:rPr>
              <w:t xml:space="preserve"> Le Kc de l’anus est situé dans le </w:t>
            </w:r>
            <w:r>
              <w:rPr>
                <w:color w:val="4F81BD" w:themeColor="accent1"/>
                <w:sz w:val="19"/>
                <w:szCs w:val="19"/>
                <w14:textFill>
                  <w14:solidFill>
                    <w14:schemeClr w14:val="accent1"/>
                  </w14:solidFill>
                </w14:textFill>
              </w:rPr>
              <w:t xml:space="preserve">canal anal </w:t>
            </w:r>
            <w:r>
              <w:rPr>
                <w:sz w:val="19"/>
                <w:szCs w:val="19"/>
              </w:rPr>
              <w:t xml:space="preserve">entre le rectum et la peau de la marge de l’anus (les tumeurs de la marge anale sont classées avec les tumeurs cutanées, elles représentent </w:t>
            </w:r>
            <w:r>
              <w:rPr>
                <w:color w:val="4F81BD" w:themeColor="accent1"/>
                <w:sz w:val="19"/>
                <w:szCs w:val="19"/>
                <w14:textFill>
                  <w14:solidFill>
                    <w14:schemeClr w14:val="accent1"/>
                  </w14:solidFill>
                </w14:textFill>
              </w:rPr>
              <w:t>15%</w:t>
            </w:r>
            <w:r>
              <w:rPr>
                <w:sz w:val="19"/>
                <w:szCs w:val="19"/>
              </w:rPr>
              <w:t xml:space="preserve"> des Kc de l’anus). </w:t>
            </w:r>
          </w:p>
          <w:p w14:paraId="04FB83F4">
            <w:pPr>
              <w:pStyle w:val="17"/>
              <w:widowControl w:val="0"/>
              <w:jc w:val="both"/>
              <w:rPr>
                <w:sz w:val="19"/>
                <w:szCs w:val="19"/>
              </w:rPr>
            </w:pPr>
            <w:r>
              <w:rPr>
                <w:sz w:val="19"/>
                <w:szCs w:val="19"/>
              </w:rPr>
              <w:t xml:space="preserve">- Il est </w:t>
            </w:r>
            <w:r>
              <w:rPr>
                <w:color w:val="4F81BD" w:themeColor="accent1"/>
                <w:sz w:val="19"/>
                <w:szCs w:val="19"/>
                <w14:textFill>
                  <w14:solidFill>
                    <w14:schemeClr w14:val="accent1"/>
                  </w14:solidFill>
                </w14:textFill>
              </w:rPr>
              <w:t>rare</w:t>
            </w:r>
            <w:r>
              <w:rPr>
                <w:sz w:val="19"/>
                <w:szCs w:val="19"/>
              </w:rPr>
              <w:t xml:space="preserve"> (2,5-3% des Kc digestifs). </w:t>
            </w:r>
          </w:p>
          <w:p w14:paraId="2C8753E3">
            <w:pPr>
              <w:pStyle w:val="17"/>
              <w:widowControl w:val="0"/>
              <w:jc w:val="both"/>
              <w:rPr>
                <w:sz w:val="19"/>
                <w:szCs w:val="19"/>
              </w:rPr>
            </w:pPr>
            <w:r>
              <w:rPr>
                <w:sz w:val="19"/>
                <w:szCs w:val="19"/>
              </w:rPr>
              <w:t xml:space="preserve">- </w:t>
            </w:r>
            <w:r>
              <w:rPr>
                <w:color w:val="4F81BD" w:themeColor="accent1"/>
                <w:sz w:val="19"/>
                <w:szCs w:val="19"/>
                <w14:textFill>
                  <w14:solidFill>
                    <w14:schemeClr w14:val="accent1"/>
                  </w14:solidFill>
                </w14:textFill>
              </w:rPr>
              <w:t>*</w:t>
            </w:r>
            <w:r>
              <w:rPr>
                <w:sz w:val="19"/>
                <w:szCs w:val="19"/>
              </w:rPr>
              <w:t xml:space="preserve">Prédominance </w:t>
            </w:r>
            <w:r>
              <w:rPr>
                <w:color w:val="4F81BD" w:themeColor="accent1"/>
                <w:sz w:val="19"/>
                <w:szCs w:val="19"/>
                <w14:textFill>
                  <w14:solidFill>
                    <w14:schemeClr w14:val="accent1"/>
                  </w14:solidFill>
                </w14:textFill>
              </w:rPr>
              <w:t>féminine</w:t>
            </w:r>
            <w:r>
              <w:rPr>
                <w:sz w:val="19"/>
                <w:szCs w:val="19"/>
              </w:rPr>
              <w:t xml:space="preserve">. </w:t>
            </w:r>
          </w:p>
          <w:p w14:paraId="3E17EB45">
            <w:pPr>
              <w:pStyle w:val="17"/>
              <w:widowControl w:val="0"/>
              <w:jc w:val="both"/>
              <w:rPr>
                <w:sz w:val="19"/>
                <w:szCs w:val="19"/>
              </w:rPr>
            </w:pPr>
            <w:r>
              <w:rPr>
                <w:sz w:val="19"/>
                <w:szCs w:val="19"/>
              </w:rPr>
              <w:t xml:space="preserve">- </w:t>
            </w:r>
            <w:r>
              <w:rPr>
                <w:color w:val="4F81BD" w:themeColor="accent1"/>
                <w:sz w:val="19"/>
                <w:szCs w:val="19"/>
                <w14:textFill>
                  <w14:solidFill>
                    <w14:schemeClr w14:val="accent1"/>
                  </w14:solidFill>
                </w14:textFill>
              </w:rPr>
              <w:t>*</w:t>
            </w:r>
            <w:r>
              <w:rPr>
                <w:sz w:val="19"/>
                <w:szCs w:val="19"/>
              </w:rPr>
              <w:t>il est plus fréquent chez le sujet âgé &gt; 60 ans</w:t>
            </w:r>
          </w:p>
          <w:p w14:paraId="3B83AD35">
            <w:pPr>
              <w:pStyle w:val="17"/>
              <w:widowControl w:val="0"/>
              <w:jc w:val="both"/>
              <w:rPr>
                <w:color w:val="FF0000"/>
                <w:sz w:val="19"/>
                <w:szCs w:val="19"/>
              </w:rPr>
            </w:pPr>
            <w:r>
              <w:rPr>
                <w:sz w:val="19"/>
                <w:szCs w:val="19"/>
              </w:rPr>
              <w:t xml:space="preserve">- FDR : </w:t>
            </w:r>
            <w:r>
              <w:rPr>
                <w:color w:val="4F81BD" w:themeColor="accent1"/>
                <w:sz w:val="19"/>
                <w:szCs w:val="19"/>
                <w14:textFill>
                  <w14:solidFill>
                    <w14:schemeClr w14:val="accent1"/>
                  </w14:solidFill>
                </w14:textFill>
              </w:rPr>
              <w:t xml:space="preserve">HPV16 </w:t>
            </w:r>
            <w:r>
              <w:rPr>
                <w:b/>
                <w:bCs/>
                <w:color w:val="4F81BD" w:themeColor="accent1"/>
                <w:sz w:val="19"/>
                <w:szCs w:val="19"/>
                <w14:textFill>
                  <w14:solidFill>
                    <w14:schemeClr w14:val="accent1"/>
                  </w14:solidFill>
                </w14:textFill>
              </w:rPr>
              <w:t>(*</w:t>
            </w:r>
            <w:r>
              <w:rPr>
                <w:color w:val="000000" w:themeColor="text1"/>
                <w:sz w:val="19"/>
                <w:szCs w:val="19"/>
                <w14:textFill>
                  <w14:solidFill>
                    <w14:schemeClr w14:val="tx1"/>
                  </w14:solidFill>
                </w14:textFill>
              </w:rPr>
              <w:t xml:space="preserve">HPV est le facteur étiologique le plus important </w:t>
            </w:r>
            <w:r>
              <w:rPr>
                <w:color w:val="4F81BD" w:themeColor="accent1"/>
                <w:sz w:val="19"/>
                <w:szCs w:val="19"/>
                <w14:textFill>
                  <w14:solidFill>
                    <w14:schemeClr w14:val="accent1"/>
                  </w14:solidFill>
                </w14:textFill>
              </w:rPr>
              <w:t>89 %</w:t>
            </w:r>
            <w:r>
              <w:rPr>
                <w:b/>
                <w:bCs/>
                <w:color w:val="4F81BD" w:themeColor="accent1"/>
                <w:sz w:val="19"/>
                <w:szCs w:val="19"/>
                <w14:textFill>
                  <w14:solidFill>
                    <w14:schemeClr w14:val="accent1"/>
                  </w14:solidFill>
                </w14:textFill>
              </w:rPr>
              <w:t>)</w:t>
            </w:r>
            <w:r>
              <w:rPr>
                <w:sz w:val="19"/>
                <w:szCs w:val="19"/>
              </w:rPr>
              <w:t xml:space="preserve">, ATCD du Kc du col, VIH, immunodépression, tabac, rapports </w:t>
            </w:r>
            <w:r>
              <w:rPr>
                <w:color w:val="4F81BD" w:themeColor="accent1"/>
                <w:sz w:val="19"/>
                <w:szCs w:val="19"/>
                <w14:textFill>
                  <w14:solidFill>
                    <w14:schemeClr w14:val="accent1"/>
                  </w14:solidFill>
                </w14:textFill>
              </w:rPr>
              <w:t>homosexuels</w:t>
            </w:r>
            <w:r>
              <w:rPr>
                <w:sz w:val="19"/>
                <w:szCs w:val="19"/>
              </w:rPr>
              <w:t xml:space="preserve">, âge avancé (65 ans) …  </w:t>
            </w:r>
            <w:r>
              <w:rPr>
                <w:color w:val="FF0000"/>
                <w:sz w:val="19"/>
                <w:szCs w:val="19"/>
              </w:rPr>
              <w:t>[</w:t>
            </w:r>
            <w:r>
              <w:rPr>
                <w:sz w:val="19"/>
                <w:szCs w:val="19"/>
              </w:rPr>
              <w:t>alcool</w:t>
            </w:r>
            <w:r>
              <w:rPr>
                <w:color w:val="FF0000"/>
                <w:sz w:val="19"/>
                <w:szCs w:val="19"/>
              </w:rPr>
              <w:t>/</w:t>
            </w:r>
            <w:r>
              <w:rPr>
                <w:sz w:val="19"/>
                <w:szCs w:val="19"/>
              </w:rPr>
              <w:t>Herpes virus</w:t>
            </w:r>
            <w:r>
              <w:rPr>
                <w:color w:val="FF0000"/>
                <w:sz w:val="19"/>
                <w:szCs w:val="19"/>
              </w:rPr>
              <w:t>]</w:t>
            </w:r>
          </w:p>
          <w:p w14:paraId="38F99AB3">
            <w:pPr>
              <w:pStyle w:val="17"/>
              <w:widowControl w:val="0"/>
              <w:jc w:val="both"/>
              <w:rPr>
                <w:sz w:val="19"/>
                <w:szCs w:val="19"/>
              </w:rPr>
            </w:pPr>
            <w:r>
              <w:rPr>
                <w:sz w:val="19"/>
                <w:szCs w:val="19"/>
                <w:shd w:val="clear" w:color="auto" w:fill="DBE5F1" w:themeFill="accent1" w:themeFillTint="33"/>
              </w:rPr>
              <w:t>- Trt :</w:t>
            </w:r>
            <w:r>
              <w:rPr>
                <w:sz w:val="19"/>
                <w:szCs w:val="19"/>
              </w:rPr>
              <w:t xml:space="preserve"> </w:t>
            </w:r>
          </w:p>
          <w:p w14:paraId="61A53CC9">
            <w:pPr>
              <w:pStyle w:val="17"/>
              <w:widowControl w:val="0"/>
              <w:jc w:val="both"/>
              <w:rPr>
                <w:sz w:val="19"/>
                <w:szCs w:val="19"/>
              </w:rPr>
            </w:pPr>
            <w:r>
              <w:rPr>
                <w:sz w:val="19"/>
                <w:szCs w:val="19"/>
              </w:rPr>
              <w:t>- Le cancer du CA présente un faible taux de rechutes métastatiques et le  contrôle local reste l’objectif principal de son  traitement.</w:t>
            </w:r>
          </w:p>
          <w:p w14:paraId="62D04215">
            <w:pPr>
              <w:pStyle w:val="17"/>
              <w:widowControl w:val="0"/>
              <w:jc w:val="both"/>
              <w:rPr>
                <w:sz w:val="19"/>
                <w:szCs w:val="19"/>
              </w:rPr>
            </w:pPr>
            <w:r>
              <w:rPr>
                <w:color w:val="4F81BD" w:themeColor="accent1"/>
                <w:sz w:val="19"/>
                <w:szCs w:val="19"/>
                <w14:textFill>
                  <w14:solidFill>
                    <w14:schemeClr w14:val="accent1"/>
                  </w14:solidFill>
                </w14:textFill>
              </w:rPr>
              <w:t>*</w:t>
            </w:r>
            <w:r>
              <w:rPr>
                <w:sz w:val="19"/>
                <w:szCs w:val="19"/>
              </w:rPr>
              <w:t xml:space="preserve">Le traitement du cancer du CA </w:t>
            </w:r>
            <w:r>
              <w:rPr>
                <w:color w:val="4F81BD" w:themeColor="accent1"/>
                <w:sz w:val="19"/>
                <w:szCs w:val="19"/>
                <w14:textFill>
                  <w14:solidFill>
                    <w14:schemeClr w14:val="accent1"/>
                  </w14:solidFill>
                </w14:textFill>
              </w:rPr>
              <w:t>repose essentiellement sur la radiothérapie (</w:t>
            </w:r>
            <w:r>
              <w:rPr>
                <w:color w:val="000000" w:themeColor="text1"/>
                <w:sz w:val="19"/>
                <w:szCs w:val="19"/>
                <w14:textFill>
                  <w14:solidFill>
                    <w14:schemeClr w14:val="tx1"/>
                  </w14:solidFill>
                </w14:textFill>
              </w:rPr>
              <w:t>il est radio-sensible</w:t>
            </w:r>
            <w:r>
              <w:rPr>
                <w:color w:val="4F81BD" w:themeColor="accent1"/>
                <w:sz w:val="19"/>
                <w:szCs w:val="19"/>
                <w14:textFill>
                  <w14:solidFill>
                    <w14:schemeClr w14:val="accent1"/>
                  </w14:solidFill>
                </w14:textFill>
              </w:rPr>
              <w:t xml:space="preserve">) qui peut être associée à une chimiothérapie </w:t>
            </w:r>
            <w:r>
              <w:rPr>
                <w:sz w:val="19"/>
                <w:szCs w:val="19"/>
              </w:rPr>
              <w:t>concomitante selon le degré dévolution local de la  tumeur.</w:t>
            </w:r>
          </w:p>
          <w:p w14:paraId="09D36814">
            <w:pPr>
              <w:pStyle w:val="17"/>
              <w:widowControl w:val="0"/>
              <w:jc w:val="both"/>
              <w:rPr>
                <w:sz w:val="19"/>
                <w:szCs w:val="19"/>
              </w:rPr>
            </w:pPr>
            <w:r>
              <w:rPr>
                <w:sz w:val="19"/>
                <w:szCs w:val="19"/>
              </w:rPr>
              <w:t>- La chirurgie doit être discutée essentiellement devant les formes étendues pour la prise en charge de la tumeur primitive</w:t>
            </w:r>
          </w:p>
          <w:p w14:paraId="0D513A3D">
            <w:pPr>
              <w:pStyle w:val="17"/>
              <w:widowControl w:val="0"/>
              <w:numPr>
                <w:ilvl w:val="0"/>
                <w:numId w:val="6"/>
              </w:numPr>
              <w:jc w:val="both"/>
              <w:rPr>
                <w:sz w:val="19"/>
                <w:szCs w:val="19"/>
              </w:rPr>
            </w:pPr>
            <w:r>
              <w:rPr>
                <w:sz w:val="19"/>
                <w:szCs w:val="19"/>
              </w:rPr>
              <w:t xml:space="preserve">Stade Tis -&gt; exérèse chirurgicale simple par tumorectomie. </w:t>
            </w:r>
          </w:p>
          <w:p w14:paraId="144423DD">
            <w:pPr>
              <w:pStyle w:val="17"/>
              <w:widowControl w:val="0"/>
              <w:numPr>
                <w:ilvl w:val="0"/>
                <w:numId w:val="6"/>
              </w:numPr>
              <w:jc w:val="both"/>
              <w:rPr>
                <w:sz w:val="19"/>
                <w:szCs w:val="19"/>
              </w:rPr>
            </w:pPr>
            <w:r>
              <w:rPr>
                <w:color w:val="4F81BD" w:themeColor="accent1"/>
                <w:sz w:val="19"/>
                <w:szCs w:val="19"/>
                <w14:textFill>
                  <w14:solidFill>
                    <w14:schemeClr w14:val="accent1"/>
                  </w14:solidFill>
                </w14:textFill>
              </w:rPr>
              <w:t>*</w:t>
            </w:r>
            <w:r>
              <w:rPr>
                <w:sz w:val="19"/>
                <w:szCs w:val="19"/>
              </w:rPr>
              <w:t xml:space="preserve">Stade T1/N0 -&gt; RT exclusive. </w:t>
            </w:r>
          </w:p>
          <w:p w14:paraId="4A6329B6">
            <w:pPr>
              <w:pStyle w:val="17"/>
              <w:widowControl w:val="0"/>
              <w:numPr>
                <w:ilvl w:val="0"/>
                <w:numId w:val="6"/>
              </w:numPr>
              <w:jc w:val="both"/>
              <w:rPr>
                <w:sz w:val="19"/>
                <w:szCs w:val="19"/>
              </w:rPr>
            </w:pPr>
            <w:r>
              <w:rPr>
                <w:sz w:val="19"/>
                <w:szCs w:val="19"/>
              </w:rPr>
              <w:t xml:space="preserve">Stade T2-T4/N0-N1 -&gt; RCT exclusive. </w:t>
            </w:r>
          </w:p>
          <w:p w14:paraId="3F8C337D">
            <w:pPr>
              <w:pStyle w:val="17"/>
              <w:widowControl w:val="0"/>
              <w:numPr>
                <w:ilvl w:val="0"/>
                <w:numId w:val="6"/>
              </w:numPr>
              <w:jc w:val="both"/>
              <w:rPr>
                <w:sz w:val="19"/>
                <w:szCs w:val="19"/>
              </w:rPr>
            </w:pPr>
            <w:r>
              <w:rPr>
                <w:color w:val="4F81BD" w:themeColor="accent1"/>
                <w:sz w:val="19"/>
                <w:szCs w:val="19"/>
                <w14:textFill>
                  <w14:solidFill>
                    <w14:schemeClr w14:val="accent1"/>
                  </w14:solidFill>
                </w14:textFill>
              </w:rPr>
              <w:t>*</w:t>
            </w:r>
            <w:r>
              <w:rPr>
                <w:sz w:val="19"/>
                <w:szCs w:val="19"/>
              </w:rPr>
              <w:t xml:space="preserve">Récidive tumorale ou absence de réponse / </w:t>
            </w:r>
            <w:r>
              <w:rPr>
                <w:color w:val="4F81BD" w:themeColor="accent1"/>
                <w:sz w:val="19"/>
                <w:szCs w:val="19"/>
                <w14:textFill>
                  <w14:solidFill>
                    <w14:schemeClr w14:val="accent1"/>
                  </w14:solidFill>
                </w14:textFill>
              </w:rPr>
              <w:t>échec du trt conservateur</w:t>
            </w:r>
            <w:r>
              <w:rPr>
                <w:sz w:val="19"/>
                <w:szCs w:val="19"/>
              </w:rPr>
              <w:t xml:space="preserve">-&gt; chirurgie radicale </w:t>
            </w:r>
            <w:r>
              <w:rPr>
                <w:color w:val="4F81BD" w:themeColor="accent1"/>
                <w:sz w:val="19"/>
                <w:szCs w:val="19"/>
                <w14:textFill>
                  <w14:solidFill>
                    <w14:schemeClr w14:val="accent1"/>
                  </w14:solidFill>
                </w14:textFill>
              </w:rPr>
              <w:t>(</w:t>
            </w:r>
            <w:r>
              <w:rPr>
                <w:sz w:val="19"/>
                <w:szCs w:val="19"/>
              </w:rPr>
              <w:t>amputation abdomino-pelvienne</w:t>
            </w:r>
            <w:r>
              <w:rPr>
                <w:color w:val="4F81BD" w:themeColor="accent1"/>
                <w:sz w:val="19"/>
                <w:szCs w:val="19"/>
                <w14:textFill>
                  <w14:solidFill>
                    <w14:schemeClr w14:val="accent1"/>
                  </w14:solidFill>
                </w14:textFill>
              </w:rPr>
              <w:t>)</w:t>
            </w:r>
            <w:r>
              <w:rPr>
                <w:sz w:val="19"/>
                <w:szCs w:val="19"/>
              </w:rPr>
              <w:t xml:space="preserve">. </w:t>
            </w:r>
          </w:p>
          <w:p w14:paraId="0CAD6D64">
            <w:pPr>
              <w:pStyle w:val="17"/>
              <w:widowControl w:val="0"/>
              <w:numPr>
                <w:ilvl w:val="0"/>
                <w:numId w:val="6"/>
              </w:numPr>
              <w:jc w:val="both"/>
              <w:rPr>
                <w:sz w:val="19"/>
                <w:szCs w:val="19"/>
              </w:rPr>
            </w:pPr>
            <w:r>
              <w:rPr>
                <w:sz w:val="19"/>
                <w:szCs w:val="19"/>
              </w:rPr>
              <w:t xml:space="preserve">Tumeur métastatique -&gt; CT exclusive. </w:t>
            </w:r>
          </w:p>
          <w:p w14:paraId="262E68E3">
            <w:pPr>
              <w:pStyle w:val="17"/>
              <w:widowControl w:val="0"/>
              <w:jc w:val="both"/>
              <w:rPr>
                <w:color w:val="FF0000"/>
                <w:sz w:val="19"/>
                <w:szCs w:val="19"/>
              </w:rPr>
            </w:pPr>
          </w:p>
        </w:tc>
      </w:tr>
      <w:tr w14:paraId="0B94F39E">
        <w:tc>
          <w:tcPr>
            <w:tcW w:w="427" w:type="dxa"/>
          </w:tcPr>
          <w:p w14:paraId="5424E438">
            <w:pPr>
              <w:widowControl w:val="0"/>
              <w:numPr>
                <w:ilvl w:val="0"/>
                <w:numId w:val="1"/>
              </w:numPr>
              <w:ind w:left="425" w:leftChars="0" w:hanging="425" w:firstLineChars="0"/>
              <w:jc w:val="both"/>
              <w:rPr>
                <w:vertAlign w:val="baseline"/>
              </w:rPr>
            </w:pPr>
          </w:p>
        </w:tc>
        <w:tc>
          <w:tcPr>
            <w:tcW w:w="607" w:type="dxa"/>
          </w:tcPr>
          <w:p w14:paraId="41780955">
            <w:pPr>
              <w:widowControl w:val="0"/>
              <w:jc w:val="both"/>
              <w:rPr>
                <w:rFonts w:hint="default"/>
                <w:vertAlign w:val="baseline"/>
                <w:lang w:val="en-US"/>
              </w:rPr>
            </w:pPr>
            <w:r>
              <w:rPr>
                <w:rFonts w:hint="default"/>
                <w:vertAlign w:val="baseline"/>
                <w:lang w:val="en-US"/>
              </w:rPr>
              <w:t>D</w:t>
            </w:r>
          </w:p>
        </w:tc>
        <w:tc>
          <w:tcPr>
            <w:tcW w:w="9106" w:type="dxa"/>
          </w:tcPr>
          <w:p w14:paraId="5BD80B27">
            <w:pPr>
              <w:pStyle w:val="10"/>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rPr>
                <w:b/>
                <w:bCs/>
                <w:i w:val="0"/>
                <w:iCs w:val="0"/>
                <w:caps w:val="0"/>
                <w:color w:val="000000"/>
                <w:spacing w:val="0"/>
                <w:u w:val="none"/>
              </w:rPr>
              <w:t xml:space="preserve">A - Pneumaturie : </w:t>
            </w:r>
            <w:r>
              <w:rPr>
                <w:i w:val="0"/>
                <w:iCs w:val="0"/>
                <w:caps w:val="0"/>
                <w:color w:val="000000"/>
                <w:spacing w:val="0"/>
                <w:u w:val="none"/>
              </w:rPr>
              <w:t>C'est un signe classique de </w:t>
            </w:r>
            <w:r>
              <w:rPr>
                <w:b/>
                <w:bCs/>
                <w:i w:val="0"/>
                <w:iCs w:val="0"/>
                <w:caps w:val="0"/>
                <w:color w:val="000000"/>
                <w:spacing w:val="0"/>
                <w:u w:val="none"/>
              </w:rPr>
              <w:t>fistule colo-vésicale</w:t>
            </w:r>
            <w:r>
              <w:rPr>
                <w:i w:val="0"/>
                <w:iCs w:val="0"/>
                <w:caps w:val="0"/>
                <w:color w:val="000000"/>
                <w:spacing w:val="0"/>
                <w:u w:val="none"/>
              </w:rPr>
              <w:t> (une communication anormale entre le colon et la vessie). L'air provenant du colon s'échappe par l'urètre lors de la miction.</w:t>
            </w:r>
          </w:p>
          <w:p w14:paraId="5146FE61">
            <w:pPr>
              <w:pStyle w:val="10"/>
              <w:keepNext w:val="0"/>
              <w:keepLines w:val="0"/>
              <w:widowControl/>
              <w:suppressLineNumbers w:val="0"/>
            </w:pPr>
            <w:r>
              <w:rPr>
                <w:b/>
                <w:bCs/>
                <w:i w:val="0"/>
                <w:iCs w:val="0"/>
                <w:caps w:val="0"/>
                <w:color w:val="000000"/>
                <w:spacing w:val="0"/>
                <w:u w:val="none"/>
              </w:rPr>
              <w:t xml:space="preserve"> - Occlusion intestinale aiguë : </w:t>
            </w:r>
            <w:r>
              <w:rPr>
                <w:i w:val="0"/>
                <w:iCs w:val="0"/>
                <w:caps w:val="0"/>
                <w:color w:val="000000"/>
                <w:spacing w:val="0"/>
                <w:u w:val="none"/>
              </w:rPr>
              <w:t>Elle peut être due à l'inflammation péri-diverticulaire qui "colle" les anses intestinales ou, à long terme, à une </w:t>
            </w:r>
            <w:r>
              <w:rPr>
                <w:b/>
                <w:bCs/>
                <w:i w:val="0"/>
                <w:iCs w:val="0"/>
                <w:caps w:val="0"/>
                <w:color w:val="000000"/>
                <w:spacing w:val="0"/>
                <w:u w:val="none"/>
              </w:rPr>
              <w:t>sténose cicatricielle</w:t>
            </w:r>
            <w:r>
              <w:rPr>
                <w:i w:val="0"/>
                <w:iCs w:val="0"/>
                <w:caps w:val="0"/>
                <w:color w:val="000000"/>
                <w:spacing w:val="0"/>
                <w:u w:val="none"/>
              </w:rPr>
              <w:t> (rétrécissement du conduit) après plusieurs poussées.</w:t>
            </w:r>
          </w:p>
          <w:p w14:paraId="693D36B8">
            <w:pPr>
              <w:pStyle w:val="10"/>
              <w:keepNext w:val="0"/>
              <w:keepLines w:val="0"/>
              <w:widowControl/>
              <w:suppressLineNumbers w:val="0"/>
            </w:pPr>
            <w:r>
              <w:rPr>
                <w:b/>
                <w:bCs/>
                <w:i w:val="0"/>
                <w:iCs w:val="0"/>
                <w:caps w:val="0"/>
                <w:color w:val="000000"/>
                <w:spacing w:val="0"/>
                <w:u w:val="none"/>
              </w:rPr>
              <w:t xml:space="preserve"> - Rectorragies : </w:t>
            </w:r>
            <w:r>
              <w:rPr>
                <w:i w:val="0"/>
                <w:iCs w:val="0"/>
                <w:caps w:val="0"/>
                <w:color w:val="000000"/>
                <w:spacing w:val="0"/>
                <w:u w:val="none"/>
              </w:rPr>
              <w:t> L'hémorragie diverticulaire est une complication fréquente. Elle survient souvent de manière brutale, parfois indépendamment d'une poussée inflammatoire, par érosion d'une artériole au fond du diverticule.</w:t>
            </w:r>
          </w:p>
          <w:p w14:paraId="3EE32D42">
            <w:pPr>
              <w:pStyle w:val="10"/>
              <w:keepNext w:val="0"/>
              <w:keepLines w:val="0"/>
              <w:widowControl/>
              <w:suppressLineNumbers w:val="0"/>
              <w:rPr>
                <w:sz w:val="24"/>
                <w:szCs w:val="24"/>
                <w:vertAlign w:val="baseline"/>
              </w:rPr>
            </w:pPr>
            <w:r>
              <w:rPr>
                <w:b/>
                <w:bCs/>
                <w:i w:val="0"/>
                <w:iCs w:val="0"/>
                <w:caps w:val="0"/>
                <w:color w:val="000000"/>
                <w:spacing w:val="0"/>
                <w:u w:val="none"/>
              </w:rPr>
              <w:t xml:space="preserve"> - Syndrome infectieux sévère : </w:t>
            </w:r>
            <w:r>
              <w:rPr>
                <w:i w:val="0"/>
                <w:iCs w:val="0"/>
                <w:caps w:val="0"/>
                <w:color w:val="000000"/>
                <w:spacing w:val="0"/>
                <w:u w:val="none"/>
              </w:rPr>
              <w:t> En cas de perforation diverticulaire, on peut observer une </w:t>
            </w:r>
            <w:r>
              <w:rPr>
                <w:b/>
                <w:bCs/>
                <w:i w:val="0"/>
                <w:iCs w:val="0"/>
                <w:caps w:val="0"/>
                <w:color w:val="000000"/>
                <w:spacing w:val="0"/>
                <w:u w:val="none"/>
              </w:rPr>
              <w:t>péritonite</w:t>
            </w:r>
            <w:r>
              <w:rPr>
                <w:i w:val="0"/>
                <w:iCs w:val="0"/>
                <w:caps w:val="0"/>
                <w:color w:val="000000"/>
                <w:spacing w:val="0"/>
                <w:u w:val="none"/>
              </w:rPr>
              <w:t> ou un </w:t>
            </w:r>
            <w:r>
              <w:rPr>
                <w:b/>
                <w:bCs/>
                <w:i w:val="0"/>
                <w:iCs w:val="0"/>
                <w:caps w:val="0"/>
                <w:color w:val="000000"/>
                <w:spacing w:val="0"/>
                <w:u w:val="none"/>
              </w:rPr>
              <w:t>abcès</w:t>
            </w:r>
            <w:r>
              <w:rPr>
                <w:i w:val="0"/>
                <w:iCs w:val="0"/>
                <w:caps w:val="0"/>
                <w:color w:val="000000"/>
                <w:spacing w:val="0"/>
                <w:u w:val="none"/>
              </w:rPr>
              <w:t> collecté, entraînant de la fièvre, des frissons et un choc septique.</w:t>
            </w:r>
          </w:p>
        </w:tc>
      </w:tr>
      <w:tr w14:paraId="00A21DE6">
        <w:tc>
          <w:tcPr>
            <w:tcW w:w="427" w:type="dxa"/>
          </w:tcPr>
          <w:p w14:paraId="74ACCB8B">
            <w:pPr>
              <w:widowControl w:val="0"/>
              <w:numPr>
                <w:ilvl w:val="0"/>
                <w:numId w:val="1"/>
              </w:numPr>
              <w:ind w:left="425" w:leftChars="0" w:hanging="425" w:firstLineChars="0"/>
              <w:jc w:val="both"/>
              <w:rPr>
                <w:vertAlign w:val="baseline"/>
              </w:rPr>
            </w:pPr>
          </w:p>
        </w:tc>
        <w:tc>
          <w:tcPr>
            <w:tcW w:w="607" w:type="dxa"/>
          </w:tcPr>
          <w:p w14:paraId="010B97B9">
            <w:pPr>
              <w:widowControl w:val="0"/>
              <w:jc w:val="both"/>
              <w:rPr>
                <w:rFonts w:hint="default"/>
                <w:vertAlign w:val="baseline"/>
                <w:lang w:val="en-US"/>
              </w:rPr>
            </w:pPr>
            <w:r>
              <w:rPr>
                <w:rFonts w:hint="default"/>
                <w:vertAlign w:val="baseline"/>
                <w:lang w:val="en-US"/>
              </w:rPr>
              <w:t>C</w:t>
            </w:r>
          </w:p>
        </w:tc>
        <w:tc>
          <w:tcPr>
            <w:tcW w:w="9106" w:type="dxa"/>
          </w:tcPr>
          <w:p w14:paraId="5B567673">
            <w:pPr>
              <w:pStyle w:val="10"/>
              <w:keepNext w:val="0"/>
              <w:keepLines w:val="0"/>
              <w:widowControl/>
              <w:suppressLineNumbers w:val="0"/>
            </w:pPr>
            <w:r>
              <w:rPr>
                <w:rFonts w:hint="default"/>
                <w:i w:val="0"/>
                <w:iCs w:val="0"/>
                <w:caps w:val="0"/>
                <w:color w:val="000000"/>
                <w:spacing w:val="0"/>
                <w:u w:val="none"/>
                <w:lang w:val="en-US"/>
              </w:rPr>
              <w:t>-</w:t>
            </w:r>
            <w:r>
              <w:rPr>
                <w:i w:val="0"/>
                <w:iCs w:val="0"/>
                <w:caps w:val="0"/>
                <w:color w:val="000000"/>
                <w:spacing w:val="0"/>
                <w:u w:val="none"/>
              </w:rPr>
              <w:t>En pratique clinique, on élimine souvent d'autres pathologies (maladie de Crohn, maladie cœliaque) avant de confirmer un SII. Cependant, les critères de Rome IV permettent aujourd'hui un diagnostic "positif" basé sur des symptômes spécifiques.</w:t>
            </w:r>
          </w:p>
          <w:p w14:paraId="16A80DAC">
            <w:pPr>
              <w:pStyle w:val="10"/>
              <w:keepNext w:val="0"/>
              <w:keepLines w:val="0"/>
              <w:widowControl/>
              <w:suppressLineNumbers w:val="0"/>
              <w:rPr>
                <w:sz w:val="24"/>
                <w:szCs w:val="24"/>
                <w:vertAlign w:val="baseline"/>
              </w:rPr>
            </w:pPr>
            <w:r>
              <w:rPr>
                <w:rFonts w:hint="default"/>
                <w:b/>
                <w:bCs/>
                <w:i w:val="0"/>
                <w:iCs w:val="0"/>
                <w:caps w:val="0"/>
                <w:color w:val="000000"/>
                <w:spacing w:val="0"/>
                <w:u w:val="none"/>
                <w:lang w:val="en-US"/>
              </w:rPr>
              <w:t>-</w:t>
            </w:r>
            <w:r>
              <w:rPr>
                <w:i w:val="0"/>
                <w:iCs w:val="0"/>
                <w:caps w:val="0"/>
                <w:color w:val="000000"/>
                <w:spacing w:val="0"/>
                <w:u w:val="none"/>
              </w:rPr>
              <w:t> La coloscopie n'est pas systématique. Elle est normale dans le cas d'un SII (puisque c'est un trouble </w:t>
            </w:r>
            <w:r>
              <w:rPr>
                <w:i/>
                <w:iCs/>
                <w:caps w:val="0"/>
                <w:color w:val="000000"/>
                <w:spacing w:val="0"/>
                <w:u w:val="none"/>
              </w:rPr>
              <w:t>fonctionnel</w:t>
            </w:r>
            <w:r>
              <w:rPr>
                <w:i w:val="0"/>
                <w:iCs w:val="0"/>
                <w:caps w:val="0"/>
                <w:color w:val="000000"/>
                <w:spacing w:val="0"/>
                <w:u w:val="none"/>
              </w:rPr>
              <w:t> et non </w:t>
            </w:r>
            <w:r>
              <w:rPr>
                <w:i/>
                <w:iCs/>
                <w:caps w:val="0"/>
                <w:color w:val="000000"/>
                <w:spacing w:val="0"/>
                <w:u w:val="none"/>
              </w:rPr>
              <w:t>organique</w:t>
            </w:r>
            <w:r>
              <w:rPr>
                <w:i w:val="0"/>
                <w:iCs w:val="0"/>
                <w:caps w:val="0"/>
                <w:color w:val="000000"/>
                <w:spacing w:val="0"/>
                <w:u w:val="none"/>
              </w:rPr>
              <w:t>). Elle n'est demandée qu'en cas de "signes d'alerte" (perte de poids, sang dans les selles, âge &gt; 50 ans).</w:t>
            </w:r>
          </w:p>
        </w:tc>
      </w:tr>
      <w:tr w14:paraId="6859783A">
        <w:tc>
          <w:tcPr>
            <w:tcW w:w="427" w:type="dxa"/>
          </w:tcPr>
          <w:p w14:paraId="3103063E">
            <w:pPr>
              <w:widowControl w:val="0"/>
              <w:numPr>
                <w:ilvl w:val="0"/>
                <w:numId w:val="1"/>
              </w:numPr>
              <w:ind w:left="425" w:leftChars="0" w:hanging="425" w:firstLineChars="0"/>
              <w:jc w:val="both"/>
              <w:rPr>
                <w:vertAlign w:val="baseline"/>
              </w:rPr>
            </w:pPr>
          </w:p>
        </w:tc>
        <w:tc>
          <w:tcPr>
            <w:tcW w:w="607" w:type="dxa"/>
          </w:tcPr>
          <w:p w14:paraId="64E137F0">
            <w:pPr>
              <w:widowControl w:val="0"/>
              <w:jc w:val="both"/>
              <w:rPr>
                <w:rFonts w:hint="default"/>
                <w:vertAlign w:val="baseline"/>
                <w:lang w:val="en-US"/>
              </w:rPr>
            </w:pPr>
            <w:r>
              <w:rPr>
                <w:rFonts w:hint="default"/>
                <w:vertAlign w:val="baseline"/>
                <w:lang w:val="en-US"/>
              </w:rPr>
              <w:t>B</w:t>
            </w:r>
          </w:p>
        </w:tc>
        <w:tc>
          <w:tcPr>
            <w:tcW w:w="9106" w:type="dxa"/>
          </w:tcPr>
          <w:p w14:paraId="1E5FFCE0">
            <w:pPr>
              <w:widowControl w:val="0"/>
              <w:jc w:val="both"/>
              <w:rPr>
                <w:sz w:val="24"/>
                <w:szCs w:val="24"/>
                <w:vertAlign w:val="baseline"/>
              </w:rPr>
            </w:pPr>
            <w:r>
              <w:rPr>
                <w:sz w:val="24"/>
                <w:szCs w:val="24"/>
                <w:vertAlign w:val="baseline"/>
              </w:rPr>
              <w:t>L’étranglement est </w:t>
            </w:r>
            <w:r>
              <w:rPr>
                <w:b/>
                <w:bCs/>
                <w:sz w:val="24"/>
                <w:szCs w:val="24"/>
                <w:vertAlign w:val="baseline"/>
              </w:rPr>
              <w:t>plus fréquent dans la hernie crurale (fémorale) que dans l’inguinale,</w:t>
            </w:r>
            <w:r>
              <w:rPr>
                <w:sz w:val="24"/>
                <w:szCs w:val="24"/>
                <w:vertAlign w:val="baseline"/>
              </w:rPr>
              <w:t xml:space="preserve"> car l’orifice est plus étroit et rigide.</w:t>
            </w:r>
          </w:p>
          <w:p w14:paraId="1E27B046">
            <w:pPr>
              <w:widowControl w:val="0"/>
              <w:jc w:val="both"/>
              <w:rPr>
                <w:sz w:val="24"/>
                <w:szCs w:val="24"/>
                <w:vertAlign w:val="baseline"/>
              </w:rPr>
            </w:pPr>
          </w:p>
          <w:p w14:paraId="72BF62D3">
            <w:pPr>
              <w:widowControl w:val="0"/>
              <w:jc w:val="both"/>
              <w:rPr>
                <w:rFonts w:hint="default"/>
                <w:sz w:val="24"/>
                <w:szCs w:val="24"/>
                <w:vertAlign w:val="baseline"/>
              </w:rPr>
            </w:pPr>
            <w:r>
              <w:rPr>
                <w:rFonts w:hint="default"/>
                <w:sz w:val="24"/>
                <w:szCs w:val="24"/>
                <w:vertAlign w:val="baseline"/>
              </w:rPr>
              <w:t xml:space="preserve">- </w:t>
            </w:r>
            <w:r>
              <w:rPr>
                <w:rFonts w:hint="default"/>
                <w:b/>
                <w:bCs/>
                <w:sz w:val="24"/>
                <w:szCs w:val="24"/>
                <w:vertAlign w:val="baseline"/>
              </w:rPr>
              <w:t>Hernies inguinales : Il existe 3 types :</w:t>
            </w:r>
          </w:p>
          <w:p w14:paraId="50D3CA79">
            <w:pPr>
              <w:widowControl w:val="0"/>
              <w:jc w:val="both"/>
              <w:rPr>
                <w:rFonts w:hint="default"/>
                <w:sz w:val="24"/>
                <w:szCs w:val="24"/>
                <w:vertAlign w:val="baseline"/>
              </w:rPr>
            </w:pPr>
            <w:r>
              <w:rPr>
                <w:rFonts w:hint="default"/>
                <w:sz w:val="24"/>
                <w:szCs w:val="24"/>
                <w:vertAlign w:val="baseline"/>
              </w:rPr>
              <w:t xml:space="preserve">o </w:t>
            </w:r>
            <w:r>
              <w:rPr>
                <w:rFonts w:hint="default"/>
                <w:b/>
                <w:bCs/>
                <w:sz w:val="24"/>
                <w:szCs w:val="24"/>
                <w:vertAlign w:val="baseline"/>
              </w:rPr>
              <w:t>Hernie inguinale directe</w:t>
            </w:r>
            <w:r>
              <w:rPr>
                <w:rFonts w:hint="default"/>
                <w:sz w:val="24"/>
                <w:szCs w:val="24"/>
                <w:vertAlign w:val="baseline"/>
              </w:rPr>
              <w:t xml:space="preserve"> ; passe directement au travers des muscles par la zone de faiblesse du fascia transversalis en</w:t>
            </w:r>
          </w:p>
          <w:p w14:paraId="525BBDE9">
            <w:pPr>
              <w:widowControl w:val="0"/>
              <w:jc w:val="both"/>
              <w:rPr>
                <w:rFonts w:hint="default"/>
                <w:sz w:val="24"/>
                <w:szCs w:val="24"/>
                <w:vertAlign w:val="baseline"/>
              </w:rPr>
            </w:pPr>
            <w:r>
              <w:rPr>
                <w:rFonts w:hint="default"/>
                <w:sz w:val="24"/>
                <w:szCs w:val="24"/>
                <w:vertAlign w:val="baseline"/>
              </w:rPr>
              <w:t>dedans des vaisseaux épigastriques inf. C’est toujours une hernie acquise.</w:t>
            </w:r>
          </w:p>
          <w:p w14:paraId="659B84F3">
            <w:pPr>
              <w:widowControl w:val="0"/>
              <w:jc w:val="both"/>
              <w:rPr>
                <w:rFonts w:hint="default"/>
                <w:sz w:val="24"/>
                <w:szCs w:val="24"/>
                <w:vertAlign w:val="baseline"/>
              </w:rPr>
            </w:pPr>
            <w:r>
              <w:rPr>
                <w:rFonts w:hint="default"/>
                <w:sz w:val="24"/>
                <w:szCs w:val="24"/>
                <w:vertAlign w:val="baseline"/>
              </w:rPr>
              <w:t xml:space="preserve">o </w:t>
            </w:r>
            <w:r>
              <w:rPr>
                <w:rFonts w:hint="default"/>
                <w:b/>
                <w:bCs/>
                <w:sz w:val="24"/>
                <w:szCs w:val="24"/>
                <w:vertAlign w:val="baseline"/>
              </w:rPr>
              <w:t>Hernie inguinale indirecte</w:t>
            </w:r>
            <w:r>
              <w:rPr>
                <w:rFonts w:hint="default"/>
                <w:sz w:val="24"/>
                <w:szCs w:val="24"/>
                <w:vertAlign w:val="baseline"/>
              </w:rPr>
              <w:t xml:space="preserve"> (oblique externe) ; passe par l’orifice inguinal profond en dehors des vaisseaux épigastriques</w:t>
            </w:r>
          </w:p>
          <w:p w14:paraId="01D70B15">
            <w:pPr>
              <w:widowControl w:val="0"/>
              <w:jc w:val="both"/>
              <w:rPr>
                <w:rFonts w:hint="default"/>
                <w:sz w:val="24"/>
                <w:szCs w:val="24"/>
                <w:vertAlign w:val="baseline"/>
              </w:rPr>
            </w:pPr>
            <w:r>
              <w:rPr>
                <w:rFonts w:hint="default"/>
                <w:sz w:val="24"/>
                <w:szCs w:val="24"/>
                <w:vertAlign w:val="baseline"/>
              </w:rPr>
              <w:t>inf (peut descendre dans la grande lèvre chez la femme). Elle est acquise chez l’adulte, mais peut être congénitale chez</w:t>
            </w:r>
          </w:p>
          <w:p w14:paraId="4F6A6FB7">
            <w:pPr>
              <w:widowControl w:val="0"/>
              <w:jc w:val="both"/>
              <w:rPr>
                <w:rFonts w:hint="default"/>
                <w:sz w:val="24"/>
                <w:szCs w:val="24"/>
                <w:vertAlign w:val="baseline"/>
              </w:rPr>
            </w:pPr>
            <w:r>
              <w:rPr>
                <w:rFonts w:hint="default"/>
                <w:sz w:val="24"/>
                <w:szCs w:val="24"/>
                <w:vertAlign w:val="baseline"/>
              </w:rPr>
              <w:t>l’enfant. Elle est favorisée par l’hyperpression abdominale</w:t>
            </w:r>
          </w:p>
          <w:p w14:paraId="66D44C9C">
            <w:pPr>
              <w:widowControl w:val="0"/>
              <w:jc w:val="both"/>
              <w:rPr>
                <w:rFonts w:hint="default"/>
                <w:sz w:val="24"/>
                <w:szCs w:val="24"/>
                <w:vertAlign w:val="baseline"/>
              </w:rPr>
            </w:pPr>
            <w:r>
              <w:rPr>
                <w:rFonts w:hint="default"/>
                <w:sz w:val="24"/>
                <w:szCs w:val="24"/>
                <w:vertAlign w:val="baseline"/>
              </w:rPr>
              <w:t xml:space="preserve">o </w:t>
            </w:r>
            <w:r>
              <w:rPr>
                <w:rFonts w:hint="default"/>
                <w:b/>
                <w:bCs/>
                <w:sz w:val="24"/>
                <w:szCs w:val="24"/>
                <w:vertAlign w:val="baseline"/>
              </w:rPr>
              <w:t>Hernies inguinales congénitales</w:t>
            </w:r>
            <w:r>
              <w:rPr>
                <w:rFonts w:hint="default"/>
                <w:sz w:val="24"/>
                <w:szCs w:val="24"/>
                <w:vertAlign w:val="baseline"/>
              </w:rPr>
              <w:t xml:space="preserve"> ; toujours obliques externes (&amp;gt; 95% des hernies de l’enfant), touchent principalement le</w:t>
            </w:r>
          </w:p>
          <w:p w14:paraId="3F2ACAB6">
            <w:pPr>
              <w:widowControl w:val="0"/>
              <w:jc w:val="both"/>
              <w:rPr>
                <w:rFonts w:hint="default"/>
                <w:sz w:val="24"/>
                <w:szCs w:val="24"/>
                <w:vertAlign w:val="baseline"/>
              </w:rPr>
            </w:pPr>
            <w:r>
              <w:rPr>
                <w:rFonts w:hint="default"/>
                <w:sz w:val="24"/>
                <w:szCs w:val="24"/>
                <w:vertAlign w:val="baseline"/>
              </w:rPr>
              <w:t>garçon (90%) et sont souvent bilatérales.</w:t>
            </w:r>
          </w:p>
          <w:p w14:paraId="3EE31768">
            <w:pPr>
              <w:widowControl w:val="0"/>
              <w:jc w:val="both"/>
              <w:rPr>
                <w:rFonts w:hint="default"/>
                <w:sz w:val="24"/>
                <w:szCs w:val="24"/>
                <w:vertAlign w:val="baseline"/>
              </w:rPr>
            </w:pPr>
          </w:p>
          <w:p w14:paraId="54AEE975">
            <w:pPr>
              <w:widowControl w:val="0"/>
              <w:jc w:val="both"/>
              <w:rPr>
                <w:rFonts w:hint="default"/>
                <w:sz w:val="24"/>
                <w:szCs w:val="24"/>
                <w:vertAlign w:val="baseline"/>
              </w:rPr>
            </w:pPr>
            <w:r>
              <w:rPr>
                <w:rFonts w:hint="default"/>
                <w:sz w:val="24"/>
                <w:szCs w:val="24"/>
                <w:vertAlign w:val="baseline"/>
              </w:rPr>
              <w:t xml:space="preserve">- </w:t>
            </w:r>
            <w:r>
              <w:rPr>
                <w:rFonts w:hint="default"/>
                <w:b/>
                <w:bCs/>
                <w:sz w:val="24"/>
                <w:szCs w:val="24"/>
                <w:vertAlign w:val="baseline"/>
              </w:rPr>
              <w:t>Hernies crurales :</w:t>
            </w:r>
          </w:p>
          <w:p w14:paraId="02588473">
            <w:pPr>
              <w:widowControl w:val="0"/>
              <w:jc w:val="both"/>
              <w:rPr>
                <w:rFonts w:hint="default"/>
                <w:sz w:val="24"/>
                <w:szCs w:val="24"/>
                <w:vertAlign w:val="baseline"/>
              </w:rPr>
            </w:pPr>
            <w:r>
              <w:rPr>
                <w:rFonts w:hint="default"/>
                <w:sz w:val="24"/>
                <w:szCs w:val="24"/>
                <w:vertAlign w:val="baseline"/>
              </w:rPr>
              <w:t>- Passent par la zone de faiblesse du fascia transversalis, Elle a un collet étroit situé en dedans de la veine et l’artère fémorale</w:t>
            </w:r>
          </w:p>
          <w:p w14:paraId="0FF19528">
            <w:pPr>
              <w:widowControl w:val="0"/>
              <w:jc w:val="both"/>
              <w:rPr>
                <w:rFonts w:hint="default"/>
                <w:sz w:val="24"/>
                <w:szCs w:val="24"/>
                <w:vertAlign w:val="baseline"/>
              </w:rPr>
            </w:pPr>
            <w:r>
              <w:rPr>
                <w:rFonts w:hint="default"/>
                <w:sz w:val="24"/>
                <w:szCs w:val="24"/>
                <w:vertAlign w:val="baseline"/>
              </w:rPr>
              <w:t>- Ce sont des hernies de diagnostic difficile</w:t>
            </w:r>
          </w:p>
          <w:p w14:paraId="68054C72">
            <w:pPr>
              <w:widowControl w:val="0"/>
              <w:jc w:val="both"/>
              <w:rPr>
                <w:rFonts w:hint="default"/>
                <w:sz w:val="24"/>
                <w:szCs w:val="24"/>
                <w:vertAlign w:val="baseline"/>
              </w:rPr>
            </w:pPr>
            <w:r>
              <w:rPr>
                <w:rFonts w:hint="default"/>
                <w:sz w:val="24"/>
                <w:szCs w:val="24"/>
                <w:vertAlign w:val="baseline"/>
              </w:rPr>
              <w:t>- Toujours acquises, plus fréquentes chez la femme, et représentent 10% des hernies de l’aine.</w:t>
            </w:r>
          </w:p>
          <w:p w14:paraId="080E18A6">
            <w:pPr>
              <w:widowControl w:val="0"/>
              <w:jc w:val="both"/>
              <w:rPr>
                <w:rFonts w:hint="default"/>
                <w:sz w:val="24"/>
                <w:szCs w:val="24"/>
                <w:vertAlign w:val="baseline"/>
              </w:rPr>
            </w:pPr>
            <w:r>
              <w:rPr>
                <w:rFonts w:hint="default"/>
                <w:sz w:val="24"/>
                <w:szCs w:val="24"/>
                <w:vertAlign w:val="baseline"/>
              </w:rPr>
              <w:t>- Se Complique fréquemment d’étranglement</w:t>
            </w:r>
          </w:p>
          <w:p w14:paraId="78ED8D2B">
            <w:pPr>
              <w:widowControl w:val="0"/>
              <w:jc w:val="both"/>
              <w:rPr>
                <w:sz w:val="24"/>
                <w:szCs w:val="24"/>
                <w:vertAlign w:val="baseline"/>
              </w:rPr>
            </w:pPr>
            <w:r>
              <w:rPr>
                <w:rFonts w:hint="default"/>
                <w:sz w:val="24"/>
                <w:szCs w:val="24"/>
                <w:vertAlign w:val="baseline"/>
              </w:rPr>
              <w:t>-  peut engager dans la bourse chez l’homme]</w:t>
            </w:r>
          </w:p>
        </w:tc>
      </w:tr>
      <w:tr w14:paraId="5565F1A0">
        <w:tc>
          <w:tcPr>
            <w:tcW w:w="427" w:type="dxa"/>
          </w:tcPr>
          <w:p w14:paraId="4A3891FD">
            <w:pPr>
              <w:widowControl w:val="0"/>
              <w:numPr>
                <w:ilvl w:val="0"/>
                <w:numId w:val="1"/>
              </w:numPr>
              <w:ind w:left="425" w:leftChars="0" w:hanging="425" w:firstLineChars="0"/>
              <w:jc w:val="both"/>
              <w:rPr>
                <w:vertAlign w:val="baseline"/>
              </w:rPr>
            </w:pPr>
          </w:p>
        </w:tc>
        <w:tc>
          <w:tcPr>
            <w:tcW w:w="607" w:type="dxa"/>
          </w:tcPr>
          <w:p w14:paraId="37BA24AA">
            <w:pPr>
              <w:widowControl w:val="0"/>
              <w:jc w:val="both"/>
              <w:rPr>
                <w:rFonts w:hint="default"/>
                <w:vertAlign w:val="baseline"/>
                <w:lang w:val="en-US"/>
              </w:rPr>
            </w:pPr>
            <w:r>
              <w:rPr>
                <w:rFonts w:hint="default"/>
                <w:vertAlign w:val="baseline"/>
                <w:lang w:val="en-US"/>
              </w:rPr>
              <w:t>B</w:t>
            </w:r>
          </w:p>
        </w:tc>
        <w:tc>
          <w:tcPr>
            <w:tcW w:w="9106" w:type="dxa"/>
          </w:tcPr>
          <w:p w14:paraId="5AB725AE">
            <w:pPr>
              <w:widowControl w:val="0"/>
              <w:jc w:val="both"/>
              <w:rPr>
                <w:sz w:val="24"/>
                <w:szCs w:val="24"/>
                <w:vertAlign w:val="baseline"/>
              </w:rPr>
            </w:pPr>
            <w:r>
              <w:rPr>
                <w:b/>
                <w:bCs/>
                <w:sz w:val="24"/>
                <w:szCs w:val="24"/>
                <w:vertAlign w:val="baseline"/>
                <w:lang w:val="en-US" w:eastAsia="zh-CN"/>
              </w:rPr>
              <w:t>Angioscanner mésentérique :</w:t>
            </w:r>
            <w:r>
              <w:rPr>
                <w:sz w:val="24"/>
                <w:szCs w:val="24"/>
                <w:vertAlign w:val="baseline"/>
                <w:lang w:val="en-US" w:eastAsia="zh-CN"/>
              </w:rPr>
              <w:t> </w:t>
            </w:r>
            <w:r>
              <w:rPr>
                <w:rFonts w:hint="default"/>
                <w:sz w:val="24"/>
                <w:szCs w:val="24"/>
                <w:vertAlign w:val="baseline"/>
                <w:lang w:val="en-US" w:eastAsia="zh-CN"/>
              </w:rPr>
              <w:t>C'est l'examen de première intention et de référence. Il permet de visualiser avec une excellente précision les occlusions artérielles ou veineuses (thromboses, embolies), d'évaluer la vitalité des anses intestinales (épaississement de la paroi, défaut de rehaussement) et de rechercher des signes de gravité comme une pneumatose pariétale ou de l'air dans la veine porte.</w:t>
            </w:r>
          </w:p>
        </w:tc>
      </w:tr>
      <w:tr w14:paraId="4847C5DC">
        <w:tc>
          <w:tcPr>
            <w:tcW w:w="427" w:type="dxa"/>
          </w:tcPr>
          <w:p w14:paraId="02F5952B">
            <w:pPr>
              <w:widowControl w:val="0"/>
              <w:numPr>
                <w:ilvl w:val="0"/>
                <w:numId w:val="1"/>
              </w:numPr>
              <w:ind w:left="425" w:leftChars="0" w:hanging="425" w:firstLineChars="0"/>
              <w:jc w:val="both"/>
              <w:rPr>
                <w:vertAlign w:val="baseline"/>
              </w:rPr>
            </w:pPr>
          </w:p>
        </w:tc>
        <w:tc>
          <w:tcPr>
            <w:tcW w:w="607" w:type="dxa"/>
          </w:tcPr>
          <w:p w14:paraId="6766AB8F">
            <w:pPr>
              <w:widowControl w:val="0"/>
              <w:jc w:val="both"/>
              <w:rPr>
                <w:rFonts w:hint="default"/>
                <w:vertAlign w:val="baseline"/>
                <w:lang w:val="en-US"/>
              </w:rPr>
            </w:pPr>
            <w:r>
              <w:rPr>
                <w:rFonts w:hint="default"/>
                <w:vertAlign w:val="baseline"/>
                <w:lang w:val="en-US"/>
              </w:rPr>
              <w:t>A</w:t>
            </w:r>
          </w:p>
        </w:tc>
        <w:tc>
          <w:tcPr>
            <w:tcW w:w="9106" w:type="dxa"/>
          </w:tcPr>
          <w:p w14:paraId="29F19342">
            <w:pPr>
              <w:widowControl w:val="0"/>
              <w:jc w:val="both"/>
              <w:rPr>
                <w:rFonts w:hint="default"/>
                <w:b/>
                <w:bCs/>
                <w:sz w:val="24"/>
                <w:szCs w:val="24"/>
                <w:vertAlign w:val="baseline"/>
              </w:rPr>
            </w:pPr>
            <w:r>
              <w:rPr>
                <w:rFonts w:hint="default"/>
                <w:b/>
                <w:bCs/>
                <w:sz w:val="24"/>
                <w:szCs w:val="24"/>
                <w:vertAlign w:val="baseline"/>
                <w:lang w:val="en-US"/>
              </w:rPr>
              <w:t xml:space="preserve">OIA </w:t>
            </w:r>
            <w:r>
              <w:rPr>
                <w:rFonts w:hint="default"/>
                <w:b/>
                <w:bCs/>
                <w:sz w:val="24"/>
                <w:szCs w:val="24"/>
                <w:vertAlign w:val="baseline"/>
              </w:rPr>
              <w:t>Par strangulation:</w:t>
            </w:r>
          </w:p>
          <w:p w14:paraId="14B3A6E7">
            <w:pPr>
              <w:widowControl w:val="0"/>
              <w:jc w:val="both"/>
              <w:rPr>
                <w:rFonts w:hint="default"/>
                <w:sz w:val="24"/>
                <w:szCs w:val="24"/>
                <w:vertAlign w:val="baseline"/>
              </w:rPr>
            </w:pPr>
            <w:r>
              <w:rPr>
                <w:rFonts w:hint="default"/>
                <w:sz w:val="24"/>
                <w:szCs w:val="24"/>
                <w:vertAlign w:val="baseline"/>
              </w:rPr>
              <w:t>- Clinique:</w:t>
            </w:r>
          </w:p>
          <w:p w14:paraId="2B75F493">
            <w:pPr>
              <w:widowControl w:val="0"/>
              <w:numPr>
                <w:ilvl w:val="0"/>
                <w:numId w:val="7"/>
              </w:numPr>
              <w:ind w:left="420" w:leftChars="0" w:hanging="420" w:firstLineChars="0"/>
              <w:jc w:val="both"/>
              <w:rPr>
                <w:rFonts w:hint="default"/>
                <w:sz w:val="24"/>
                <w:szCs w:val="24"/>
                <w:vertAlign w:val="baseline"/>
              </w:rPr>
            </w:pPr>
            <w:r>
              <w:rPr>
                <w:rFonts w:hint="default"/>
                <w:sz w:val="24"/>
                <w:szCs w:val="24"/>
                <w:vertAlign w:val="baseline"/>
              </w:rPr>
              <w:t>Debut brutal.</w:t>
            </w:r>
          </w:p>
          <w:p w14:paraId="6B88C355">
            <w:pPr>
              <w:widowControl w:val="0"/>
              <w:numPr>
                <w:ilvl w:val="0"/>
                <w:numId w:val="7"/>
              </w:numPr>
              <w:ind w:left="420" w:leftChars="0" w:hanging="420" w:firstLineChars="0"/>
              <w:jc w:val="both"/>
              <w:rPr>
                <w:rFonts w:hint="default"/>
                <w:sz w:val="24"/>
                <w:szCs w:val="24"/>
                <w:vertAlign w:val="baseline"/>
              </w:rPr>
            </w:pPr>
            <w:r>
              <w:rPr>
                <w:rFonts w:hint="default"/>
                <w:sz w:val="24"/>
                <w:szCs w:val="24"/>
                <w:vertAlign w:val="baseline"/>
              </w:rPr>
              <w:t>Douleurs vives, permanentes a</w:t>
            </w:r>
            <w:r>
              <w:rPr>
                <w:rFonts w:hint="default"/>
                <w:sz w:val="24"/>
                <w:szCs w:val="24"/>
                <w:vertAlign w:val="baseline"/>
                <w:lang w:val="en-US"/>
              </w:rPr>
              <w:t xml:space="preserve"> </w:t>
            </w:r>
            <w:r>
              <w:rPr>
                <w:rFonts w:hint="default"/>
                <w:sz w:val="24"/>
                <w:szCs w:val="24"/>
                <w:vertAlign w:val="baseline"/>
              </w:rPr>
              <w:t>irradiation posterieure.</w:t>
            </w:r>
          </w:p>
          <w:p w14:paraId="299C9077">
            <w:pPr>
              <w:widowControl w:val="0"/>
              <w:numPr>
                <w:ilvl w:val="0"/>
                <w:numId w:val="7"/>
              </w:numPr>
              <w:ind w:left="420" w:leftChars="0" w:hanging="420" w:firstLineChars="0"/>
              <w:jc w:val="both"/>
              <w:rPr>
                <w:rFonts w:hint="default"/>
                <w:sz w:val="24"/>
                <w:szCs w:val="24"/>
                <w:vertAlign w:val="baseline"/>
              </w:rPr>
            </w:pPr>
            <w:r>
              <w:rPr>
                <w:rFonts w:hint="default"/>
                <w:sz w:val="24"/>
                <w:szCs w:val="24"/>
                <w:vertAlign w:val="baseline"/>
              </w:rPr>
              <w:t>Pas de Peristaltisme.</w:t>
            </w:r>
          </w:p>
          <w:p w14:paraId="270E5395">
            <w:pPr>
              <w:widowControl w:val="0"/>
              <w:numPr>
                <w:ilvl w:val="0"/>
                <w:numId w:val="7"/>
              </w:numPr>
              <w:ind w:left="420" w:leftChars="0" w:hanging="420" w:firstLineChars="0"/>
              <w:jc w:val="both"/>
              <w:rPr>
                <w:rFonts w:hint="default"/>
                <w:sz w:val="24"/>
                <w:szCs w:val="24"/>
                <w:vertAlign w:val="baseline"/>
              </w:rPr>
            </w:pPr>
            <w:r>
              <w:rPr>
                <w:rFonts w:hint="default"/>
                <w:sz w:val="24"/>
                <w:szCs w:val="24"/>
                <w:vertAlign w:val="baseline"/>
              </w:rPr>
              <w:t>Vomissements abondants sauf si</w:t>
            </w:r>
            <w:r>
              <w:rPr>
                <w:rFonts w:hint="default"/>
                <w:sz w:val="24"/>
                <w:szCs w:val="24"/>
                <w:vertAlign w:val="baseline"/>
                <w:lang w:val="en-US"/>
              </w:rPr>
              <w:t xml:space="preserve"> </w:t>
            </w:r>
            <w:r>
              <w:rPr>
                <w:rFonts w:hint="default"/>
                <w:sz w:val="24"/>
                <w:szCs w:val="24"/>
                <w:vertAlign w:val="baseline"/>
              </w:rPr>
              <w:t>occlusions basses.</w:t>
            </w:r>
          </w:p>
          <w:p w14:paraId="7421C900">
            <w:pPr>
              <w:widowControl w:val="0"/>
              <w:numPr>
                <w:ilvl w:val="0"/>
                <w:numId w:val="7"/>
              </w:numPr>
              <w:ind w:left="420" w:leftChars="0" w:hanging="420" w:firstLineChars="0"/>
              <w:jc w:val="both"/>
              <w:rPr>
                <w:rFonts w:hint="default"/>
                <w:sz w:val="24"/>
                <w:szCs w:val="24"/>
                <w:vertAlign w:val="baseline"/>
              </w:rPr>
            </w:pPr>
            <w:r>
              <w:rPr>
                <w:rFonts w:hint="default"/>
                <w:sz w:val="24"/>
                <w:szCs w:val="24"/>
                <w:vertAlign w:val="baseline"/>
              </w:rPr>
              <w:t>Silence complet et permanent a</w:t>
            </w:r>
            <w:r>
              <w:rPr>
                <w:rFonts w:hint="default"/>
                <w:sz w:val="24"/>
                <w:szCs w:val="24"/>
                <w:vertAlign w:val="baseline"/>
                <w:lang w:val="en-US"/>
              </w:rPr>
              <w:t xml:space="preserve"> </w:t>
            </w:r>
            <w:r>
              <w:rPr>
                <w:rFonts w:hint="default"/>
                <w:sz w:val="24"/>
                <w:szCs w:val="24"/>
                <w:vertAlign w:val="baseline"/>
              </w:rPr>
              <w:t>l’auscultation.</w:t>
            </w:r>
          </w:p>
          <w:p w14:paraId="6A8AD3BD">
            <w:pPr>
              <w:widowControl w:val="0"/>
              <w:numPr>
                <w:ilvl w:val="0"/>
                <w:numId w:val="7"/>
              </w:numPr>
              <w:ind w:left="420" w:leftChars="0" w:hanging="420" w:firstLineChars="0"/>
              <w:jc w:val="both"/>
              <w:rPr>
                <w:rFonts w:hint="default"/>
                <w:sz w:val="24"/>
                <w:szCs w:val="24"/>
                <w:vertAlign w:val="baseline"/>
              </w:rPr>
            </w:pPr>
            <w:r>
              <w:rPr>
                <w:rFonts w:hint="default"/>
                <w:sz w:val="24"/>
                <w:szCs w:val="24"/>
                <w:vertAlign w:val="baseline"/>
              </w:rPr>
              <w:t>Triade de Von Wahl: douleurs vives +</w:t>
            </w:r>
          </w:p>
          <w:p w14:paraId="533223F1">
            <w:pPr>
              <w:widowControl w:val="0"/>
              <w:numPr>
                <w:ilvl w:val="0"/>
                <w:numId w:val="7"/>
              </w:numPr>
              <w:ind w:left="420" w:leftChars="0" w:hanging="420" w:firstLineChars="0"/>
              <w:jc w:val="both"/>
              <w:rPr>
                <w:rFonts w:hint="default"/>
                <w:sz w:val="24"/>
                <w:szCs w:val="24"/>
                <w:vertAlign w:val="baseline"/>
              </w:rPr>
            </w:pPr>
            <w:r>
              <w:rPr>
                <w:rFonts w:hint="default"/>
                <w:sz w:val="24"/>
                <w:szCs w:val="24"/>
                <w:vertAlign w:val="baseline"/>
              </w:rPr>
              <w:t>Meteorisme localisé + pas de</w:t>
            </w:r>
          </w:p>
          <w:p w14:paraId="7895B880">
            <w:pPr>
              <w:widowControl w:val="0"/>
              <w:numPr>
                <w:ilvl w:val="0"/>
                <w:numId w:val="7"/>
              </w:numPr>
              <w:ind w:left="420" w:leftChars="0" w:hanging="420" w:firstLineChars="0"/>
              <w:jc w:val="both"/>
              <w:rPr>
                <w:rFonts w:hint="default"/>
                <w:sz w:val="24"/>
                <w:szCs w:val="24"/>
                <w:vertAlign w:val="baseline"/>
              </w:rPr>
            </w:pPr>
            <w:r>
              <w:rPr>
                <w:rFonts w:hint="default"/>
                <w:sz w:val="24"/>
                <w:szCs w:val="24"/>
                <w:vertAlign w:val="baseline"/>
              </w:rPr>
              <w:t>Peristaltisme.</w:t>
            </w:r>
          </w:p>
          <w:p w14:paraId="5E5DCF55">
            <w:pPr>
              <w:widowControl w:val="0"/>
              <w:jc w:val="both"/>
              <w:rPr>
                <w:rFonts w:hint="default"/>
                <w:sz w:val="24"/>
                <w:szCs w:val="24"/>
                <w:vertAlign w:val="baseline"/>
              </w:rPr>
            </w:pPr>
          </w:p>
          <w:p w14:paraId="511024FC">
            <w:pPr>
              <w:widowControl w:val="0"/>
              <w:jc w:val="both"/>
              <w:rPr>
                <w:sz w:val="24"/>
                <w:szCs w:val="24"/>
                <w:vertAlign w:val="baseline"/>
              </w:rPr>
            </w:pPr>
            <w:r>
              <w:rPr>
                <w:rFonts w:hint="default"/>
                <w:b/>
                <w:bCs/>
                <w:sz w:val="24"/>
                <w:szCs w:val="24"/>
                <w:vertAlign w:val="baseline"/>
              </w:rPr>
              <w:t>Etat de choc precoce et severe</w:t>
            </w:r>
            <w:r>
              <w:rPr>
                <w:rFonts w:hint="default"/>
                <w:sz w:val="24"/>
                <w:szCs w:val="24"/>
                <w:vertAlign w:val="baseline"/>
              </w:rPr>
              <w:t>.</w:t>
            </w:r>
          </w:p>
        </w:tc>
      </w:tr>
      <w:tr w14:paraId="19C5AD04">
        <w:tc>
          <w:tcPr>
            <w:tcW w:w="427" w:type="dxa"/>
          </w:tcPr>
          <w:p w14:paraId="0D29A65F">
            <w:pPr>
              <w:widowControl w:val="0"/>
              <w:numPr>
                <w:ilvl w:val="0"/>
                <w:numId w:val="1"/>
              </w:numPr>
              <w:ind w:left="425" w:leftChars="0" w:hanging="425" w:firstLineChars="0"/>
              <w:jc w:val="both"/>
              <w:rPr>
                <w:vertAlign w:val="baseline"/>
              </w:rPr>
            </w:pPr>
          </w:p>
        </w:tc>
        <w:tc>
          <w:tcPr>
            <w:tcW w:w="607" w:type="dxa"/>
          </w:tcPr>
          <w:p w14:paraId="7D15A965">
            <w:pPr>
              <w:widowControl w:val="0"/>
              <w:jc w:val="both"/>
              <w:rPr>
                <w:rFonts w:hint="default"/>
                <w:vertAlign w:val="baseline"/>
                <w:lang w:val="en-US"/>
              </w:rPr>
            </w:pPr>
            <w:r>
              <w:rPr>
                <w:rFonts w:hint="default"/>
                <w:vertAlign w:val="baseline"/>
                <w:lang w:val="en-US"/>
              </w:rPr>
              <w:t>B</w:t>
            </w:r>
          </w:p>
        </w:tc>
        <w:tc>
          <w:tcPr>
            <w:tcW w:w="9106" w:type="dxa"/>
          </w:tcPr>
          <w:p w14:paraId="3EFB4B1C">
            <w:pPr>
              <w:pStyle w:val="10"/>
              <w:keepNext w:val="0"/>
              <w:keepLines w:val="0"/>
              <w:widowControl/>
              <w:suppressLineNumbers w:val="0"/>
              <w:ind w:left="0" w:firstLine="0"/>
              <w:rPr>
                <w:i w:val="0"/>
                <w:iCs w:val="0"/>
                <w:caps w:val="0"/>
                <w:color w:val="000000"/>
                <w:spacing w:val="0"/>
                <w:u w:val="none"/>
              </w:rPr>
            </w:pPr>
            <w:r>
              <w:rPr>
                <w:rFonts w:hint="default"/>
                <w:i w:val="0"/>
                <w:iCs w:val="0"/>
                <w:caps w:val="0"/>
                <w:color w:val="000000"/>
                <w:spacing w:val="0"/>
                <w:u w:val="none"/>
                <w:lang w:val="en-US"/>
              </w:rPr>
              <w:t>-</w:t>
            </w:r>
            <w:r>
              <w:rPr>
                <w:i w:val="0"/>
                <w:iCs w:val="0"/>
                <w:caps w:val="0"/>
                <w:color w:val="000000"/>
                <w:spacing w:val="0"/>
                <w:u w:val="none"/>
              </w:rPr>
              <w:t>À ce stade postopératoire, après une </w:t>
            </w:r>
            <w:r>
              <w:rPr>
                <w:rStyle w:val="11"/>
                <w:i w:val="0"/>
                <w:iCs w:val="0"/>
                <w:caps w:val="0"/>
                <w:color w:val="000000"/>
                <w:spacing w:val="0"/>
                <w:u w:val="none"/>
              </w:rPr>
              <w:t>appendicite perforée</w:t>
            </w:r>
            <w:r>
              <w:rPr>
                <w:i w:val="0"/>
                <w:iCs w:val="0"/>
                <w:caps w:val="0"/>
                <w:color w:val="000000"/>
                <w:spacing w:val="0"/>
                <w:u w:val="none"/>
              </w:rPr>
              <w:t>, la complication la plus fréquente est une </w:t>
            </w:r>
            <w:r>
              <w:rPr>
                <w:rStyle w:val="11"/>
                <w:i w:val="0"/>
                <w:iCs w:val="0"/>
                <w:caps w:val="0"/>
                <w:color w:val="000000"/>
                <w:spacing w:val="0"/>
                <w:u w:val="none"/>
              </w:rPr>
              <w:t>collection intra-abdominale</w:t>
            </w:r>
            <w:r>
              <w:rPr>
                <w:i w:val="0"/>
                <w:iCs w:val="0"/>
                <w:caps w:val="0"/>
                <w:color w:val="000000"/>
                <w:spacing w:val="0"/>
                <w:u w:val="none"/>
              </w:rPr>
              <w:t>.</w:t>
            </w:r>
          </w:p>
          <w:p w14:paraId="7AFF9D3A">
            <w:pPr>
              <w:keepNext w:val="0"/>
              <w:keepLines w:val="0"/>
              <w:widowControl/>
              <w:suppressLineNumbers w:val="0"/>
              <w:ind w:left="0" w:firstLine="0"/>
              <w:jc w:val="both"/>
              <w:rPr>
                <w:i w:val="0"/>
                <w:iCs w:val="0"/>
                <w:caps w:val="0"/>
                <w:color w:val="000000"/>
                <w:spacing w:val="0"/>
                <w:u w:val="none"/>
              </w:rPr>
            </w:pPr>
            <w:r>
              <w:rPr>
                <w:i w:val="0"/>
                <w:iCs w:val="0"/>
                <w:caps w:val="0"/>
                <w:color w:val="000000"/>
                <w:spacing w:val="0"/>
                <w:u w:val="none"/>
              </w:rPr>
              <w:pict>
                <v:rect id="_x0000_i1025" o:spt="1" style="height:1.5pt;width:432pt;" fillcolor="#A0A0A0" filled="t" stroked="f" coordsize="21600,21600" o:hr="t" o:hrstd="t" o:hralign="center">
                  <v:path/>
                  <v:fill on="t" focussize="0,0"/>
                  <v:stroke on="f"/>
                  <v:imagedata o:title=""/>
                  <o:lock v:ext="edit"/>
                  <w10:wrap type="none"/>
                  <w10:anchorlock/>
                </v:rect>
              </w:pict>
            </w:r>
            <w:r>
              <w:rPr>
                <w:rFonts w:hint="default"/>
                <w:i w:val="0"/>
                <w:iCs w:val="0"/>
                <w:caps w:val="0"/>
                <w:color w:val="000000"/>
                <w:spacing w:val="0"/>
                <w:u w:val="none"/>
                <w:lang w:val="en-US"/>
              </w:rPr>
              <w:t>-</w:t>
            </w:r>
            <w:r>
              <w:rPr>
                <w:rFonts w:hint="default" w:ascii="Times New Roman Bold" w:hAnsi="Times New Roman Bold" w:cs="Times New Roman Bold"/>
                <w:b/>
                <w:bCs/>
                <w:i w:val="0"/>
                <w:iCs w:val="0"/>
                <w:caps w:val="0"/>
                <w:color w:val="000000"/>
                <w:spacing w:val="0"/>
                <w:u w:val="none"/>
              </w:rPr>
              <w:t>Après appendicite perforée :</w:t>
            </w:r>
          </w:p>
          <w:p w14:paraId="46EAEBBA">
            <w:pPr>
              <w:keepNext w:val="0"/>
              <w:keepLines w:val="0"/>
              <w:widowControl/>
              <w:suppressLineNumbers w:val="0"/>
              <w:ind w:left="0" w:firstLine="0"/>
              <w:jc w:val="both"/>
              <w:rPr>
                <w:i w:val="0"/>
                <w:iCs w:val="0"/>
                <w:caps w:val="0"/>
                <w:color w:val="000000"/>
                <w:spacing w:val="0"/>
                <w:u w:val="none"/>
              </w:rPr>
            </w:pPr>
            <w:r>
              <w:rPr>
                <w:i w:val="0"/>
                <w:iCs w:val="0"/>
                <w:caps w:val="0"/>
                <w:color w:val="000000"/>
                <w:spacing w:val="0"/>
                <w:u w:val="none"/>
              </w:rPr>
              <w:t>Risque élevé d’infection résiduelle</w:t>
            </w:r>
          </w:p>
          <w:p w14:paraId="4BD5DB0E">
            <w:pPr>
              <w:keepNext w:val="0"/>
              <w:keepLines w:val="0"/>
              <w:widowControl/>
              <w:suppressLineNumbers w:val="0"/>
              <w:ind w:left="0" w:firstLine="0"/>
              <w:jc w:val="both"/>
              <w:rPr>
                <w:rStyle w:val="11"/>
                <w:i w:val="0"/>
                <w:iCs w:val="0"/>
                <w:caps w:val="0"/>
                <w:color w:val="000000"/>
                <w:spacing w:val="0"/>
                <w:u w:val="none"/>
              </w:rPr>
            </w:pPr>
            <w:r>
              <w:rPr>
                <w:i w:val="0"/>
                <w:iCs w:val="0"/>
                <w:caps w:val="0"/>
                <w:color w:val="000000"/>
                <w:spacing w:val="0"/>
                <w:u w:val="none"/>
              </w:rPr>
              <w:t>Survient classiquement entre </w:t>
            </w:r>
            <w:r>
              <w:rPr>
                <w:rStyle w:val="11"/>
                <w:i w:val="0"/>
                <w:iCs w:val="0"/>
                <w:caps w:val="0"/>
                <w:color w:val="000000"/>
                <w:spacing w:val="0"/>
                <w:u w:val="none"/>
              </w:rPr>
              <w:t>J4 et J7</w:t>
            </w:r>
          </w:p>
          <w:p w14:paraId="29DC2A3E">
            <w:pPr>
              <w:keepNext w:val="0"/>
              <w:keepLines w:val="0"/>
              <w:widowControl/>
              <w:suppressLineNumbers w:val="0"/>
              <w:ind w:left="0" w:firstLine="0"/>
              <w:jc w:val="both"/>
              <w:rPr>
                <w:i w:val="0"/>
                <w:iCs w:val="0"/>
                <w:caps w:val="0"/>
                <w:color w:val="000000"/>
                <w:spacing w:val="0"/>
                <w:u w:val="none"/>
              </w:rPr>
            </w:pPr>
            <w:r>
              <w:rPr>
                <w:i w:val="0"/>
                <w:iCs w:val="0"/>
                <w:caps w:val="0"/>
                <w:color w:val="000000"/>
                <w:spacing w:val="0"/>
                <w:u w:val="none"/>
              </w:rPr>
              <w:t>Fièvre élevée persistante</w:t>
            </w:r>
          </w:p>
          <w:p w14:paraId="613E34A5">
            <w:pPr>
              <w:keepNext w:val="0"/>
              <w:keepLines w:val="0"/>
              <w:widowControl/>
              <w:suppressLineNumbers w:val="0"/>
              <w:ind w:left="0" w:firstLine="0"/>
              <w:jc w:val="both"/>
              <w:rPr>
                <w:i w:val="0"/>
                <w:iCs w:val="0"/>
                <w:caps w:val="0"/>
                <w:color w:val="000000"/>
                <w:spacing w:val="0"/>
                <w:u w:val="none"/>
              </w:rPr>
            </w:pPr>
            <w:r>
              <w:rPr>
                <w:i w:val="0"/>
                <w:iCs w:val="0"/>
                <w:caps w:val="0"/>
                <w:color w:val="000000"/>
                <w:spacing w:val="0"/>
                <w:u w:val="none"/>
              </w:rPr>
              <w:t>Douleur pelvienne, ténesme, diarrhée possible</w:t>
            </w:r>
          </w:p>
          <w:p w14:paraId="0E13D27D">
            <w:pPr>
              <w:keepNext w:val="0"/>
              <w:keepLines w:val="0"/>
              <w:widowControl/>
              <w:suppressLineNumbers w:val="0"/>
              <w:ind w:left="0" w:firstLine="0"/>
              <w:jc w:val="both"/>
              <w:rPr>
                <w:sz w:val="24"/>
                <w:szCs w:val="24"/>
                <w:vertAlign w:val="baseline"/>
              </w:rPr>
            </w:pPr>
            <w:r>
              <w:rPr>
                <w:i w:val="0"/>
                <w:iCs w:val="0"/>
                <w:caps w:val="0"/>
                <w:color w:val="000000"/>
                <w:spacing w:val="0"/>
                <w:u w:val="none"/>
              </w:rPr>
              <w:t>TR douloureux (cul-de-sac de Douglas bombant)</w:t>
            </w:r>
          </w:p>
        </w:tc>
      </w:tr>
      <w:tr w14:paraId="18B25AFF">
        <w:tc>
          <w:tcPr>
            <w:tcW w:w="427" w:type="dxa"/>
          </w:tcPr>
          <w:p w14:paraId="1344D4A8">
            <w:pPr>
              <w:widowControl w:val="0"/>
              <w:numPr>
                <w:ilvl w:val="0"/>
                <w:numId w:val="1"/>
              </w:numPr>
              <w:ind w:left="425" w:leftChars="0" w:hanging="425" w:firstLineChars="0"/>
              <w:jc w:val="both"/>
              <w:rPr>
                <w:vertAlign w:val="baseline"/>
              </w:rPr>
            </w:pPr>
          </w:p>
        </w:tc>
        <w:tc>
          <w:tcPr>
            <w:tcW w:w="607" w:type="dxa"/>
          </w:tcPr>
          <w:p w14:paraId="3391F983">
            <w:pPr>
              <w:widowControl w:val="0"/>
              <w:jc w:val="both"/>
              <w:rPr>
                <w:rFonts w:hint="default"/>
                <w:vertAlign w:val="baseline"/>
                <w:lang w:val="en-US"/>
              </w:rPr>
            </w:pPr>
            <w:r>
              <w:rPr>
                <w:rFonts w:hint="default"/>
                <w:vertAlign w:val="baseline"/>
                <w:lang w:val="en-US"/>
              </w:rPr>
              <w:t>B</w:t>
            </w:r>
          </w:p>
        </w:tc>
        <w:tc>
          <w:tcPr>
            <w:tcW w:w="9106" w:type="dxa"/>
          </w:tcPr>
          <w:p w14:paraId="5BD63FC1">
            <w:pPr>
              <w:pStyle w:val="10"/>
              <w:keepNext w:val="0"/>
              <w:keepLines w:val="0"/>
              <w:widowControl/>
              <w:suppressLineNumbers w:val="0"/>
            </w:pPr>
            <w:r>
              <w:rPr>
                <w:rStyle w:val="11"/>
                <w:i w:val="0"/>
                <w:iCs w:val="0"/>
                <w:caps w:val="0"/>
                <w:color w:val="000000"/>
                <w:spacing w:val="0"/>
                <w:u w:val="none"/>
              </w:rPr>
              <w:t xml:space="preserve"> – Pancréatite chronique</w:t>
            </w:r>
            <w:r>
              <w:rPr>
                <w:i w:val="0"/>
                <w:iCs w:val="0"/>
                <w:caps w:val="0"/>
                <w:color w:val="000000"/>
                <w:spacing w:val="0"/>
                <w:u w:val="none"/>
              </w:rPr>
              <w:t> : douleur chronique récidivante, pas brutale en coup de poignard.</w:t>
            </w:r>
          </w:p>
          <w:p w14:paraId="5A9C190A">
            <w:pPr>
              <w:pStyle w:val="10"/>
              <w:keepNext w:val="0"/>
              <w:keepLines w:val="0"/>
              <w:widowControl/>
              <w:suppressLineNumbers w:val="0"/>
            </w:pPr>
            <w:r>
              <w:rPr>
                <w:rStyle w:val="11"/>
                <w:i w:val="0"/>
                <w:iCs w:val="0"/>
                <w:caps w:val="0"/>
                <w:color w:val="000000"/>
                <w:spacing w:val="0"/>
                <w:u w:val="none"/>
              </w:rPr>
              <w:t xml:space="preserve"> – Cholécystite aiguë</w:t>
            </w:r>
            <w:r>
              <w:rPr>
                <w:i w:val="0"/>
                <w:iCs w:val="0"/>
                <w:caps w:val="0"/>
                <w:color w:val="000000"/>
                <w:spacing w:val="0"/>
                <w:u w:val="none"/>
              </w:rPr>
              <w:t> : douleur progressive de l’hypochondre droit + fièvre.</w:t>
            </w:r>
          </w:p>
          <w:p w14:paraId="42D9FE7A">
            <w:pPr>
              <w:pStyle w:val="10"/>
              <w:keepNext w:val="0"/>
              <w:keepLines w:val="0"/>
              <w:widowControl/>
              <w:suppressLineNumbers w:val="0"/>
            </w:pPr>
            <w:r>
              <w:rPr>
                <w:rStyle w:val="11"/>
                <w:i w:val="0"/>
                <w:iCs w:val="0"/>
                <w:caps w:val="0"/>
                <w:color w:val="000000"/>
                <w:spacing w:val="0"/>
                <w:u w:val="none"/>
              </w:rPr>
              <w:t xml:space="preserve"> – Colique néphrétique</w:t>
            </w:r>
            <w:r>
              <w:rPr>
                <w:i w:val="0"/>
                <w:iCs w:val="0"/>
                <w:caps w:val="0"/>
                <w:color w:val="000000"/>
                <w:spacing w:val="0"/>
                <w:u w:val="none"/>
              </w:rPr>
              <w:t> : douleur lombaire irradiant vers les OGE, agitation.</w:t>
            </w:r>
          </w:p>
          <w:p w14:paraId="38520421">
            <w:pPr>
              <w:pStyle w:val="10"/>
              <w:keepNext w:val="0"/>
              <w:keepLines w:val="0"/>
              <w:widowControl/>
              <w:suppressLineNumbers w:val="0"/>
              <w:rPr>
                <w:i w:val="0"/>
                <w:iCs w:val="0"/>
                <w:caps w:val="0"/>
                <w:color w:val="000000"/>
                <w:spacing w:val="0"/>
                <w:u w:val="none"/>
              </w:rPr>
            </w:pPr>
            <w:r>
              <w:rPr>
                <w:rStyle w:val="11"/>
                <w:i w:val="0"/>
                <w:iCs w:val="0"/>
                <w:caps w:val="0"/>
                <w:color w:val="000000"/>
                <w:spacing w:val="0"/>
                <w:u w:val="none"/>
              </w:rPr>
              <w:t xml:space="preserve"> – Angiocholite</w:t>
            </w:r>
            <w:r>
              <w:rPr>
                <w:i w:val="0"/>
                <w:iCs w:val="0"/>
                <w:caps w:val="0"/>
                <w:color w:val="000000"/>
                <w:spacing w:val="0"/>
                <w:u w:val="none"/>
              </w:rPr>
              <w:t> : fièvre + ictère + douleur HCD (triade de Charcot).</w:t>
            </w:r>
          </w:p>
          <w:p w14:paraId="7D5C6DBF">
            <w:pPr>
              <w:pStyle w:val="10"/>
              <w:keepNext w:val="0"/>
              <w:keepLines w:val="0"/>
              <w:widowControl/>
              <w:suppressLineNumbers w:val="0"/>
              <w:ind w:left="0" w:firstLine="0"/>
            </w:pPr>
            <w:r>
              <w:rPr>
                <w:i w:val="0"/>
                <w:iCs w:val="0"/>
                <w:caps w:val="0"/>
                <w:color w:val="000000"/>
                <w:spacing w:val="0"/>
                <w:u w:val="none"/>
              </w:rPr>
              <w:t>Le tableau décrit :</w:t>
            </w:r>
          </w:p>
          <w:p w14:paraId="186A186A">
            <w:pPr>
              <w:pStyle w:val="10"/>
              <w:keepNext w:val="0"/>
              <w:keepLines w:val="0"/>
              <w:widowControl/>
              <w:suppressLineNumbers w:val="0"/>
              <w:ind w:left="720"/>
            </w:pPr>
            <w:r>
              <w:rPr>
                <w:i w:val="0"/>
                <w:iCs w:val="0"/>
                <w:caps w:val="0"/>
                <w:color w:val="000000"/>
                <w:spacing w:val="0"/>
                <w:u w:val="none"/>
              </w:rPr>
              <w:t>Homme de 47 ans</w:t>
            </w:r>
          </w:p>
          <w:p w14:paraId="75814B33">
            <w:pPr>
              <w:pStyle w:val="10"/>
              <w:keepNext w:val="0"/>
              <w:keepLines w:val="0"/>
              <w:widowControl/>
              <w:suppressLineNumbers w:val="0"/>
              <w:ind w:left="720"/>
            </w:pPr>
            <w:r>
              <w:rPr>
                <w:i w:val="0"/>
                <w:iCs w:val="0"/>
                <w:caps w:val="0"/>
                <w:color w:val="000000"/>
                <w:spacing w:val="0"/>
                <w:u w:val="none"/>
              </w:rPr>
              <w:t>Sans antécédents particuliers</w:t>
            </w:r>
          </w:p>
          <w:p w14:paraId="3482346D">
            <w:pPr>
              <w:pStyle w:val="10"/>
              <w:keepNext w:val="0"/>
              <w:keepLines w:val="0"/>
              <w:widowControl/>
              <w:suppressLineNumbers w:val="0"/>
              <w:ind w:left="720"/>
            </w:pPr>
            <w:r>
              <w:rPr>
                <w:i w:val="0"/>
                <w:iCs w:val="0"/>
                <w:caps w:val="0"/>
                <w:color w:val="000000"/>
                <w:spacing w:val="0"/>
                <w:u w:val="none"/>
              </w:rPr>
              <w:t>Douleur </w:t>
            </w:r>
            <w:r>
              <w:rPr>
                <w:rStyle w:val="11"/>
                <w:i w:val="0"/>
                <w:iCs w:val="0"/>
                <w:caps w:val="0"/>
                <w:color w:val="000000"/>
                <w:spacing w:val="0"/>
                <w:u w:val="none"/>
              </w:rPr>
              <w:t>épigastrique brutale</w:t>
            </w:r>
          </w:p>
          <w:p w14:paraId="1199ADBE">
            <w:pPr>
              <w:pStyle w:val="10"/>
              <w:keepNext w:val="0"/>
              <w:keepLines w:val="0"/>
              <w:widowControl/>
              <w:suppressLineNumbers w:val="0"/>
              <w:ind w:left="720"/>
            </w:pPr>
            <w:r>
              <w:rPr>
                <w:i w:val="0"/>
                <w:iCs w:val="0"/>
                <w:caps w:val="0"/>
                <w:color w:val="000000"/>
                <w:spacing w:val="0"/>
                <w:u w:val="none"/>
              </w:rPr>
              <w:t>En </w:t>
            </w:r>
            <w:r>
              <w:rPr>
                <w:rStyle w:val="11"/>
                <w:i w:val="0"/>
                <w:iCs w:val="0"/>
                <w:caps w:val="0"/>
                <w:color w:val="000000"/>
                <w:spacing w:val="0"/>
                <w:u w:val="none"/>
              </w:rPr>
              <w:t>“coup de poignard”</w:t>
            </w:r>
          </w:p>
          <w:p w14:paraId="28589015">
            <w:pPr>
              <w:pStyle w:val="10"/>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Cette description est </w:t>
            </w:r>
            <w:r>
              <w:rPr>
                <w:rStyle w:val="11"/>
                <w:i w:val="0"/>
                <w:iCs w:val="0"/>
                <w:caps w:val="0"/>
                <w:color w:val="000000"/>
                <w:spacing w:val="0"/>
                <w:u w:val="none"/>
              </w:rPr>
              <w:t>typique d’une perforation d’ulcère gastro-duodénal</w:t>
            </w:r>
          </w:p>
        </w:tc>
      </w:tr>
      <w:tr w14:paraId="3C7F5BB5">
        <w:tc>
          <w:tcPr>
            <w:tcW w:w="427" w:type="dxa"/>
          </w:tcPr>
          <w:p w14:paraId="0FC98EF0">
            <w:pPr>
              <w:widowControl w:val="0"/>
              <w:numPr>
                <w:ilvl w:val="0"/>
                <w:numId w:val="1"/>
              </w:numPr>
              <w:ind w:left="425" w:leftChars="0" w:hanging="425" w:firstLineChars="0"/>
              <w:jc w:val="both"/>
              <w:rPr>
                <w:vertAlign w:val="baseline"/>
              </w:rPr>
            </w:pPr>
          </w:p>
        </w:tc>
        <w:tc>
          <w:tcPr>
            <w:tcW w:w="607" w:type="dxa"/>
          </w:tcPr>
          <w:p w14:paraId="49E697C2">
            <w:pPr>
              <w:widowControl w:val="0"/>
              <w:jc w:val="both"/>
              <w:rPr>
                <w:rFonts w:hint="default"/>
                <w:vertAlign w:val="baseline"/>
                <w:lang w:val="en-US"/>
              </w:rPr>
            </w:pPr>
            <w:r>
              <w:rPr>
                <w:rFonts w:hint="default"/>
                <w:vertAlign w:val="baseline"/>
                <w:lang w:val="en-US"/>
              </w:rPr>
              <w:t>A</w:t>
            </w:r>
          </w:p>
        </w:tc>
        <w:tc>
          <w:tcPr>
            <w:tcW w:w="9106" w:type="dxa"/>
          </w:tcPr>
          <w:p w14:paraId="28A709A2">
            <w:pPr>
              <w:pStyle w:val="10"/>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La </w:t>
            </w:r>
            <w:r>
              <w:rPr>
                <w:rStyle w:val="11"/>
                <w:i w:val="0"/>
                <w:iCs w:val="0"/>
                <w:caps w:val="0"/>
                <w:color w:val="000000"/>
                <w:spacing w:val="0"/>
                <w:u w:val="none"/>
              </w:rPr>
              <w:t>dysenterie</w:t>
            </w:r>
            <w:r>
              <w:rPr>
                <w:i w:val="0"/>
                <w:iCs w:val="0"/>
                <w:caps w:val="0"/>
                <w:color w:val="000000"/>
                <w:spacing w:val="0"/>
                <w:u w:val="none"/>
              </w:rPr>
              <w:t> donne :</w:t>
            </w:r>
          </w:p>
          <w:p w14:paraId="18F15DCB">
            <w:pPr>
              <w:pStyle w:val="10"/>
              <w:keepNext w:val="0"/>
              <w:keepLines w:val="0"/>
              <w:widowControl/>
              <w:suppressLineNumbers w:val="0"/>
            </w:pPr>
            <w:r>
              <w:rPr>
                <w:rFonts w:hint="default"/>
                <w:i w:val="0"/>
                <w:iCs w:val="0"/>
                <w:caps w:val="0"/>
                <w:color w:val="000000"/>
                <w:spacing w:val="0"/>
                <w:u w:val="none"/>
                <w:lang w:val="en-US"/>
              </w:rPr>
              <w:t>-</w:t>
            </w:r>
            <w:r>
              <w:rPr>
                <w:i w:val="0"/>
                <w:iCs w:val="0"/>
                <w:caps w:val="0"/>
                <w:color w:val="000000"/>
                <w:spacing w:val="0"/>
                <w:u w:val="none"/>
              </w:rPr>
              <w:t>diarrhée glairo-sanglante</w:t>
            </w:r>
          </w:p>
          <w:p w14:paraId="53288DB8">
            <w:pPr>
              <w:pStyle w:val="10"/>
              <w:keepNext w:val="0"/>
              <w:keepLines w:val="0"/>
              <w:widowControl/>
              <w:suppressLineNumbers w:val="0"/>
              <w:rPr>
                <w:i w:val="0"/>
                <w:iCs w:val="0"/>
                <w:caps w:val="0"/>
                <w:color w:val="000000"/>
                <w:spacing w:val="0"/>
                <w:u w:val="none"/>
              </w:rPr>
            </w:pPr>
            <w:r>
              <w:rPr>
                <w:rFonts w:hint="default"/>
                <w:i w:val="0"/>
                <w:iCs w:val="0"/>
                <w:caps w:val="0"/>
                <w:color w:val="000000"/>
                <w:spacing w:val="0"/>
                <w:u w:val="none"/>
                <w:lang w:val="en-US"/>
              </w:rPr>
              <w:t>-</w:t>
            </w:r>
            <w:r>
              <w:rPr>
                <w:i w:val="0"/>
                <w:iCs w:val="0"/>
                <w:caps w:val="0"/>
                <w:color w:val="000000"/>
                <w:spacing w:val="0"/>
                <w:u w:val="none"/>
              </w:rPr>
              <w:t>syndrome infectieux</w:t>
            </w:r>
          </w:p>
          <w:p w14:paraId="762A479D">
            <w:pPr>
              <w:pStyle w:val="10"/>
              <w:keepNext w:val="0"/>
              <w:keepLines w:val="0"/>
              <w:widowControl/>
              <w:suppressLineNumbers w:val="0"/>
              <w:rPr>
                <w:i w:val="0"/>
                <w:iCs w:val="0"/>
                <w:caps w:val="0"/>
                <w:color w:val="000000"/>
                <w:spacing w:val="0"/>
                <w:u w:val="none"/>
              </w:rPr>
            </w:pPr>
            <w:r>
              <w:rPr>
                <w:rFonts w:hint="default"/>
                <w:i w:val="0"/>
                <w:iCs w:val="0"/>
                <w:caps w:val="0"/>
                <w:color w:val="000000"/>
                <w:spacing w:val="0"/>
                <w:u w:val="none"/>
                <w:lang w:val="en-US"/>
              </w:rPr>
              <w:t>-</w:t>
            </w:r>
            <w:r>
              <w:rPr>
                <w:i w:val="0"/>
                <w:iCs w:val="0"/>
                <w:caps w:val="0"/>
                <w:color w:val="000000"/>
                <w:spacing w:val="0"/>
                <w:u w:val="none"/>
              </w:rPr>
              <w:t>douleurs coliques</w:t>
            </w:r>
          </w:p>
          <w:p w14:paraId="65655DEA">
            <w:pPr>
              <w:pStyle w:val="10"/>
              <w:keepNext w:val="0"/>
              <w:keepLines w:val="0"/>
              <w:widowControl/>
              <w:suppressLineNumbers w:val="0"/>
              <w:rPr>
                <w:sz w:val="24"/>
                <w:szCs w:val="24"/>
                <w:vertAlign w:val="baseline"/>
              </w:rPr>
            </w:pPr>
            <w:r>
              <w:rPr>
                <w:rFonts w:hint="default" w:ascii="Times New Roman Bold" w:hAnsi="Times New Roman Bold" w:cs="Times New Roman Bold"/>
                <w:b/>
                <w:bCs/>
                <w:i w:val="0"/>
                <w:iCs w:val="0"/>
                <w:caps w:val="0"/>
                <w:color w:val="000000"/>
                <w:spacing w:val="0"/>
                <w:u w:val="none"/>
              </w:rPr>
              <w:t>Elle ne mime pas une douleur en coup de poignard</w:t>
            </w:r>
            <w:r>
              <w:rPr>
                <w:i w:val="0"/>
                <w:iCs w:val="0"/>
                <w:caps w:val="0"/>
                <w:color w:val="000000"/>
                <w:spacing w:val="0"/>
                <w:u w:val="none"/>
              </w:rPr>
              <w:t>.</w:t>
            </w:r>
          </w:p>
        </w:tc>
      </w:tr>
      <w:tr w14:paraId="117C6F9E">
        <w:tc>
          <w:tcPr>
            <w:tcW w:w="427" w:type="dxa"/>
          </w:tcPr>
          <w:p w14:paraId="7991EE5A">
            <w:pPr>
              <w:widowControl w:val="0"/>
              <w:numPr>
                <w:ilvl w:val="0"/>
                <w:numId w:val="1"/>
              </w:numPr>
              <w:ind w:left="425" w:leftChars="0" w:hanging="425" w:firstLineChars="0"/>
              <w:jc w:val="both"/>
              <w:rPr>
                <w:vertAlign w:val="baseline"/>
              </w:rPr>
            </w:pPr>
          </w:p>
        </w:tc>
        <w:tc>
          <w:tcPr>
            <w:tcW w:w="607" w:type="dxa"/>
          </w:tcPr>
          <w:p w14:paraId="1E2C1F0F">
            <w:pPr>
              <w:widowControl w:val="0"/>
              <w:jc w:val="both"/>
              <w:rPr>
                <w:rFonts w:hint="default"/>
                <w:vertAlign w:val="baseline"/>
                <w:lang w:val="en-US"/>
              </w:rPr>
            </w:pPr>
            <w:r>
              <w:rPr>
                <w:rFonts w:hint="default"/>
                <w:vertAlign w:val="baseline"/>
                <w:lang w:val="en-US"/>
              </w:rPr>
              <w:t>C</w:t>
            </w:r>
          </w:p>
        </w:tc>
        <w:tc>
          <w:tcPr>
            <w:tcW w:w="9106" w:type="dxa"/>
          </w:tcPr>
          <w:p w14:paraId="356F1AF2">
            <w:pPr>
              <w:widowControl w:val="0"/>
              <w:jc w:val="both"/>
              <w:rPr>
                <w:b/>
                <w:bCs/>
                <w:sz w:val="24"/>
                <w:szCs w:val="24"/>
                <w:vertAlign w:val="baseline"/>
              </w:rPr>
            </w:pPr>
            <w:r>
              <w:rPr>
                <w:rFonts w:hint="default"/>
                <w:sz w:val="24"/>
                <w:szCs w:val="24"/>
                <w:vertAlign w:val="baseline"/>
                <w:lang w:val="en-US"/>
              </w:rPr>
              <w:t>-</w:t>
            </w:r>
            <w:r>
              <w:rPr>
                <w:sz w:val="24"/>
                <w:szCs w:val="24"/>
                <w:vertAlign w:val="baseline"/>
              </w:rPr>
              <w:t>Une perforation sur la petite courbure gastrique </w:t>
            </w:r>
            <w:r>
              <w:rPr>
                <w:b/>
                <w:bCs/>
                <w:sz w:val="24"/>
                <w:szCs w:val="24"/>
                <w:vertAlign w:val="baseline"/>
              </w:rPr>
              <w:t>doit toujours faire suspecter un cancer gastrique perforé.</w:t>
            </w:r>
          </w:p>
          <w:p w14:paraId="2AE96999">
            <w:pPr>
              <w:widowControl w:val="0"/>
              <w:jc w:val="both"/>
              <w:rPr>
                <w:b/>
                <w:bCs/>
                <w:sz w:val="24"/>
                <w:szCs w:val="24"/>
                <w:vertAlign w:val="baseline"/>
              </w:rPr>
            </w:pPr>
            <w:r>
              <w:rPr>
                <w:rFonts w:hint="default"/>
                <w:sz w:val="24"/>
                <w:szCs w:val="24"/>
                <w:vertAlign w:val="baseline"/>
                <w:lang w:val="en-US"/>
              </w:rPr>
              <w:t>-</w:t>
            </w:r>
            <w:r>
              <w:rPr>
                <w:sz w:val="24"/>
                <w:szCs w:val="24"/>
                <w:vertAlign w:val="baseline"/>
              </w:rPr>
              <w:t xml:space="preserve">En cas de biopsies initiales non concluantes, </w:t>
            </w:r>
            <w:r>
              <w:rPr>
                <w:b/>
                <w:bCs/>
                <w:sz w:val="24"/>
                <w:szCs w:val="24"/>
                <w:vertAlign w:val="baseline"/>
              </w:rPr>
              <w:t>une biopsie peropératoire est indispensable, car :</w:t>
            </w:r>
          </w:p>
          <w:p w14:paraId="5CD7DD47">
            <w:pPr>
              <w:widowControl w:val="0"/>
              <w:jc w:val="both"/>
              <w:rPr>
                <w:sz w:val="24"/>
                <w:szCs w:val="24"/>
                <w:vertAlign w:val="baseline"/>
              </w:rPr>
            </w:pPr>
            <w:r>
              <w:rPr>
                <w:rFonts w:hint="default"/>
                <w:sz w:val="24"/>
                <w:szCs w:val="24"/>
                <w:vertAlign w:val="baseline"/>
                <w:lang w:val="en-US"/>
              </w:rPr>
              <w:t>-</w:t>
            </w:r>
            <w:r>
              <w:rPr>
                <w:sz w:val="24"/>
                <w:szCs w:val="24"/>
                <w:vertAlign w:val="baseline"/>
              </w:rPr>
              <w:t>Elle conditionne la stratégie chirurgicale.</w:t>
            </w:r>
          </w:p>
          <w:p w14:paraId="33FCE64E">
            <w:pPr>
              <w:widowControl w:val="0"/>
              <w:jc w:val="both"/>
              <w:rPr>
                <w:sz w:val="24"/>
                <w:szCs w:val="24"/>
                <w:vertAlign w:val="baseline"/>
              </w:rPr>
            </w:pPr>
            <w:r>
              <w:rPr>
                <w:rFonts w:hint="default"/>
                <w:sz w:val="24"/>
                <w:szCs w:val="24"/>
                <w:vertAlign w:val="baseline"/>
                <w:lang w:val="en-US"/>
              </w:rPr>
              <w:t>-</w:t>
            </w:r>
            <w:r>
              <w:rPr>
                <w:sz w:val="24"/>
                <w:szCs w:val="24"/>
                <w:vertAlign w:val="baseline"/>
              </w:rPr>
              <w:t>Elle oriente vers gastrectomie carcinologique immédiate si cancer confirmé.</w:t>
            </w:r>
          </w:p>
        </w:tc>
      </w:tr>
      <w:tr w14:paraId="0BC6F8DE">
        <w:tc>
          <w:tcPr>
            <w:tcW w:w="427" w:type="dxa"/>
          </w:tcPr>
          <w:p w14:paraId="1BF7BDE0">
            <w:pPr>
              <w:widowControl w:val="0"/>
              <w:numPr>
                <w:ilvl w:val="0"/>
                <w:numId w:val="1"/>
              </w:numPr>
              <w:ind w:left="425" w:leftChars="0" w:hanging="425" w:firstLineChars="0"/>
              <w:jc w:val="both"/>
              <w:rPr>
                <w:vertAlign w:val="baseline"/>
              </w:rPr>
            </w:pPr>
          </w:p>
        </w:tc>
        <w:tc>
          <w:tcPr>
            <w:tcW w:w="607" w:type="dxa"/>
          </w:tcPr>
          <w:p w14:paraId="62C11AE6">
            <w:pPr>
              <w:widowControl w:val="0"/>
              <w:jc w:val="both"/>
              <w:rPr>
                <w:rFonts w:hint="default"/>
                <w:vertAlign w:val="baseline"/>
                <w:lang w:val="en-US"/>
              </w:rPr>
            </w:pPr>
            <w:r>
              <w:rPr>
                <w:rFonts w:hint="default"/>
                <w:vertAlign w:val="baseline"/>
                <w:lang w:val="en-US"/>
              </w:rPr>
              <w:t>D</w:t>
            </w:r>
          </w:p>
        </w:tc>
        <w:tc>
          <w:tcPr>
            <w:tcW w:w="9106" w:type="dxa"/>
          </w:tcPr>
          <w:p w14:paraId="157B4A93">
            <w:pPr>
              <w:widowControl w:val="0"/>
              <w:jc w:val="both"/>
              <w:rPr>
                <w:rFonts w:hint="default"/>
                <w:b/>
                <w:bCs/>
                <w:sz w:val="24"/>
                <w:szCs w:val="24"/>
                <w:vertAlign w:val="baseline"/>
              </w:rPr>
            </w:pPr>
            <w:r>
              <w:rPr>
                <w:rFonts w:hint="default"/>
                <w:b/>
                <w:bCs/>
                <w:sz w:val="24"/>
                <w:szCs w:val="24"/>
                <w:vertAlign w:val="baseline"/>
              </w:rPr>
              <w:t>Attitude thérapeutique ADK gastrique :</w:t>
            </w:r>
          </w:p>
          <w:p w14:paraId="3F8B7259">
            <w:pPr>
              <w:widowControl w:val="0"/>
              <w:jc w:val="both"/>
              <w:rPr>
                <w:rFonts w:hint="default"/>
                <w:sz w:val="24"/>
                <w:szCs w:val="24"/>
                <w:vertAlign w:val="baseline"/>
              </w:rPr>
            </w:pPr>
            <w:r>
              <w:rPr>
                <w:rFonts w:hint="default"/>
                <w:sz w:val="24"/>
                <w:szCs w:val="24"/>
                <w:vertAlign w:val="baseline"/>
              </w:rPr>
              <w:t>- La chirurgie est le seul moyen curateur qui repose sur la résection partielle ou totale de l’estomac avec des marges saines et</w:t>
            </w:r>
          </w:p>
          <w:p w14:paraId="7F26BA15">
            <w:pPr>
              <w:widowControl w:val="0"/>
              <w:jc w:val="both"/>
              <w:rPr>
                <w:rFonts w:hint="default"/>
                <w:sz w:val="24"/>
                <w:szCs w:val="24"/>
                <w:vertAlign w:val="baseline"/>
              </w:rPr>
            </w:pPr>
            <w:r>
              <w:rPr>
                <w:rFonts w:hint="default"/>
                <w:sz w:val="24"/>
                <w:szCs w:val="24"/>
                <w:vertAlign w:val="baseline"/>
              </w:rPr>
              <w:t>un curage ganglionnaire ainsi qu’un rétablissement de la continuité digestive. (*la gastrectomie = trt de choix)</w:t>
            </w:r>
          </w:p>
          <w:p w14:paraId="10652F4E">
            <w:pPr>
              <w:widowControl w:val="0"/>
              <w:jc w:val="both"/>
              <w:rPr>
                <w:rFonts w:hint="default"/>
                <w:b/>
                <w:bCs/>
                <w:sz w:val="24"/>
                <w:szCs w:val="24"/>
                <w:vertAlign w:val="baseline"/>
              </w:rPr>
            </w:pPr>
            <w:r>
              <w:rPr>
                <w:rFonts w:hint="default"/>
                <w:b/>
                <w:bCs/>
                <w:sz w:val="24"/>
                <w:szCs w:val="24"/>
                <w:vertAlign w:val="baseline"/>
              </w:rPr>
              <w:t>1-Traitement curatif :</w:t>
            </w:r>
          </w:p>
          <w:p w14:paraId="4585CA50">
            <w:pPr>
              <w:widowControl w:val="0"/>
              <w:jc w:val="both"/>
              <w:rPr>
                <w:rFonts w:hint="default"/>
                <w:sz w:val="24"/>
                <w:szCs w:val="24"/>
                <w:vertAlign w:val="baseline"/>
              </w:rPr>
            </w:pPr>
            <w:r>
              <w:rPr>
                <w:rFonts w:hint="default"/>
                <w:b/>
                <w:bCs/>
                <w:sz w:val="24"/>
                <w:szCs w:val="24"/>
                <w:vertAlign w:val="baseline"/>
              </w:rPr>
              <w:t>A -*+Tumeur superficielle </w:t>
            </w:r>
            <w:r>
              <w:rPr>
                <w:rFonts w:hint="default"/>
                <w:sz w:val="24"/>
                <w:szCs w:val="24"/>
                <w:vertAlign w:val="baseline"/>
              </w:rPr>
              <w:t>: ne dépasse pas la sous muqueuse ; Confirmation à l’EE, peut simuler un ulcère peptique</w:t>
            </w:r>
          </w:p>
          <w:p w14:paraId="1379A116">
            <w:pPr>
              <w:widowControl w:val="0"/>
              <w:jc w:val="both"/>
              <w:rPr>
                <w:rFonts w:hint="default"/>
                <w:sz w:val="24"/>
                <w:szCs w:val="24"/>
                <w:vertAlign w:val="baseline"/>
              </w:rPr>
            </w:pPr>
            <w:r>
              <w:rPr>
                <w:rFonts w:hint="default"/>
                <w:sz w:val="24"/>
                <w:szCs w:val="24"/>
                <w:vertAlign w:val="baseline"/>
              </w:rPr>
              <w:t>comme il peut prendre la forme d’une lésion polyploïde, elle est de bon pronostic</w:t>
            </w:r>
          </w:p>
          <w:p w14:paraId="5F2C221C">
            <w:pPr>
              <w:widowControl w:val="0"/>
              <w:jc w:val="both"/>
              <w:rPr>
                <w:rFonts w:hint="default"/>
                <w:sz w:val="24"/>
                <w:szCs w:val="24"/>
                <w:vertAlign w:val="baseline"/>
              </w:rPr>
            </w:pPr>
            <w:r>
              <w:rPr>
                <w:rFonts w:hint="default"/>
                <w:sz w:val="24"/>
                <w:szCs w:val="24"/>
                <w:vertAlign w:val="baseline"/>
              </w:rPr>
              <w:t>1. Mucosectomie : Indiquée pour les Tis N0M0 et proposée en cas de T1 N0M0 avec risque opératoire important.</w:t>
            </w:r>
          </w:p>
          <w:p w14:paraId="5A712D51">
            <w:pPr>
              <w:widowControl w:val="0"/>
              <w:jc w:val="both"/>
              <w:rPr>
                <w:rFonts w:hint="default"/>
                <w:sz w:val="24"/>
                <w:szCs w:val="24"/>
                <w:vertAlign w:val="baseline"/>
              </w:rPr>
            </w:pPr>
            <w:r>
              <w:rPr>
                <w:rFonts w:hint="default"/>
                <w:sz w:val="24"/>
                <w:szCs w:val="24"/>
                <w:vertAlign w:val="baseline"/>
              </w:rPr>
              <w:t>2. Résection chirurgicale : T1 N0M0 sans risque opératoire.</w:t>
            </w:r>
          </w:p>
          <w:p w14:paraId="4A5D4A1D">
            <w:pPr>
              <w:widowControl w:val="0"/>
              <w:jc w:val="both"/>
              <w:rPr>
                <w:rFonts w:hint="default"/>
                <w:sz w:val="24"/>
                <w:szCs w:val="24"/>
                <w:vertAlign w:val="baseline"/>
              </w:rPr>
            </w:pPr>
            <w:r>
              <w:rPr>
                <w:rFonts w:hint="default"/>
                <w:sz w:val="24"/>
                <w:szCs w:val="24"/>
                <w:vertAlign w:val="baseline"/>
              </w:rPr>
              <w:t>3. Dans les deux cas, éradication d’HP systématique.</w:t>
            </w:r>
          </w:p>
          <w:p w14:paraId="40AC3FF6">
            <w:pPr>
              <w:widowControl w:val="0"/>
              <w:jc w:val="both"/>
              <w:rPr>
                <w:rFonts w:hint="default"/>
                <w:sz w:val="24"/>
                <w:szCs w:val="24"/>
                <w:vertAlign w:val="baseline"/>
              </w:rPr>
            </w:pPr>
            <w:r>
              <w:rPr>
                <w:rFonts w:hint="default"/>
                <w:b/>
                <w:bCs/>
                <w:sz w:val="24"/>
                <w:szCs w:val="24"/>
                <w:vertAlign w:val="baseline"/>
              </w:rPr>
              <w:t>B -*+Tumeur résécable</w:t>
            </w:r>
            <w:r>
              <w:rPr>
                <w:rFonts w:hint="default"/>
                <w:sz w:val="24"/>
                <w:szCs w:val="24"/>
                <w:vertAlign w:val="baseline"/>
              </w:rPr>
              <w:t xml:space="preserve"> : Immuno-nutrition à l’ORAL-IMPACT 3bq/j pendant 7j.</w:t>
            </w:r>
          </w:p>
          <w:p w14:paraId="744DEA7F">
            <w:pPr>
              <w:widowControl w:val="0"/>
              <w:jc w:val="both"/>
              <w:rPr>
                <w:rFonts w:hint="default"/>
                <w:sz w:val="24"/>
                <w:szCs w:val="24"/>
                <w:vertAlign w:val="baseline"/>
              </w:rPr>
            </w:pPr>
            <w:r>
              <w:rPr>
                <w:rFonts w:hint="default"/>
                <w:sz w:val="24"/>
                <w:szCs w:val="24"/>
                <w:vertAlign w:val="baseline"/>
              </w:rPr>
              <w:t xml:space="preserve">- </w:t>
            </w:r>
            <w:r>
              <w:rPr>
                <w:rFonts w:hint="default"/>
                <w:b/>
                <w:bCs/>
                <w:sz w:val="24"/>
                <w:szCs w:val="24"/>
                <w:vertAlign w:val="baseline"/>
              </w:rPr>
              <w:t>CT péri-opératoire</w:t>
            </w:r>
            <w:r>
              <w:rPr>
                <w:rFonts w:hint="default"/>
                <w:sz w:val="24"/>
                <w:szCs w:val="24"/>
                <w:vertAlign w:val="baseline"/>
              </w:rPr>
              <w:t xml:space="preserve"> (*fortement recommandée) 3 cures avant et 3 cures après faite de 5-FU + Cisplatine+ Epiribucine.</w:t>
            </w:r>
          </w:p>
          <w:p w14:paraId="056E4F72">
            <w:pPr>
              <w:widowControl w:val="0"/>
              <w:jc w:val="both"/>
              <w:rPr>
                <w:rFonts w:hint="default"/>
                <w:sz w:val="24"/>
                <w:szCs w:val="24"/>
                <w:vertAlign w:val="baseline"/>
              </w:rPr>
            </w:pPr>
            <w:r>
              <w:rPr>
                <w:rFonts w:hint="default"/>
                <w:sz w:val="24"/>
                <w:szCs w:val="24"/>
                <w:vertAlign w:val="baseline"/>
              </w:rPr>
              <w:t>-Résection selon la localisation :</w:t>
            </w:r>
          </w:p>
          <w:p w14:paraId="59347530">
            <w:pPr>
              <w:widowControl w:val="0"/>
              <w:jc w:val="both"/>
              <w:rPr>
                <w:rFonts w:hint="default"/>
                <w:sz w:val="24"/>
                <w:szCs w:val="24"/>
                <w:vertAlign w:val="baseline"/>
              </w:rPr>
            </w:pPr>
            <w:r>
              <w:rPr>
                <w:rFonts w:hint="default"/>
                <w:sz w:val="24"/>
                <w:szCs w:val="24"/>
                <w:vertAlign w:val="baseline"/>
              </w:rPr>
              <w:t xml:space="preserve"> </w:t>
            </w:r>
            <w:r>
              <w:rPr>
                <w:rFonts w:hint="default"/>
                <w:b/>
                <w:bCs/>
                <w:sz w:val="24"/>
                <w:szCs w:val="24"/>
                <w:vertAlign w:val="baseline"/>
              </w:rPr>
              <w:t>Si 2/3 supérieurs</w:t>
            </w:r>
            <w:r>
              <w:rPr>
                <w:rFonts w:hint="default"/>
                <w:sz w:val="24"/>
                <w:szCs w:val="24"/>
                <w:vertAlign w:val="baseline"/>
              </w:rPr>
              <w:t xml:space="preserve"> (fundus/Grande courbure) ou linite gastrique, on fait une gastrectomie totale + Anastomose oeso-</w:t>
            </w:r>
          </w:p>
          <w:p w14:paraId="4861AAE3">
            <w:pPr>
              <w:widowControl w:val="0"/>
              <w:jc w:val="both"/>
              <w:rPr>
                <w:rFonts w:hint="default"/>
                <w:sz w:val="24"/>
                <w:szCs w:val="24"/>
                <w:vertAlign w:val="baseline"/>
              </w:rPr>
            </w:pPr>
            <w:r>
              <w:rPr>
                <w:rFonts w:hint="default"/>
                <w:sz w:val="24"/>
                <w:szCs w:val="24"/>
                <w:vertAlign w:val="baseline"/>
              </w:rPr>
              <w:t>jéjunale (anse en Y) + curage D2 (Sans splénectomie D1.5). *+Les complications sont plus nombreuses</w:t>
            </w:r>
          </w:p>
          <w:p w14:paraId="2EF50C04">
            <w:pPr>
              <w:widowControl w:val="0"/>
              <w:jc w:val="both"/>
              <w:rPr>
                <w:rFonts w:hint="default"/>
                <w:sz w:val="24"/>
                <w:szCs w:val="24"/>
                <w:vertAlign w:val="baseline"/>
              </w:rPr>
            </w:pPr>
            <w:r>
              <w:rPr>
                <w:rFonts w:hint="default"/>
                <w:sz w:val="24"/>
                <w:szCs w:val="24"/>
                <w:vertAlign w:val="baseline"/>
              </w:rPr>
              <w:t>(amaigrissement, malabsorption, Dumping syndrome, nécessité de supplémentation en vitamine B12 à vie par voie</w:t>
            </w:r>
          </w:p>
          <w:p w14:paraId="1055E25D">
            <w:pPr>
              <w:widowControl w:val="0"/>
              <w:jc w:val="both"/>
              <w:rPr>
                <w:rFonts w:hint="default"/>
                <w:sz w:val="24"/>
                <w:szCs w:val="24"/>
                <w:vertAlign w:val="baseline"/>
              </w:rPr>
            </w:pPr>
            <w:r>
              <w:rPr>
                <w:rFonts w:hint="default"/>
                <w:sz w:val="24"/>
                <w:szCs w:val="24"/>
                <w:vertAlign w:val="baseline"/>
              </w:rPr>
              <w:t>intra-musculaire, anémie par carence en fer, ulcère anastomosique, diarrhée, malaise postprandial… pas de</w:t>
            </w:r>
          </w:p>
          <w:p w14:paraId="23889845">
            <w:pPr>
              <w:widowControl w:val="0"/>
              <w:jc w:val="both"/>
              <w:rPr>
                <w:rFonts w:hint="default"/>
                <w:sz w:val="24"/>
                <w:szCs w:val="24"/>
                <w:vertAlign w:val="baseline"/>
              </w:rPr>
            </w:pPr>
            <w:r>
              <w:rPr>
                <w:rFonts w:hint="default"/>
                <w:sz w:val="24"/>
                <w:szCs w:val="24"/>
                <w:vertAlign w:val="baseline"/>
              </w:rPr>
              <w:t>constipation ni d’hyperglycémie).</w:t>
            </w:r>
          </w:p>
          <w:p w14:paraId="5E005B63">
            <w:pPr>
              <w:widowControl w:val="0"/>
              <w:jc w:val="both"/>
              <w:rPr>
                <w:rFonts w:hint="default"/>
                <w:sz w:val="24"/>
                <w:szCs w:val="24"/>
                <w:vertAlign w:val="baseline"/>
              </w:rPr>
            </w:pPr>
            <w:r>
              <w:rPr>
                <w:rFonts w:hint="default"/>
                <w:sz w:val="24"/>
                <w:szCs w:val="24"/>
                <w:vertAlign w:val="baseline"/>
              </w:rPr>
              <w:t></w:t>
            </w:r>
            <w:r>
              <w:rPr>
                <w:rFonts w:hint="default"/>
                <w:b/>
                <w:bCs/>
                <w:sz w:val="24"/>
                <w:szCs w:val="24"/>
                <w:vertAlign w:val="baseline"/>
              </w:rPr>
              <w:t xml:space="preserve"> Si tumeur antro-pylorique,</w:t>
            </w:r>
            <w:r>
              <w:rPr>
                <w:rFonts w:hint="default"/>
                <w:sz w:val="24"/>
                <w:szCs w:val="24"/>
                <w:vertAlign w:val="baseline"/>
              </w:rPr>
              <w:t xml:space="preserve"> on fait une gastrectomie des 4/5ème + Anastomose gastro-jéjunale + curage D2.</w:t>
            </w:r>
          </w:p>
          <w:p w14:paraId="5F17D299">
            <w:pPr>
              <w:widowControl w:val="0"/>
              <w:jc w:val="both"/>
              <w:rPr>
                <w:rFonts w:hint="default"/>
                <w:sz w:val="24"/>
                <w:szCs w:val="24"/>
                <w:vertAlign w:val="baseline"/>
              </w:rPr>
            </w:pPr>
            <w:r>
              <w:rPr>
                <w:rFonts w:hint="default"/>
                <w:sz w:val="24"/>
                <w:szCs w:val="24"/>
                <w:vertAlign w:val="baseline"/>
              </w:rPr>
              <w:t xml:space="preserve"> En cas d’absence de CT néo-adjuvante .on propose une RCT adjuvante si la tumeur est de mauvais pronostic.</w:t>
            </w:r>
          </w:p>
          <w:p w14:paraId="04424732">
            <w:pPr>
              <w:widowControl w:val="0"/>
              <w:jc w:val="both"/>
              <w:rPr>
                <w:rFonts w:hint="default"/>
                <w:sz w:val="24"/>
                <w:szCs w:val="24"/>
                <w:vertAlign w:val="baseline"/>
              </w:rPr>
            </w:pPr>
            <w:r>
              <w:rPr>
                <w:rFonts w:hint="default"/>
                <w:sz w:val="24"/>
                <w:szCs w:val="24"/>
                <w:vertAlign w:val="baseline"/>
              </w:rPr>
              <w:t>*Le curage gg est le temps le + long de la chirurgie</w:t>
            </w:r>
          </w:p>
          <w:p w14:paraId="235E150F">
            <w:pPr>
              <w:widowControl w:val="0"/>
              <w:jc w:val="both"/>
              <w:rPr>
                <w:sz w:val="24"/>
                <w:szCs w:val="24"/>
                <w:vertAlign w:val="baseline"/>
              </w:rPr>
            </w:pPr>
            <w:r>
              <w:rPr>
                <w:rFonts w:hint="default"/>
                <w:b/>
                <w:bCs/>
                <w:sz w:val="24"/>
                <w:szCs w:val="24"/>
                <w:vertAlign w:val="baseline"/>
              </w:rPr>
              <w:t>C- Tumeur non résécable, NON métastatique</w:t>
            </w:r>
            <w:r>
              <w:rPr>
                <w:rFonts w:hint="default"/>
                <w:sz w:val="24"/>
                <w:szCs w:val="24"/>
                <w:vertAlign w:val="baseline"/>
              </w:rPr>
              <w:t xml:space="preserve"> : CT première puis réévaluation, si bonne réponse on passe à la résection.</w:t>
            </w:r>
          </w:p>
        </w:tc>
      </w:tr>
      <w:tr w14:paraId="7283F2BD">
        <w:tc>
          <w:tcPr>
            <w:tcW w:w="427" w:type="dxa"/>
          </w:tcPr>
          <w:p w14:paraId="6CE1932D">
            <w:pPr>
              <w:widowControl w:val="0"/>
              <w:numPr>
                <w:ilvl w:val="0"/>
                <w:numId w:val="1"/>
              </w:numPr>
              <w:ind w:left="425" w:leftChars="0" w:hanging="425" w:firstLineChars="0"/>
              <w:jc w:val="both"/>
              <w:rPr>
                <w:vertAlign w:val="baseline"/>
              </w:rPr>
            </w:pPr>
          </w:p>
        </w:tc>
        <w:tc>
          <w:tcPr>
            <w:tcW w:w="607" w:type="dxa"/>
          </w:tcPr>
          <w:p w14:paraId="4793B4EA">
            <w:pPr>
              <w:widowControl w:val="0"/>
              <w:jc w:val="both"/>
              <w:rPr>
                <w:rFonts w:hint="default"/>
                <w:vertAlign w:val="baseline"/>
                <w:lang w:val="en-US"/>
              </w:rPr>
            </w:pPr>
            <w:r>
              <w:rPr>
                <w:rFonts w:hint="default"/>
                <w:vertAlign w:val="baseline"/>
                <w:lang w:val="en-US"/>
              </w:rPr>
              <w:t>C</w:t>
            </w:r>
          </w:p>
        </w:tc>
        <w:tc>
          <w:tcPr>
            <w:tcW w:w="9106" w:type="dxa"/>
          </w:tcPr>
          <w:p w14:paraId="7493910C">
            <w:pPr>
              <w:widowControl w:val="0"/>
              <w:jc w:val="both"/>
              <w:rPr>
                <w:rFonts w:hint="default"/>
                <w:sz w:val="24"/>
                <w:szCs w:val="24"/>
                <w:vertAlign w:val="baseline"/>
                <w:lang w:val="en-US"/>
              </w:rPr>
            </w:pPr>
            <w:r>
              <w:rPr>
                <w:rFonts w:hint="default"/>
                <w:sz w:val="24"/>
                <w:szCs w:val="24"/>
                <w:vertAlign w:val="baseline"/>
                <w:lang w:val="en-US"/>
              </w:rPr>
              <w:drawing>
                <wp:inline distT="0" distB="0" distL="114300" distR="114300">
                  <wp:extent cx="6296660" cy="5255895"/>
                  <wp:effectExtent l="0" t="0" r="2540" b="1905"/>
                  <wp:docPr id="7" name="Picture 7" descr="Screenshot 2026-02-16 at 10.20.4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2-16 at 10.20.47 PM"/>
                          <pic:cNvPicPr>
                            <a:picLocks noChangeAspect="1"/>
                          </pic:cNvPicPr>
                        </pic:nvPicPr>
                        <pic:blipFill>
                          <a:blip r:embed="rId11"/>
                          <a:stretch>
                            <a:fillRect/>
                          </a:stretch>
                        </pic:blipFill>
                        <pic:spPr>
                          <a:xfrm>
                            <a:off x="0" y="0"/>
                            <a:ext cx="6296660" cy="5255895"/>
                          </a:xfrm>
                          <a:prstGeom prst="rect">
                            <a:avLst/>
                          </a:prstGeom>
                        </pic:spPr>
                      </pic:pic>
                    </a:graphicData>
                  </a:graphic>
                </wp:inline>
              </w:drawing>
            </w:r>
          </w:p>
        </w:tc>
      </w:tr>
      <w:tr w14:paraId="7151CBAE">
        <w:tc>
          <w:tcPr>
            <w:tcW w:w="427" w:type="dxa"/>
          </w:tcPr>
          <w:p w14:paraId="49C0091F">
            <w:pPr>
              <w:widowControl w:val="0"/>
              <w:numPr>
                <w:ilvl w:val="0"/>
                <w:numId w:val="1"/>
              </w:numPr>
              <w:ind w:left="425" w:leftChars="0" w:hanging="425" w:firstLineChars="0"/>
              <w:jc w:val="both"/>
              <w:rPr>
                <w:vertAlign w:val="baseline"/>
              </w:rPr>
            </w:pPr>
          </w:p>
        </w:tc>
        <w:tc>
          <w:tcPr>
            <w:tcW w:w="607" w:type="dxa"/>
          </w:tcPr>
          <w:p w14:paraId="3ACF5D34">
            <w:pPr>
              <w:widowControl w:val="0"/>
              <w:jc w:val="both"/>
              <w:rPr>
                <w:rFonts w:hint="default"/>
                <w:vertAlign w:val="baseline"/>
                <w:lang w:val="en-US"/>
              </w:rPr>
            </w:pPr>
            <w:r>
              <w:rPr>
                <w:rFonts w:hint="default"/>
                <w:vertAlign w:val="baseline"/>
                <w:lang w:val="en-US"/>
              </w:rPr>
              <w:t>D</w:t>
            </w:r>
          </w:p>
        </w:tc>
        <w:tc>
          <w:tcPr>
            <w:tcW w:w="9106" w:type="dxa"/>
          </w:tcPr>
          <w:p w14:paraId="340CBAE5">
            <w:pPr>
              <w:widowControl w:val="0"/>
              <w:jc w:val="both"/>
              <w:rPr>
                <w:rFonts w:hint="default"/>
                <w:sz w:val="24"/>
                <w:szCs w:val="24"/>
                <w:vertAlign w:val="baseline"/>
                <w:lang w:val="en-US" w:eastAsia="zh-CN"/>
              </w:rPr>
            </w:pPr>
            <w:r>
              <w:rPr>
                <w:rFonts w:hint="default"/>
                <w:sz w:val="24"/>
                <w:szCs w:val="24"/>
                <w:vertAlign w:val="baseline"/>
                <w:lang w:val="en-US" w:eastAsia="zh-CN"/>
              </w:rPr>
              <w:t>-</w:t>
            </w:r>
            <w:r>
              <w:rPr>
                <w:sz w:val="24"/>
                <w:szCs w:val="24"/>
                <w:vertAlign w:val="baseline"/>
                <w:lang w:val="en-US" w:eastAsia="zh-CN"/>
              </w:rPr>
              <w:t xml:space="preserve">La réalisation d’une EOGD à la recherche de VO en cas de cirrhose se fait si le FibroScan &gt; 20 KPa et le taux de plaquettes &lt; </w:t>
            </w:r>
            <w:r>
              <w:rPr>
                <w:rFonts w:hint="default"/>
                <w:sz w:val="24"/>
                <w:szCs w:val="24"/>
                <w:vertAlign w:val="baseline"/>
                <w:lang w:val="en-US" w:eastAsia="zh-CN"/>
              </w:rPr>
              <w:t>150 000/mm3 (on ne fait pas de fibro systématiquement !)</w:t>
            </w:r>
          </w:p>
          <w:p w14:paraId="2CA31AFA">
            <w:pPr>
              <w:widowControl w:val="0"/>
              <w:jc w:val="both"/>
              <w:rPr>
                <w:rFonts w:hint="default"/>
                <w:sz w:val="24"/>
                <w:szCs w:val="24"/>
                <w:vertAlign w:val="baseline"/>
                <w:lang w:val="en-US" w:eastAsia="zh-CN"/>
              </w:rPr>
            </w:pPr>
            <w:r>
              <w:rPr>
                <w:rFonts w:hint="default"/>
                <w:sz w:val="24"/>
                <w:szCs w:val="24"/>
                <w:vertAlign w:val="baseline"/>
                <w:lang w:val="en-US" w:eastAsia="zh-CN"/>
              </w:rPr>
              <w:t>-</w:t>
            </w:r>
            <w:r>
              <w:rPr>
                <w:rFonts w:hint="default"/>
                <w:b/>
                <w:bCs/>
                <w:sz w:val="24"/>
                <w:szCs w:val="24"/>
                <w:vertAlign w:val="baseline"/>
                <w:lang w:val="en-US" w:eastAsia="zh-CN"/>
              </w:rPr>
              <w:t>algorithme decisionnel devant une hepatite B chronique</w:t>
            </w:r>
          </w:p>
          <w:p w14:paraId="37696990">
            <w:pPr>
              <w:widowControl w:val="0"/>
              <w:jc w:val="both"/>
              <w:rPr>
                <w:rFonts w:hint="default"/>
                <w:sz w:val="24"/>
                <w:szCs w:val="24"/>
                <w:vertAlign w:val="baseline"/>
                <w:lang w:val="en-US" w:eastAsia="zh-CN"/>
              </w:rPr>
            </w:pPr>
            <w:r>
              <w:rPr>
                <w:rFonts w:hint="default"/>
                <w:sz w:val="24"/>
                <w:szCs w:val="24"/>
                <w:vertAlign w:val="baseline"/>
                <w:lang w:val="en-US" w:eastAsia="zh-CN"/>
              </w:rPr>
              <w:drawing>
                <wp:inline distT="0" distB="0" distL="114300" distR="114300">
                  <wp:extent cx="4312920" cy="2439035"/>
                  <wp:effectExtent l="0" t="0" r="5080" b="24765"/>
                  <wp:docPr id="3" name="Picture 3" descr="Screenshot 2026-02-16 at 9.18.0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2-16 at 9.18.00 PM"/>
                          <pic:cNvPicPr>
                            <a:picLocks noChangeAspect="1"/>
                          </pic:cNvPicPr>
                        </pic:nvPicPr>
                        <pic:blipFill>
                          <a:blip r:embed="rId12"/>
                          <a:stretch>
                            <a:fillRect/>
                          </a:stretch>
                        </pic:blipFill>
                        <pic:spPr>
                          <a:xfrm>
                            <a:off x="0" y="0"/>
                            <a:ext cx="4312920" cy="2439035"/>
                          </a:xfrm>
                          <a:prstGeom prst="rect">
                            <a:avLst/>
                          </a:prstGeom>
                        </pic:spPr>
                      </pic:pic>
                    </a:graphicData>
                  </a:graphic>
                </wp:inline>
              </w:drawing>
            </w:r>
            <w:r>
              <w:rPr>
                <w:rFonts w:hint="default"/>
                <w:sz w:val="24"/>
                <w:szCs w:val="24"/>
                <w:vertAlign w:val="baseline"/>
                <w:lang w:val="en-US" w:eastAsia="zh-CN"/>
              </w:rPr>
              <w:drawing>
                <wp:inline distT="0" distB="0" distL="114300" distR="114300">
                  <wp:extent cx="4304030" cy="2599055"/>
                  <wp:effectExtent l="0" t="0" r="13970" b="17145"/>
                  <wp:docPr id="2" name="Picture 2" descr="Screenshot 2026-02-16 at 9.17.2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2-16 at 9.17.24 PM"/>
                          <pic:cNvPicPr>
                            <a:picLocks noChangeAspect="1"/>
                          </pic:cNvPicPr>
                        </pic:nvPicPr>
                        <pic:blipFill>
                          <a:blip r:embed="rId13"/>
                          <a:stretch>
                            <a:fillRect/>
                          </a:stretch>
                        </pic:blipFill>
                        <pic:spPr>
                          <a:xfrm>
                            <a:off x="0" y="0"/>
                            <a:ext cx="4304030" cy="2599055"/>
                          </a:xfrm>
                          <a:prstGeom prst="rect">
                            <a:avLst/>
                          </a:prstGeom>
                        </pic:spPr>
                      </pic:pic>
                    </a:graphicData>
                  </a:graphic>
                </wp:inline>
              </w:drawing>
            </w:r>
          </w:p>
          <w:p w14:paraId="6295E289">
            <w:pPr>
              <w:widowControl w:val="0"/>
              <w:jc w:val="both"/>
              <w:rPr>
                <w:sz w:val="24"/>
                <w:szCs w:val="24"/>
                <w:vertAlign w:val="baseline"/>
              </w:rPr>
            </w:pPr>
          </w:p>
        </w:tc>
      </w:tr>
      <w:tr w14:paraId="29673D6A">
        <w:tc>
          <w:tcPr>
            <w:tcW w:w="427" w:type="dxa"/>
          </w:tcPr>
          <w:p w14:paraId="25F4DB57">
            <w:pPr>
              <w:widowControl w:val="0"/>
              <w:numPr>
                <w:ilvl w:val="0"/>
                <w:numId w:val="1"/>
              </w:numPr>
              <w:ind w:left="425" w:leftChars="0" w:hanging="425" w:firstLineChars="0"/>
              <w:jc w:val="both"/>
              <w:rPr>
                <w:vertAlign w:val="baseline"/>
              </w:rPr>
            </w:pPr>
          </w:p>
        </w:tc>
        <w:tc>
          <w:tcPr>
            <w:tcW w:w="607" w:type="dxa"/>
          </w:tcPr>
          <w:p w14:paraId="378DF65A">
            <w:pPr>
              <w:widowControl w:val="0"/>
              <w:jc w:val="both"/>
              <w:rPr>
                <w:rFonts w:hint="default"/>
                <w:vertAlign w:val="baseline"/>
                <w:lang w:val="en-US"/>
              </w:rPr>
            </w:pPr>
            <w:r>
              <w:rPr>
                <w:rFonts w:hint="default"/>
                <w:vertAlign w:val="baseline"/>
                <w:lang w:val="en-US"/>
              </w:rPr>
              <w:t>A</w:t>
            </w:r>
          </w:p>
        </w:tc>
        <w:tc>
          <w:tcPr>
            <w:tcW w:w="9106" w:type="dxa"/>
          </w:tcPr>
          <w:p w14:paraId="5AAD4679">
            <w:pPr>
              <w:widowControl w:val="0"/>
              <w:jc w:val="both"/>
              <w:rPr>
                <w:rFonts w:hint="default"/>
                <w:sz w:val="24"/>
                <w:szCs w:val="24"/>
                <w:vertAlign w:val="baseline"/>
                <w:lang w:val="en-US"/>
              </w:rPr>
            </w:pPr>
            <w:r>
              <w:rPr>
                <w:rFonts w:hint="default"/>
                <w:sz w:val="24"/>
                <w:szCs w:val="24"/>
                <w:vertAlign w:val="baseline"/>
                <w:lang w:val="en-US"/>
              </w:rPr>
              <w:drawing>
                <wp:inline distT="0" distB="0" distL="114300" distR="114300">
                  <wp:extent cx="4316095" cy="3242945"/>
                  <wp:effectExtent l="0" t="0" r="1905" b="8255"/>
                  <wp:docPr id="4" name="Picture 4" descr="Screenshot 2026-02-16 at 9.26.4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2-16 at 9.26.49 PM"/>
                          <pic:cNvPicPr>
                            <a:picLocks noChangeAspect="1"/>
                          </pic:cNvPicPr>
                        </pic:nvPicPr>
                        <pic:blipFill>
                          <a:blip r:embed="rId14"/>
                          <a:stretch>
                            <a:fillRect/>
                          </a:stretch>
                        </pic:blipFill>
                        <pic:spPr>
                          <a:xfrm>
                            <a:off x="0" y="0"/>
                            <a:ext cx="4316095" cy="3242945"/>
                          </a:xfrm>
                          <a:prstGeom prst="rect">
                            <a:avLst/>
                          </a:prstGeom>
                        </pic:spPr>
                      </pic:pic>
                    </a:graphicData>
                  </a:graphic>
                </wp:inline>
              </w:drawing>
            </w:r>
          </w:p>
        </w:tc>
      </w:tr>
      <w:tr w14:paraId="7845A690">
        <w:tc>
          <w:tcPr>
            <w:tcW w:w="427" w:type="dxa"/>
          </w:tcPr>
          <w:p w14:paraId="1563FB78">
            <w:pPr>
              <w:widowControl w:val="0"/>
              <w:numPr>
                <w:ilvl w:val="0"/>
                <w:numId w:val="1"/>
              </w:numPr>
              <w:ind w:left="425" w:leftChars="0" w:hanging="425" w:firstLineChars="0"/>
              <w:jc w:val="both"/>
              <w:rPr>
                <w:vertAlign w:val="baseline"/>
              </w:rPr>
            </w:pPr>
          </w:p>
        </w:tc>
        <w:tc>
          <w:tcPr>
            <w:tcW w:w="607" w:type="dxa"/>
          </w:tcPr>
          <w:p w14:paraId="151A3F0E">
            <w:pPr>
              <w:widowControl w:val="0"/>
              <w:jc w:val="both"/>
              <w:rPr>
                <w:rFonts w:hint="default"/>
                <w:vertAlign w:val="baseline"/>
                <w:lang w:val="en-US"/>
              </w:rPr>
            </w:pPr>
            <w:r>
              <w:rPr>
                <w:rFonts w:hint="default"/>
                <w:vertAlign w:val="baseline"/>
                <w:lang w:val="en-US"/>
              </w:rPr>
              <w:t>C</w:t>
            </w:r>
          </w:p>
        </w:tc>
        <w:tc>
          <w:tcPr>
            <w:tcW w:w="9106" w:type="dxa"/>
          </w:tcPr>
          <w:p w14:paraId="37626CBD">
            <w:pPr>
              <w:widowControl w:val="0"/>
              <w:jc w:val="both"/>
              <w:rPr>
                <w:sz w:val="24"/>
                <w:szCs w:val="24"/>
                <w:vertAlign w:val="baseline"/>
              </w:rPr>
            </w:pPr>
            <w:r>
              <w:rPr>
                <w:sz w:val="24"/>
                <w:szCs w:val="24"/>
                <w:vertAlign w:val="baseline"/>
                <w:lang w:val="en-US" w:eastAsia="zh-CN"/>
              </w:rPr>
              <w:t>Dans l’hépatite B chronique, on traite (</w:t>
            </w:r>
            <w:r>
              <w:rPr>
                <w:b/>
                <w:bCs/>
                <w:sz w:val="24"/>
                <w:szCs w:val="24"/>
                <w:vertAlign w:val="baseline"/>
                <w:lang w:val="en-US" w:eastAsia="zh-CN"/>
              </w:rPr>
              <w:t xml:space="preserve">Ténofovir ou Entécavir </w:t>
            </w:r>
            <w:r>
              <w:rPr>
                <w:sz w:val="24"/>
                <w:szCs w:val="24"/>
                <w:vertAlign w:val="baseline"/>
                <w:lang w:val="en-US" w:eastAsia="zh-CN"/>
              </w:rPr>
              <w:t xml:space="preserve">comme l’hépatite B aiguë) dans des cas précis (non </w:t>
            </w:r>
            <w:r>
              <w:rPr>
                <w:rFonts w:hint="default"/>
                <w:sz w:val="24"/>
                <w:szCs w:val="24"/>
                <w:vertAlign w:val="baseline"/>
                <w:lang w:val="en-US" w:eastAsia="zh-CN"/>
              </w:rPr>
              <w:t xml:space="preserve">systématique) : </w:t>
            </w:r>
          </w:p>
          <w:p w14:paraId="7D6F63F5">
            <w:pPr>
              <w:widowControl w:val="0"/>
              <w:jc w:val="both"/>
              <w:rPr>
                <w:sz w:val="24"/>
                <w:szCs w:val="24"/>
                <w:vertAlign w:val="baseline"/>
              </w:rPr>
            </w:pPr>
            <w:r>
              <w:rPr>
                <w:rFonts w:hint="default"/>
                <w:sz w:val="24"/>
                <w:szCs w:val="24"/>
                <w:vertAlign w:val="baseline"/>
                <w:lang w:val="en-US" w:eastAsia="zh-CN"/>
              </w:rPr>
              <w:t xml:space="preserve">-Cytolyse &gt; 2N + charge virale élevée (indépendamment du stade fibrose). </w:t>
            </w:r>
          </w:p>
          <w:p w14:paraId="56272426">
            <w:pPr>
              <w:widowControl w:val="0"/>
              <w:jc w:val="both"/>
              <w:rPr>
                <w:sz w:val="24"/>
                <w:szCs w:val="24"/>
                <w:vertAlign w:val="baseline"/>
              </w:rPr>
            </w:pPr>
            <w:r>
              <w:rPr>
                <w:rFonts w:hint="default"/>
                <w:sz w:val="24"/>
                <w:szCs w:val="24"/>
                <w:vertAlign w:val="baseline"/>
                <w:lang w:val="en-US" w:eastAsia="zh-CN"/>
              </w:rPr>
              <w:t>-Cytolyse à la limite de la N + charge virale élevée + ≥ A2F2.</w:t>
            </w:r>
          </w:p>
          <w:p w14:paraId="4BEC8564">
            <w:pPr>
              <w:widowControl w:val="0"/>
              <w:jc w:val="both"/>
              <w:rPr>
                <w:sz w:val="24"/>
                <w:szCs w:val="24"/>
                <w:vertAlign w:val="baseline"/>
              </w:rPr>
            </w:pPr>
            <w:r>
              <w:rPr>
                <w:rFonts w:hint="default"/>
                <w:sz w:val="24"/>
                <w:szCs w:val="24"/>
                <w:vertAlign w:val="baseline"/>
                <w:lang w:val="en-US" w:eastAsia="zh-CN"/>
              </w:rPr>
              <w:t xml:space="preserve">-Cirrhose (dès que la charge virale est détectable, quel que soit le taux des ALAT). </w:t>
            </w:r>
          </w:p>
          <w:p w14:paraId="1371C9C4">
            <w:pPr>
              <w:widowControl w:val="0"/>
              <w:jc w:val="both"/>
              <w:rPr>
                <w:sz w:val="24"/>
                <w:szCs w:val="24"/>
                <w:vertAlign w:val="baseline"/>
              </w:rPr>
            </w:pPr>
            <w:r>
              <w:rPr>
                <w:rFonts w:hint="default"/>
                <w:sz w:val="24"/>
                <w:szCs w:val="24"/>
                <w:vertAlign w:val="baseline"/>
                <w:lang w:val="en-US" w:eastAsia="zh-CN"/>
              </w:rPr>
              <w:t xml:space="preserve">-Portage inactif + FibroScan &gt; 9 ou 12 KPa (selon les transaminases,). </w:t>
            </w:r>
          </w:p>
          <w:p w14:paraId="58066EE9">
            <w:pPr>
              <w:widowControl w:val="0"/>
              <w:jc w:val="both"/>
              <w:rPr>
                <w:sz w:val="24"/>
                <w:szCs w:val="24"/>
                <w:vertAlign w:val="baseline"/>
              </w:rPr>
            </w:pPr>
            <w:r>
              <w:rPr>
                <w:rFonts w:hint="default"/>
                <w:sz w:val="24"/>
                <w:szCs w:val="24"/>
                <w:vertAlign w:val="baseline"/>
                <w:lang w:val="en-US" w:eastAsia="zh-CN"/>
              </w:rPr>
              <w:t xml:space="preserve">-Portage inactif dans le cas d’une chimiothérapie ou d’un trt immunosuppresseur. </w:t>
            </w:r>
          </w:p>
          <w:p w14:paraId="4CDF799B">
            <w:pPr>
              <w:widowControl w:val="0"/>
              <w:jc w:val="both"/>
              <w:rPr>
                <w:sz w:val="24"/>
                <w:szCs w:val="24"/>
                <w:vertAlign w:val="baseline"/>
              </w:rPr>
            </w:pPr>
            <w:r>
              <w:rPr>
                <w:rFonts w:hint="default"/>
                <w:sz w:val="24"/>
                <w:szCs w:val="24"/>
                <w:vertAlign w:val="baseline"/>
                <w:lang w:val="en-US" w:eastAsia="zh-CN"/>
              </w:rPr>
              <w:t>-Immunotolérant + ≥ A2F2.</w:t>
            </w:r>
          </w:p>
        </w:tc>
      </w:tr>
      <w:tr w14:paraId="2E4FD48C">
        <w:tc>
          <w:tcPr>
            <w:tcW w:w="427" w:type="dxa"/>
          </w:tcPr>
          <w:p w14:paraId="1C099CF1">
            <w:pPr>
              <w:widowControl w:val="0"/>
              <w:numPr>
                <w:ilvl w:val="0"/>
                <w:numId w:val="1"/>
              </w:numPr>
              <w:ind w:left="425" w:leftChars="0" w:hanging="425" w:firstLineChars="0"/>
              <w:jc w:val="both"/>
              <w:rPr>
                <w:vertAlign w:val="baseline"/>
              </w:rPr>
            </w:pPr>
          </w:p>
        </w:tc>
        <w:tc>
          <w:tcPr>
            <w:tcW w:w="607" w:type="dxa"/>
          </w:tcPr>
          <w:p w14:paraId="2C850EC5">
            <w:pPr>
              <w:widowControl w:val="0"/>
              <w:jc w:val="both"/>
              <w:rPr>
                <w:rFonts w:hint="default"/>
                <w:vertAlign w:val="baseline"/>
                <w:lang w:val="en-US"/>
              </w:rPr>
            </w:pPr>
            <w:r>
              <w:rPr>
                <w:rFonts w:hint="default"/>
                <w:vertAlign w:val="baseline"/>
                <w:lang w:val="en-US"/>
              </w:rPr>
              <w:t>A</w:t>
            </w:r>
          </w:p>
        </w:tc>
        <w:tc>
          <w:tcPr>
            <w:tcW w:w="9106" w:type="dxa"/>
          </w:tcPr>
          <w:p w14:paraId="302E02AC">
            <w:pPr>
              <w:widowControl w:val="0"/>
              <w:jc w:val="both"/>
              <w:rPr>
                <w:rFonts w:hint="default"/>
                <w:sz w:val="24"/>
                <w:szCs w:val="24"/>
                <w:vertAlign w:val="baseline"/>
                <w:lang w:val="en-US"/>
              </w:rPr>
            </w:pPr>
            <w:r>
              <w:rPr>
                <w:sz w:val="24"/>
                <w:szCs w:val="24"/>
                <w:vertAlign w:val="baseline"/>
              </w:rPr>
              <w:t>Suivi de la charge virale VHB (ADN VHB)</w:t>
            </w:r>
            <w:r>
              <w:rPr>
                <w:rFonts w:hint="default"/>
                <w:sz w:val="24"/>
                <w:szCs w:val="24"/>
                <w:vertAlign w:val="baseline"/>
                <w:lang w:val="en-US"/>
              </w:rPr>
              <w:t xml:space="preserve"> par PCR</w:t>
            </w:r>
          </w:p>
          <w:p w14:paraId="436CE127">
            <w:pPr>
              <w:widowControl w:val="0"/>
              <w:jc w:val="both"/>
              <w:rPr>
                <w:sz w:val="24"/>
                <w:szCs w:val="24"/>
                <w:vertAlign w:val="baseline"/>
              </w:rPr>
            </w:pPr>
            <w:r>
              <w:rPr>
                <w:rFonts w:hint="default"/>
                <w:sz w:val="24"/>
                <w:szCs w:val="24"/>
                <w:vertAlign w:val="baseline"/>
                <w:lang w:val="en-US"/>
              </w:rPr>
              <w:t>-</w:t>
            </w:r>
            <w:r>
              <w:rPr>
                <w:sz w:val="24"/>
                <w:szCs w:val="24"/>
                <w:vertAlign w:val="baseline"/>
              </w:rPr>
              <w:t>Objectif : ADN indétectable</w:t>
            </w:r>
          </w:p>
          <w:p w14:paraId="18D463CB">
            <w:pPr>
              <w:widowControl w:val="0"/>
              <w:jc w:val="both"/>
              <w:rPr>
                <w:sz w:val="24"/>
                <w:szCs w:val="24"/>
                <w:vertAlign w:val="baseline"/>
              </w:rPr>
            </w:pPr>
            <w:r>
              <w:rPr>
                <w:rFonts w:hint="default"/>
                <w:sz w:val="24"/>
                <w:szCs w:val="24"/>
                <w:vertAlign w:val="baseline"/>
                <w:lang w:val="en-US"/>
              </w:rPr>
              <w:t>-</w:t>
            </w:r>
            <w:r>
              <w:rPr>
                <w:sz w:val="24"/>
                <w:szCs w:val="24"/>
                <w:vertAlign w:val="baseline"/>
              </w:rPr>
              <w:t>La séroconversion HBe est inutile ici car le patient est déjà Ag HBe négatif.</w:t>
            </w:r>
          </w:p>
        </w:tc>
      </w:tr>
      <w:tr w14:paraId="03C8FE80">
        <w:tc>
          <w:tcPr>
            <w:tcW w:w="427" w:type="dxa"/>
          </w:tcPr>
          <w:p w14:paraId="11A156E0">
            <w:pPr>
              <w:widowControl w:val="0"/>
              <w:numPr>
                <w:ilvl w:val="0"/>
                <w:numId w:val="1"/>
              </w:numPr>
              <w:ind w:left="425" w:leftChars="0" w:hanging="425" w:firstLineChars="0"/>
              <w:jc w:val="both"/>
              <w:rPr>
                <w:vertAlign w:val="baseline"/>
              </w:rPr>
            </w:pPr>
          </w:p>
        </w:tc>
        <w:tc>
          <w:tcPr>
            <w:tcW w:w="607" w:type="dxa"/>
          </w:tcPr>
          <w:p w14:paraId="0805A059">
            <w:pPr>
              <w:widowControl w:val="0"/>
              <w:jc w:val="both"/>
              <w:rPr>
                <w:rFonts w:hint="default"/>
                <w:vertAlign w:val="baseline"/>
                <w:lang w:val="en-US"/>
              </w:rPr>
            </w:pPr>
            <w:r>
              <w:rPr>
                <w:rFonts w:hint="default"/>
                <w:vertAlign w:val="baseline"/>
                <w:lang w:val="en-US"/>
              </w:rPr>
              <w:t>D</w:t>
            </w:r>
          </w:p>
        </w:tc>
        <w:tc>
          <w:tcPr>
            <w:tcW w:w="9106" w:type="dxa"/>
          </w:tcPr>
          <w:p w14:paraId="52A48B0D">
            <w:pPr>
              <w:widowControl w:val="0"/>
              <w:jc w:val="both"/>
              <w:rPr>
                <w:rFonts w:hint="default"/>
                <w:b/>
                <w:bCs/>
                <w:sz w:val="24"/>
                <w:szCs w:val="24"/>
                <w:vertAlign w:val="baseline"/>
                <w:lang w:val="en-US"/>
              </w:rPr>
            </w:pPr>
            <w:r>
              <w:rPr>
                <w:rFonts w:hint="default"/>
                <w:b/>
                <w:bCs/>
                <w:sz w:val="24"/>
                <w:szCs w:val="24"/>
                <w:vertAlign w:val="baseline"/>
                <w:lang w:val="en-US"/>
              </w:rPr>
              <w:t>-</w:t>
            </w:r>
            <w:r>
              <w:rPr>
                <w:b/>
                <w:bCs/>
                <w:sz w:val="24"/>
                <w:szCs w:val="24"/>
                <w:vertAlign w:val="baseline"/>
              </w:rPr>
              <w:t>Echographie semestrielle</w:t>
            </w:r>
            <w:r>
              <w:rPr>
                <w:rFonts w:hint="default"/>
                <w:b/>
                <w:bCs/>
                <w:sz w:val="24"/>
                <w:szCs w:val="24"/>
                <w:vertAlign w:val="baseline"/>
                <w:lang w:val="en-US"/>
              </w:rPr>
              <w:t xml:space="preserve">  de dépistage de CHC sur foie de cirhose:</w:t>
            </w:r>
          </w:p>
          <w:p w14:paraId="2400ED7D">
            <w:pPr>
              <w:widowControl w:val="0"/>
              <w:jc w:val="both"/>
              <w:rPr>
                <w:rFonts w:hint="default"/>
                <w:b/>
                <w:bCs/>
                <w:sz w:val="24"/>
                <w:szCs w:val="24"/>
                <w:vertAlign w:val="baseline"/>
                <w:lang w:val="en-US"/>
              </w:rPr>
            </w:pPr>
          </w:p>
          <w:p w14:paraId="00F9D37D">
            <w:pPr>
              <w:widowControl w:val="0"/>
              <w:jc w:val="both"/>
              <w:rPr>
                <w:sz w:val="24"/>
                <w:szCs w:val="24"/>
                <w:vertAlign w:val="baseline"/>
              </w:rPr>
            </w:pPr>
            <w:r>
              <w:rPr>
                <w:rFonts w:hint="default"/>
                <w:sz w:val="24"/>
                <w:szCs w:val="24"/>
                <w:vertAlign w:val="baseline"/>
                <w:lang w:val="en-US"/>
              </w:rPr>
              <w:t>-</w:t>
            </w:r>
            <w:r>
              <w:rPr>
                <w:sz w:val="24"/>
                <w:szCs w:val="24"/>
                <w:vertAlign w:val="baseline"/>
              </w:rPr>
              <w:t>Méthode simple</w:t>
            </w:r>
          </w:p>
          <w:p w14:paraId="269C9533">
            <w:pPr>
              <w:widowControl w:val="0"/>
              <w:jc w:val="both"/>
              <w:rPr>
                <w:sz w:val="24"/>
                <w:szCs w:val="24"/>
                <w:vertAlign w:val="baseline"/>
              </w:rPr>
            </w:pPr>
            <w:bookmarkStart w:id="0" w:name="_GoBack"/>
            <w:bookmarkEnd w:id="0"/>
            <w:r>
              <w:rPr>
                <w:rFonts w:hint="default"/>
                <w:sz w:val="24"/>
                <w:szCs w:val="24"/>
                <w:vertAlign w:val="baseline"/>
                <w:lang w:val="en-US"/>
              </w:rPr>
              <w:t>-</w:t>
            </w:r>
            <w:r>
              <w:rPr>
                <w:sz w:val="24"/>
                <w:szCs w:val="24"/>
                <w:vertAlign w:val="baseline"/>
              </w:rPr>
              <w:t>Peu coûteuse</w:t>
            </w:r>
          </w:p>
          <w:p w14:paraId="302B6DF5">
            <w:pPr>
              <w:widowControl w:val="0"/>
              <w:jc w:val="both"/>
              <w:rPr>
                <w:sz w:val="24"/>
                <w:szCs w:val="24"/>
                <w:vertAlign w:val="baseline"/>
              </w:rPr>
            </w:pPr>
            <w:r>
              <w:rPr>
                <w:rFonts w:hint="default"/>
                <w:sz w:val="24"/>
                <w:szCs w:val="24"/>
                <w:vertAlign w:val="baseline"/>
                <w:lang w:val="en-US"/>
              </w:rPr>
              <w:t>-</w:t>
            </w:r>
            <w:r>
              <w:rPr>
                <w:sz w:val="24"/>
                <w:szCs w:val="24"/>
                <w:vertAlign w:val="baseline"/>
              </w:rPr>
              <w:t>Recommandée chez tout cirrhotique</w:t>
            </w:r>
          </w:p>
          <w:p w14:paraId="6760F53B">
            <w:pPr>
              <w:widowControl w:val="0"/>
              <w:jc w:val="both"/>
              <w:rPr>
                <w:sz w:val="24"/>
                <w:szCs w:val="24"/>
                <w:vertAlign w:val="baseline"/>
              </w:rPr>
            </w:pPr>
            <w:r>
              <w:rPr>
                <w:rFonts w:hint="default"/>
                <w:sz w:val="24"/>
                <w:szCs w:val="24"/>
                <w:vertAlign w:val="baseline"/>
                <w:lang w:val="en-US"/>
              </w:rPr>
              <w:t>-</w:t>
            </w:r>
            <w:r>
              <w:rPr>
                <w:sz w:val="24"/>
                <w:szCs w:val="24"/>
                <w:vertAlign w:val="baseline"/>
              </w:rPr>
              <w:t>Souvent associée au dosage AFP</w:t>
            </w:r>
          </w:p>
          <w:p w14:paraId="5E91B5E7">
            <w:pPr>
              <w:widowControl w:val="0"/>
              <w:jc w:val="both"/>
              <w:rPr>
                <w:rFonts w:hint="default"/>
                <w:sz w:val="24"/>
                <w:szCs w:val="24"/>
                <w:vertAlign w:val="baseline"/>
                <w:lang w:val="en-US"/>
              </w:rPr>
            </w:pPr>
            <w:r>
              <w:rPr>
                <w:rFonts w:hint="default"/>
                <w:sz w:val="24"/>
                <w:szCs w:val="24"/>
                <w:vertAlign w:val="baseline"/>
                <w:lang w:val="en-US"/>
              </w:rPr>
              <w:drawing>
                <wp:inline distT="0" distB="0" distL="114300" distR="114300">
                  <wp:extent cx="5475605" cy="3075940"/>
                  <wp:effectExtent l="0" t="0" r="10795" b="22860"/>
                  <wp:docPr id="5" name="Picture 5" descr="Screenshot 2026-02-16 at 9.46.3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2-16 at 9.46.38 PM"/>
                          <pic:cNvPicPr>
                            <a:picLocks noChangeAspect="1"/>
                          </pic:cNvPicPr>
                        </pic:nvPicPr>
                        <pic:blipFill>
                          <a:blip r:embed="rId9"/>
                          <a:stretch>
                            <a:fillRect/>
                          </a:stretch>
                        </pic:blipFill>
                        <pic:spPr>
                          <a:xfrm>
                            <a:off x="0" y="0"/>
                            <a:ext cx="5475605" cy="3075940"/>
                          </a:xfrm>
                          <a:prstGeom prst="rect">
                            <a:avLst/>
                          </a:prstGeom>
                        </pic:spPr>
                      </pic:pic>
                    </a:graphicData>
                  </a:graphic>
                </wp:inline>
              </w:drawing>
            </w:r>
          </w:p>
          <w:p w14:paraId="4253A50A">
            <w:pPr>
              <w:widowControl w:val="0"/>
              <w:jc w:val="both"/>
              <w:rPr>
                <w:rFonts w:hint="default"/>
                <w:sz w:val="24"/>
                <w:szCs w:val="24"/>
                <w:vertAlign w:val="baseline"/>
                <w:lang w:val="en-US"/>
              </w:rPr>
            </w:pPr>
            <w:r>
              <w:rPr>
                <w:rFonts w:hint="default"/>
                <w:sz w:val="24"/>
                <w:szCs w:val="24"/>
                <w:vertAlign w:val="baseline"/>
                <w:lang w:val="en-US"/>
              </w:rPr>
              <w:drawing>
                <wp:inline distT="0" distB="0" distL="114300" distR="114300">
                  <wp:extent cx="5441315" cy="3045460"/>
                  <wp:effectExtent l="0" t="0" r="19685" b="2540"/>
                  <wp:docPr id="6" name="Picture 6" descr="Screenshot 2026-02-16 at 9.47.1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2-16 at 9.47.17 PM"/>
                          <pic:cNvPicPr>
                            <a:picLocks noChangeAspect="1"/>
                          </pic:cNvPicPr>
                        </pic:nvPicPr>
                        <pic:blipFill>
                          <a:blip r:embed="rId15"/>
                          <a:stretch>
                            <a:fillRect/>
                          </a:stretch>
                        </pic:blipFill>
                        <pic:spPr>
                          <a:xfrm>
                            <a:off x="0" y="0"/>
                            <a:ext cx="5441315" cy="3045460"/>
                          </a:xfrm>
                          <a:prstGeom prst="rect">
                            <a:avLst/>
                          </a:prstGeom>
                        </pic:spPr>
                      </pic:pic>
                    </a:graphicData>
                  </a:graphic>
                </wp:inline>
              </w:drawing>
            </w:r>
          </w:p>
        </w:tc>
      </w:tr>
    </w:tbl>
    <w:p w14:paraId="7A3E63A0">
      <w:pPr>
        <w:spacing w:before="240" w:after="240"/>
        <w:rPr>
          <w:rtl w:val="0"/>
        </w:rPr>
      </w:pPr>
    </w:p>
    <w:p w14:paraId="00000035"/>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65844F1D-4591-77D4-761C-9769ED02F5FD}"/>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embedRegular r:id="rId2" w:fontKey="{5748E961-144A-EDFC-761C-9769D1C7CFE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Arial">
    <w:panose1 w:val="020B0704020202020204"/>
    <w:charset w:val="86"/>
    <w:family w:val="swiss"/>
    <w:pitch w:val="default"/>
    <w:sig w:usb0="E0002AFF" w:usb1="C0007843" w:usb2="00000009" w:usb3="00000000" w:csb0="400001FF" w:csb1="FFFF0000"/>
    <w:embedRegular r:id="rId3" w:fontKey="{1852F940-5982-1BC9-761C-97695D2A7A3A}"/>
  </w:font>
  <w:font w:name="Comic Sans MS">
    <w:panose1 w:val="030F0902030302020204"/>
    <w:charset w:val="00"/>
    <w:family w:val="auto"/>
    <w:pitch w:val="default"/>
    <w:sig w:usb0="00000287" w:usb1="00000000" w:usb2="00000000" w:usb3="00000000" w:csb0="2000009F" w:csb1="00000000"/>
    <w:embedRegular r:id="rId4" w:fontKey="{5CA8BF40-A77B-A888-761C-9769088D7D2B}"/>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Cambria">
    <w:altName w:val="苹方-简"/>
    <w:panose1 w:val="00000000000000000000"/>
    <w:charset w:val="00"/>
    <w:family w:val="auto"/>
    <w:pitch w:val="default"/>
    <w:sig w:usb0="00000000" w:usb1="00000000" w:usb2="00000000" w:usb3="00000000" w:csb0="00000000" w:csb1="00000000"/>
  </w:font>
  <w:font w:name="SimSun">
    <w:altName w:val="汉仪书宋二KW"/>
    <w:panose1 w:val="02010600030101010101"/>
    <w:charset w:val="86"/>
    <w:family w:val="auto"/>
    <w:pitch w:val="default"/>
    <w:sig w:usb0="00000000" w:usb1="00000000" w:usb2="00000010" w:usb3="00000000" w:csb0="00040001" w:csb1="00000000"/>
  </w:font>
  <w:font w:name="Candara">
    <w:altName w:val="苹方-简"/>
    <w:panose1 w:val="00000000000000000000"/>
    <w:charset w:val="00"/>
    <w:family w:val="auto"/>
    <w:pitch w:val="default"/>
    <w:sig w:usb0="00000000" w:usb1="00000000" w:usb2="00000000" w:usb3="00000000" w:csb0="00000000" w:csb1="00000000"/>
  </w:font>
  <w:font w:name="-webkit-standard">
    <w:altName w:val="苹方-简"/>
    <w:panose1 w:val="00000000000000000000"/>
    <w:charset w:val="00"/>
    <w:family w:val="auto"/>
    <w:pitch w:val="default"/>
    <w:sig w:usb0="00000000" w:usb1="00000000" w:usb2="00000000" w:usb3="00000000" w:csb0="00000000" w:csb1="00000000"/>
  </w:font>
  <w:font w:name="Times New Roman Bold">
    <w:panose1 w:val="02020603050405020304"/>
    <w:charset w:val="00"/>
    <w:family w:val="auto"/>
    <w:pitch w:val="default"/>
    <w:sig w:usb0="E0002AEF" w:usb1="C0007841" w:usb2="00000009" w:usb3="00000000" w:csb0="400001FF" w:csb1="FFFF0000"/>
    <w:embedRegular r:id="rId5" w:fontKey="{1DB86B2E-7B31-4A6F-761C-97697F1560D7}"/>
  </w:font>
  <w:font w:name="sans-serif">
    <w:altName w:val="苹方-简"/>
    <w:panose1 w:val="00000000000000000000"/>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B33E8A"/>
    <w:multiLevelType w:val="singleLevel"/>
    <w:tmpl w:val="B5B33E8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BDC77519"/>
    <w:multiLevelType w:val="singleLevel"/>
    <w:tmpl w:val="BDC7751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DFFFA617"/>
    <w:multiLevelType w:val="singleLevel"/>
    <w:tmpl w:val="DFFFA61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FAB6AF10"/>
    <w:multiLevelType w:val="singleLevel"/>
    <w:tmpl w:val="FAB6AF10"/>
    <w:lvl w:ilvl="0" w:tentative="0">
      <w:start w:val="1"/>
      <w:numFmt w:val="decimal"/>
      <w:lvlText w:val="%1."/>
      <w:lvlJc w:val="left"/>
      <w:pPr>
        <w:tabs>
          <w:tab w:val="left" w:pos="425"/>
        </w:tabs>
        <w:ind w:left="425" w:leftChars="0" w:hanging="425" w:firstLineChars="0"/>
      </w:pPr>
      <w:rPr>
        <w:rFonts w:hint="default"/>
      </w:rPr>
    </w:lvl>
  </w:abstractNum>
  <w:abstractNum w:abstractNumId="4">
    <w:nsid w:val="FBDFBA63"/>
    <w:multiLevelType w:val="singleLevel"/>
    <w:tmpl w:val="FBDFBA6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FFEDC60D"/>
    <w:multiLevelType w:val="singleLevel"/>
    <w:tmpl w:val="FFEDC60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3A162D41"/>
    <w:multiLevelType w:val="multilevel"/>
    <w:tmpl w:val="3A162D41"/>
    <w:lvl w:ilvl="0" w:tentative="0">
      <w:start w:val="1"/>
      <w:numFmt w:val="bullet"/>
      <w:lvlText w:val="o"/>
      <w:lvlJc w:val="left"/>
      <w:pPr>
        <w:ind w:left="720" w:hanging="360"/>
      </w:pPr>
      <w:rPr>
        <w:rFonts w:hint="default" w:ascii="Courier New" w:hAnsi="Courier New" w:cs="Courier New"/>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3"/>
  </w:num>
  <w:num w:numId="2">
    <w:abstractNumId w:val="0"/>
  </w:num>
  <w:num w:numId="3">
    <w:abstractNumId w:val="1"/>
  </w:num>
  <w:num w:numId="4">
    <w:abstractNumId w:val="5"/>
  </w:num>
  <w:num w:numId="5">
    <w:abstractNumId w:val="4"/>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57DDFF59"/>
    <w:rsid w:val="BF3AEBD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fr"/>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iCs/>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8"/>
    <w:qFormat/>
    <w:uiPriority w:val="0"/>
    <w:rPr>
      <w:b/>
      <w:bCs/>
    </w:rPr>
  </w:style>
  <w:style w:type="paragraph" w:styleId="12">
    <w:name w:val="Subtitle"/>
    <w:basedOn w:val="1"/>
    <w:next w:val="1"/>
    <w:uiPriority w:val="0"/>
    <w:pPr>
      <w:keepNext/>
      <w:keepLines/>
      <w:pageBreakBefore w:val="0"/>
      <w:spacing w:before="0" w:after="320"/>
    </w:pPr>
    <w:rPr>
      <w:rFonts w:ascii="Arial" w:hAnsi="Arial" w:eastAsia="Arial" w:cs="Arial"/>
      <w:color w:val="666666"/>
      <w:sz w:val="30"/>
      <w:szCs w:val="30"/>
    </w:rPr>
  </w:style>
  <w:style w:type="table" w:styleId="13">
    <w:name w:val="Table Grid"/>
    <w:basedOn w:val="9"/>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itle"/>
    <w:basedOn w:val="1"/>
    <w:next w:val="1"/>
    <w:uiPriority w:val="0"/>
    <w:pPr>
      <w:keepNext/>
      <w:keepLines/>
      <w:pageBreakBefore w:val="0"/>
      <w:spacing w:before="0" w:after="60"/>
    </w:pPr>
    <w:rPr>
      <w:sz w:val="52"/>
      <w:szCs w:val="52"/>
    </w:rPr>
  </w:style>
  <w:style w:type="table" w:customStyle="1" w:styleId="15">
    <w:name w:val="TableNormal"/>
    <w:uiPriority w:val="0"/>
    <w:tblPr>
      <w:tblCellMar>
        <w:top w:w="100" w:type="dxa"/>
        <w:left w:w="100" w:type="dxa"/>
        <w:bottom w:w="100" w:type="dxa"/>
        <w:right w:w="100" w:type="dxa"/>
      </w:tblCellMar>
    </w:tblPr>
  </w:style>
  <w:style w:type="paragraph" w:styleId="16">
    <w:name w:val="List Paragraph"/>
    <w:basedOn w:val="1"/>
    <w:qFormat/>
    <w:uiPriority w:val="34"/>
    <w:pPr>
      <w:ind w:left="720"/>
      <w:contextualSpacing/>
    </w:pPr>
  </w:style>
  <w:style w:type="paragraph" w:customStyle="1" w:styleId="17">
    <w:name w:val="Default"/>
    <w:uiPriority w:val="0"/>
    <w:pPr>
      <w:autoSpaceDE w:val="0"/>
      <w:autoSpaceDN w:val="0"/>
      <w:adjustRightInd w:val="0"/>
      <w:spacing w:after="0" w:line="240" w:lineRule="auto"/>
    </w:pPr>
    <w:rPr>
      <w:rFonts w:ascii="Candara" w:hAnsi="Candara" w:cs="Candara" w:eastAsiaTheme="minorHAnsi"/>
      <w:color w:val="000000"/>
      <w:sz w:val="24"/>
      <w:szCs w:val="24"/>
      <w:lang w:val="fr-FR"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25</Pages>
  <TotalTime>2</TotalTime>
  <ScaleCrop>false</ScaleCrop>
  <LinksUpToDate>false</LinksUpToDate>
  <Application>WPS Office_6.11.0.8615_F1E327BC-269C-435d-A152-05C5408002CA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2026-02-19T10:19:00Z</dcterms:created>
  <dc:creator>Data</dc:creator>
  <cp:lastModifiedBy>Hocine Kessi</cp:lastModifiedBy>
  <dcterms:modified xsi:type="dcterms:W3CDTF">2026-02-19T15:21:42Z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1033-6.11.0.8615</vt:lpwstr>
  </property>
  <property fmtid="{D5CDD505-2E9C-101B-9397-08002B2CF9AE}" pid="3" name="ICV">
    <vt:lpwstr>48A5F4E22B228204BDEC9669B828856C_42</vt:lpwstr>
  </property>
</Properties>
</file>