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65EBC" w14:textId="5B6DB188" w:rsidR="000A0349" w:rsidRDefault="00A94FCD">
      <w:pPr>
        <w:pStyle w:val="Title"/>
        <w:jc w:val="center"/>
      </w:pPr>
      <w:r>
        <w:t>A History of the AI Transition</w:t>
      </w:r>
    </w:p>
    <w:p w14:paraId="64ED36EC" w14:textId="77777777" w:rsidR="00BC2141" w:rsidRDefault="00BC2141">
      <w:r>
        <w:t>Roger Ison, roger@miximum.info</w:t>
      </w:r>
    </w:p>
    <w:p w14:paraId="7B60F9C3" w14:textId="77777777" w:rsidR="000A0349" w:rsidRDefault="00000000">
      <w:pPr>
        <w:pStyle w:val="Heading1"/>
      </w:pPr>
      <w:r>
        <w:t>Abstract</w:t>
      </w:r>
    </w:p>
    <w:p w14:paraId="525A9B9C" w14:textId="3A5A9B80" w:rsidR="000A0349" w:rsidRDefault="00000000">
      <w:r>
        <w:t>EconomySim is a stock-flow-consistent macroeconomic simulation of an economy transitioning toward advanced</w:t>
      </w:r>
      <w:r w:rsidR="00885BB5">
        <w:t>, machine-intelligence driven</w:t>
      </w:r>
      <w:r>
        <w:t xml:space="preserve"> automation. This document </w:t>
      </w:r>
      <w:r w:rsidR="007D08D5">
        <w:t>explains</w:t>
      </w:r>
      <w:r>
        <w:t xml:space="preserve"> the model’s conceptual policy layer </w:t>
      </w:r>
      <w:r w:rsidR="000B7C76">
        <w:t>(</w:t>
      </w:r>
      <w:r>
        <w:t>taxes, transfers, social ownership rules, and automatic stabilizers</w:t>
      </w:r>
      <w:r w:rsidR="000B7C76">
        <w:t>)</w:t>
      </w:r>
      <w:r w:rsidR="0035143B">
        <w:t xml:space="preserve"> </w:t>
      </w:r>
      <w:r>
        <w:t xml:space="preserve">and </w:t>
      </w:r>
      <w:r w:rsidR="007D08D5">
        <w:t>describes</w:t>
      </w:r>
      <w:r>
        <w:t xml:space="preserve"> each mechanism in plain terms so non-modelers can understand what institutional choices are being assumed.</w:t>
      </w:r>
    </w:p>
    <w:p w14:paraId="79108D8E" w14:textId="77777777" w:rsidR="000A0349" w:rsidRDefault="00000000">
      <w:r>
        <w:t>The core policy package includes:</w:t>
      </w:r>
    </w:p>
    <w:p w14:paraId="0B137148" w14:textId="3261D9D1" w:rsidR="000A0349" w:rsidRDefault="00000000">
      <w:pPr>
        <w:pStyle w:val="ListBullet"/>
      </w:pPr>
      <w:r>
        <w:t xml:space="preserve">a Social Wealth Trust (FUND) that accumulates </w:t>
      </w:r>
      <w:r w:rsidR="00116EA9">
        <w:t xml:space="preserve">equity </w:t>
      </w:r>
      <w:r>
        <w:t>ownership over time (with an explicit cap</w:t>
      </w:r>
      <w:proofErr w:type="gramStart"/>
      <w:r>
        <w:t>);</w:t>
      </w:r>
      <w:proofErr w:type="gramEnd"/>
    </w:p>
    <w:p w14:paraId="03ED91D4" w14:textId="77777777" w:rsidR="000A0349" w:rsidRDefault="00000000">
      <w:pPr>
        <w:pStyle w:val="ListBullet"/>
      </w:pPr>
      <w:r>
        <w:t>a Universal Basic Income (UBI) computed to maintain a baseline real-income pool and constrained by a ratchet (non-decreasing</w:t>
      </w:r>
      <w:proofErr w:type="gramStart"/>
      <w:r>
        <w:t>);</w:t>
      </w:r>
      <w:proofErr w:type="gramEnd"/>
    </w:p>
    <w:p w14:paraId="4C002E1C" w14:textId="77777777" w:rsidR="000A0349" w:rsidRDefault="00000000">
      <w:pPr>
        <w:pStyle w:val="ListBullet"/>
      </w:pPr>
      <w:r>
        <w:t>a value-added tax (VAT) paired with a targeted low-income VAT credit (prebate</w:t>
      </w:r>
      <w:proofErr w:type="gramStart"/>
      <w:r>
        <w:t>);</w:t>
      </w:r>
      <w:proofErr w:type="gramEnd"/>
    </w:p>
    <w:p w14:paraId="3DF5B593" w14:textId="77777777" w:rsidR="000A0349" w:rsidRDefault="00000000">
      <w:pPr>
        <w:pStyle w:val="ListBullet"/>
      </w:pPr>
      <w:r>
        <w:t>a marginal income tax above a percentile-defined cutoff (with UBI excluded from the income-tax base); and</w:t>
      </w:r>
    </w:p>
    <w:p w14:paraId="1643943C" w14:textId="77777777" w:rsidR="00116EA9" w:rsidRDefault="00000000" w:rsidP="00116EA9">
      <w:pPr>
        <w:pStyle w:val="ListBullet"/>
      </w:pPr>
      <w:r>
        <w:t>a corporate income tax that can automatically rise as wages fall during the automation transition.</w:t>
      </w:r>
    </w:p>
    <w:p w14:paraId="0C39E216" w14:textId="72DCF059" w:rsidR="0095069C" w:rsidRPr="00116EA9" w:rsidRDefault="0095069C" w:rsidP="00116EA9">
      <w:pPr>
        <w:pStyle w:val="ListBullet"/>
      </w:pPr>
      <w:r>
        <w:t>policies to adapt existing fixed-nominal debt, specifically mortgages, to a deflationary environment.</w:t>
      </w:r>
    </w:p>
    <w:p w14:paraId="399A6E61" w14:textId="77777777" w:rsidR="000A0349" w:rsidRDefault="00000000">
      <w:pPr>
        <w:pStyle w:val="Heading1"/>
      </w:pPr>
      <w:r>
        <w:t>Introduction</w:t>
      </w:r>
    </w:p>
    <w:p w14:paraId="74895BFF" w14:textId="0D004723" w:rsidR="000A0349" w:rsidRDefault="00000000">
      <w:r>
        <w:t xml:space="preserve">The sudden, rapid diffusion of advanced artificial intelligence through the economy </w:t>
      </w:r>
      <w:r w:rsidR="007D2FFA">
        <w:t>will create</w:t>
      </w:r>
      <w:r>
        <w:t xml:space="preserve"> crises and opportunities unlike any prior event in human history. Huge efforts are </w:t>
      </w:r>
      <w:r w:rsidR="00A94FCD">
        <w:t xml:space="preserve">presently </w:t>
      </w:r>
      <w:r>
        <w:t xml:space="preserve">expended on concerns such as "alignment" and "safety," which </w:t>
      </w:r>
      <w:r w:rsidR="00A94FCD">
        <w:t xml:space="preserve">certainly </w:t>
      </w:r>
      <w:r w:rsidR="0078081B">
        <w:t xml:space="preserve">are things that </w:t>
      </w:r>
      <w:r>
        <w:t>matter. But the most urgent questions</w:t>
      </w:r>
      <w:r w:rsidR="007D2FFA">
        <w:t xml:space="preserve">, which </w:t>
      </w:r>
      <w:r>
        <w:t>will shape real lives at scale</w:t>
      </w:r>
      <w:r w:rsidR="007D2FFA">
        <w:t xml:space="preserve">, </w:t>
      </w:r>
      <w:r>
        <w:t xml:space="preserve">are economic: what happens to incomes, purchasing power, investment, and social stability when automation spreads through most forms of work? Despite its urgency, this subject </w:t>
      </w:r>
      <w:r w:rsidR="007D2FFA">
        <w:t xml:space="preserve">is only beginning to receive the </w:t>
      </w:r>
      <w:r>
        <w:t>attention</w:t>
      </w:r>
      <w:r w:rsidR="007D2FFA">
        <w:t xml:space="preserve"> it deserves.</w:t>
      </w:r>
    </w:p>
    <w:p w14:paraId="1F5EB18D" w14:textId="77777777" w:rsidR="007D2FFA" w:rsidRDefault="00000000">
      <w:r>
        <w:t>Historically, the revenues earned from economic activity are split among labor, capital, and government. In plain terms: consumers buy goods and services; businesses use that revenue to pay workers, pay taxes, and generate profits; workers then spend and save; owners invest and consume out of profits; and the cycle continues. This is capitalism</w:t>
      </w:r>
      <w:r w:rsidR="00A702DD">
        <w:t xml:space="preserve">: </w:t>
      </w:r>
      <w:r>
        <w:t>a circular feedback system</w:t>
      </w:r>
      <w:r w:rsidR="00A702DD">
        <w:t xml:space="preserve"> that</w:t>
      </w:r>
      <w:r>
        <w:t xml:space="preserve"> </w:t>
      </w:r>
      <w:r w:rsidR="00A702DD">
        <w:t>stay</w:t>
      </w:r>
      <w:r w:rsidR="005231F5">
        <w:t>s</w:t>
      </w:r>
      <w:r w:rsidR="00A702DD">
        <w:t xml:space="preserve"> in</w:t>
      </w:r>
      <w:r>
        <w:t xml:space="preserve"> balance because the ability to produce is meaningless without the ability to buy. </w:t>
      </w:r>
      <w:r w:rsidR="005231F5">
        <w:t>W</w:t>
      </w:r>
      <w:r>
        <w:t xml:space="preserve">ages are </w:t>
      </w:r>
      <w:r w:rsidR="005231F5">
        <w:t xml:space="preserve">not </w:t>
      </w:r>
      <w:r>
        <w:t>the only source of purchasing power - people can also consume out of dividends, transfers, credit, and asset income - but the system must reliably generate broad, spendable income at the scale required to clear the economy’s output.</w:t>
      </w:r>
    </w:p>
    <w:p w14:paraId="63156363" w14:textId="6C7F3667" w:rsidR="000A0349" w:rsidRDefault="007D2FFA">
      <w:r>
        <w:t xml:space="preserve">The consequences can be severe and persistent when that loop fails. Collapsing demand propagates into collapsing production: falling sales lead to layoffs and cutbacks; layoffs reduce incomes; reduced </w:t>
      </w:r>
      <w:r>
        <w:lastRenderedPageBreak/>
        <w:t>incomes further reduce sales; investment stops; and productive capacity can be impaired for years. The Great Depression was a feedback failure so profound that even extraordinary policy efforts struggled to restore normal economic activity. My grandfather, a railroad fireman, was out of work for a decade. He traded a solid gold railroad watch for a milk cow to plow the garden and feed the family. Whatever one emphasizes as proximate causes, the durable lesson is that restart can be difficult once the link between output and purchasing power is damaged, and the consequences can spill into conflict and politics for generations.</w:t>
      </w:r>
    </w:p>
    <w:p w14:paraId="4692B0C5" w14:textId="65234AE8" w:rsidR="000A0349" w:rsidRDefault="00000000">
      <w:r>
        <w:t>Economically, advanced artificial intelligence is an unusually powerful form of automation. It will automate information and intellectual work first</w:t>
      </w:r>
      <w:r w:rsidR="005231F5">
        <w:t>. A</w:t>
      </w:r>
      <w:r>
        <w:t>s that proceeds</w:t>
      </w:r>
      <w:r w:rsidR="005231F5">
        <w:t>,</w:t>
      </w:r>
      <w:r>
        <w:t xml:space="preserve"> it will </w:t>
      </w:r>
      <w:r w:rsidR="005231F5">
        <w:t xml:space="preserve">somewhat later </w:t>
      </w:r>
      <w:r w:rsidR="00111A77">
        <w:t xml:space="preserve">also </w:t>
      </w:r>
      <w:r>
        <w:t>accelerate automation in physical systems</w:t>
      </w:r>
      <w:r w:rsidR="00111A77">
        <w:t xml:space="preserve">, </w:t>
      </w:r>
      <w:r>
        <w:t>mining, manufacturing, logistics, agriculture, construction, and beyond. Automation raises productivity and lowers operating costs. But it also changes the income architecture of the economy: as software and machines substitute for labor, a smaller fraction of value added shows up as wages and a larger fraction shows up as profits and returns to capital. If ownership of that capital is concentrated, then purchasing power becomes concentrated too</w:t>
      </w:r>
      <w:r w:rsidR="00111A77">
        <w:t xml:space="preserve">, </w:t>
      </w:r>
      <w:r>
        <w:t>even while productive capacity expands.</w:t>
      </w:r>
    </w:p>
    <w:p w14:paraId="04944D50" w14:textId="44B3DE52" w:rsidR="000A0349" w:rsidRDefault="00000000">
      <w:r>
        <w:t xml:space="preserve">Corporations </w:t>
      </w:r>
      <w:r w:rsidR="00205C6A">
        <w:t>are</w:t>
      </w:r>
      <w:r>
        <w:t xml:space="preserve"> the engines of modern wealth creation. Only large-scale enterprises can reliably perform research and development, design, logistics, manufacturing, marketing, distribution, and global support for complex products and services. </w:t>
      </w:r>
      <w:proofErr w:type="gramStart"/>
      <w:r>
        <w:t>So</w:t>
      </w:r>
      <w:proofErr w:type="gramEnd"/>
      <w:r>
        <w:t xml:space="preserve"> the issue is not to stop progress, </w:t>
      </w:r>
      <w:r w:rsidR="007D2FFA">
        <w:t>nor</w:t>
      </w:r>
      <w:r>
        <w:t xml:space="preserve"> to replace productive enterprise with circular services in which we merely transact among ourselves. The issue is how the feedback loop that connects production to purchasing power can remain stable as labor income shrinks</w:t>
      </w:r>
      <w:r w:rsidR="007D2FFA">
        <w:t>, so that wealth creation can continue.</w:t>
      </w:r>
    </w:p>
    <w:p w14:paraId="48669E13" w14:textId="7DD8C463" w:rsidR="000A0349" w:rsidRDefault="00000000">
      <w:r>
        <w:t>That</w:t>
      </w:r>
      <w:r w:rsidR="00532E0C">
        <w:t xml:space="preserve">’s </w:t>
      </w:r>
      <w:r>
        <w:t>the core conundrum. If wages stop being the dominant channel by which most households receive income, where does broad purchasing power come from? If we want a prosperous society that continues to invent, build, and improve while much of the operational work is automated</w:t>
      </w:r>
      <w:r w:rsidR="00111A77">
        <w:t xml:space="preserve">, </w:t>
      </w:r>
      <w:r>
        <w:t>then we will have to redesign parts of the income-and-ownership system, not just "patch" it.</w:t>
      </w:r>
    </w:p>
    <w:p w14:paraId="23CB1898" w14:textId="77777777" w:rsidR="000A0349" w:rsidRDefault="00000000">
      <w:r>
        <w:t xml:space="preserve">This is not fundamentally a left-right </w:t>
      </w:r>
      <w:r w:rsidR="00C6212D">
        <w:t xml:space="preserve">political </w:t>
      </w:r>
      <w:r>
        <w:t>argument. It</w:t>
      </w:r>
      <w:r w:rsidR="004A4F03">
        <w:t>’s</w:t>
      </w:r>
      <w:r>
        <w:t xml:space="preserve"> a systems-engineering problem in the design of a modern economy. The timing of change is uncertain; the direction is not. And the failure modes are reasonably clear.</w:t>
      </w:r>
    </w:p>
    <w:p w14:paraId="417B42F4" w14:textId="77777777" w:rsidR="000A0349" w:rsidRDefault="00000000">
      <w:r>
        <w:t>One failure mode is a concentration trap: the rents from automation accrue to narrow ownership, purchasing power becomes too concentrated, demand weakens relative to capacity, and the system’s social legitimacy erodes. Another is a treadmill trap: we attempt to offset structurally declining labor income with ad hoc transfers and stimulus without changing the underlying architecture, producing fiscal strain and political fragility without restoring a durable, self-supporting loop.</w:t>
      </w:r>
    </w:p>
    <w:p w14:paraId="30C46C46" w14:textId="3E72BE4E" w:rsidR="000A0349" w:rsidRDefault="00000000">
      <w:r>
        <w:t xml:space="preserve">There are plausible ways forward. They likely involve some combination of broadened ownership, redesigned tax bases suited to an economy where labor income is no longer central, and income mechanisms that are </w:t>
      </w:r>
      <w:r w:rsidR="005231F5">
        <w:t>less</w:t>
      </w:r>
      <w:r>
        <w:t xml:space="preserve"> tightly coupled to employment. But proposals should be judged by concrete criteria: do they keep aggregate demand sufficient to clear output, preserve incentives for investment </w:t>
      </w:r>
      <w:r>
        <w:lastRenderedPageBreak/>
        <w:t>and innovation, avoid unstable debt expansion, and remain politically sustainable over decades rather than election cycles?</w:t>
      </w:r>
    </w:p>
    <w:p w14:paraId="7A7A86E7" w14:textId="49896F6E" w:rsidR="000A0349" w:rsidRDefault="00000000">
      <w:r>
        <w:t xml:space="preserve">This is where computational modeling becomes essential. When a system is </w:t>
      </w:r>
      <w:r w:rsidR="00A94FCD">
        <w:t>governed</w:t>
      </w:r>
      <w:r>
        <w:t xml:space="preserve"> by feedback, delays, and nonlinear effects, verbal reasoning breaks down quickly and ideology fills the vacuum. Models are always wrong in some way, but a good model can be inspected and argued. You can see exactly where income comes from, where it goes, how investment is financed, what happens as wages decline, and which policies move the system toward stability versus crisis. You can identify failure modes - and, just as importantly, you can locate the policy regions where the system becomes self-supporting again.</w:t>
      </w:r>
    </w:p>
    <w:p w14:paraId="567DC2B5" w14:textId="43241E47" w:rsidR="00105AE0" w:rsidRDefault="00000000">
      <w:r>
        <w:t xml:space="preserve">So what follows is an explicit economic transition model: a stock-flow representation of </w:t>
      </w:r>
      <w:r w:rsidR="00105AE0">
        <w:t>20,000 “</w:t>
      </w:r>
      <w:r>
        <w:t>households</w:t>
      </w:r>
      <w:r w:rsidR="00105AE0">
        <w:t>” whose wealth, income, revolving debt and mortgages roughly correspond to the distributions of families in the United States</w:t>
      </w:r>
      <w:r w:rsidR="000C4C67">
        <w:t>. It includes</w:t>
      </w:r>
      <w:r w:rsidR="00105AE0">
        <w:t xml:space="preserve"> </w:t>
      </w:r>
      <w:r>
        <w:t>firms, banks, and government</w:t>
      </w:r>
      <w:r w:rsidR="000C4C67">
        <w:t xml:space="preserve"> as aggregate players</w:t>
      </w:r>
      <w:r w:rsidR="00105AE0">
        <w:t xml:space="preserve">. In this model economy, </w:t>
      </w:r>
      <w:r>
        <w:t xml:space="preserve">automation </w:t>
      </w:r>
      <w:r w:rsidR="00105AE0">
        <w:t>causes over time</w:t>
      </w:r>
      <w:r>
        <w:t xml:space="preserve"> a rising substitution of capital and software for labor</w:t>
      </w:r>
      <w:r w:rsidR="00105AE0">
        <w:t>, s</w:t>
      </w:r>
      <w:r>
        <w:t>hifting value</w:t>
      </w:r>
      <w:r w:rsidR="00105AE0">
        <w:t>-</w:t>
      </w:r>
      <w:r>
        <w:t>added from wages toward profits</w:t>
      </w:r>
      <w:r w:rsidR="00105AE0">
        <w:t xml:space="preserve"> over time</w:t>
      </w:r>
      <w:r>
        <w:t xml:space="preserve">. </w:t>
      </w:r>
    </w:p>
    <w:p w14:paraId="49964514" w14:textId="1675E733" w:rsidR="000A0349" w:rsidRDefault="00000000">
      <w:r>
        <w:t xml:space="preserve">The </w:t>
      </w:r>
      <w:r w:rsidR="00A94FCD">
        <w:t xml:space="preserve">model is designed to explore a </w:t>
      </w:r>
      <w:r>
        <w:t xml:space="preserve">central question </w:t>
      </w:r>
      <w:r w:rsidR="00A94FCD">
        <w:t>that</w:t>
      </w:r>
      <w:r>
        <w:t xml:space="preserve"> is simple to state</w:t>
      </w:r>
      <w:r w:rsidR="00E421EE">
        <w:t>,</w:t>
      </w:r>
      <w:r>
        <w:t xml:space="preserve"> </w:t>
      </w:r>
      <w:r w:rsidR="00105AE0">
        <w:t>but</w:t>
      </w:r>
      <w:r>
        <w:t xml:space="preserve"> hard to solve: what ownership and policy architectures keep aggregate demand, investment incentives, and social stability inside a viable region as automation advances?</w:t>
      </w:r>
    </w:p>
    <w:p w14:paraId="24E4DF2B" w14:textId="77777777" w:rsidR="004A4F03" w:rsidRDefault="004A4F03">
      <w:pPr>
        <w:pStyle w:val="Heading1"/>
      </w:pPr>
      <w:r>
        <w:t>The model tells a story</w:t>
      </w:r>
    </w:p>
    <w:p w14:paraId="7B52325C" w14:textId="529A191F" w:rsidR="0088234A" w:rsidRPr="0088234A" w:rsidRDefault="0088234A" w:rsidP="0088234A">
      <w:pPr>
        <w:rPr>
          <w:rFonts w:ascii="Times New Roman" w:eastAsia="Times New Roman" w:hAnsi="Times New Roman"/>
        </w:rPr>
      </w:pPr>
      <w:r>
        <w:t xml:space="preserve">This transition will not arrive as a single shock. It will </w:t>
      </w:r>
      <w:r w:rsidR="00EA7C45">
        <w:t>spread</w:t>
      </w:r>
      <w:r w:rsidR="00DA0FC2">
        <w:t xml:space="preserve"> </w:t>
      </w:r>
      <w:r>
        <w:t xml:space="preserve">unevenly across sectors, punctuated by surprises, and accelerated by feedback. </w:t>
      </w:r>
      <w:proofErr w:type="gramStart"/>
      <w:r>
        <w:t>So</w:t>
      </w:r>
      <w:proofErr w:type="gramEnd"/>
      <w:r>
        <w:t xml:space="preserve"> the model tells a story.</w:t>
      </w:r>
    </w:p>
    <w:p w14:paraId="1B62E70A" w14:textId="496D6785" w:rsidR="0088234A" w:rsidRDefault="0088234A" w:rsidP="0088234A">
      <w:r>
        <w:rPr>
          <w:rStyle w:val="s1"/>
          <w:b/>
          <w:bCs/>
        </w:rPr>
        <w:t>Early o</w:t>
      </w:r>
      <w:r w:rsidR="00DA0FC2">
        <w:rPr>
          <w:rStyle w:val="s1"/>
          <w:b/>
          <w:bCs/>
        </w:rPr>
        <w:t xml:space="preserve">n, </w:t>
      </w:r>
      <w:r>
        <w:rPr>
          <w:rStyle w:val="s1"/>
          <w:b/>
          <w:bCs/>
        </w:rPr>
        <w:t>call it the “first wave,”</w:t>
      </w:r>
      <w:r>
        <w:t xml:space="preserve"> not a year on a calenda</w:t>
      </w:r>
      <w:r w:rsidR="00DA0FC2">
        <w:t xml:space="preserve">r, </w:t>
      </w:r>
      <w:r>
        <w:t xml:space="preserve">machine intelligence stops being scarce. It becomes a commodity input: embedded in software, wrapped into workflows, and eventually integrated into physical systems. </w:t>
      </w:r>
      <w:r w:rsidR="00070783">
        <w:t>Then</w:t>
      </w:r>
      <w:r>
        <w:t xml:space="preserve"> the decisive </w:t>
      </w:r>
      <w:r w:rsidR="00DA0FC2">
        <w:t>issue</w:t>
      </w:r>
      <w:r>
        <w:t xml:space="preserve"> is no longer whether automation is possible, but how quickly it diffuse</w:t>
      </w:r>
      <w:r w:rsidR="00DA0FC2">
        <w:t xml:space="preserve">s, </w:t>
      </w:r>
      <w:r>
        <w:t>and what it does to the economy’s income architecture.</w:t>
      </w:r>
    </w:p>
    <w:p w14:paraId="3C462899" w14:textId="1620EA85" w:rsidR="0088234A" w:rsidRDefault="0088234A" w:rsidP="0088234A">
      <w:r>
        <w:t>The first visible break is in information work</w:t>
      </w:r>
      <w:r w:rsidR="00A94FCD">
        <w:t>, n</w:t>
      </w:r>
      <w:r>
        <w:t>ot because the work disappears, but because the same output can be produced with far fewer people. Accounting and compliance become “continuous” rather than seasonal. Routine analysis compresses into automated pipelines. You still see humans in the loop, but the loop is narrower than expected and narrowing further. Productivity rises, headcount stops rising, and then quietly falls.</w:t>
      </w:r>
    </w:p>
    <w:p w14:paraId="6A9057BC" w14:textId="77777777" w:rsidR="0088234A" w:rsidRDefault="0088234A" w:rsidP="0088234A">
      <w:r>
        <w:t xml:space="preserve">A partner at a large professional firm says it plainly at an industry dinner: </w:t>
      </w:r>
      <w:r>
        <w:rPr>
          <w:i/>
          <w:iCs/>
        </w:rPr>
        <w:t>“We used to sell hours. Now we sell outcomes. And outcomes don’t need headcount.”</w:t>
      </w:r>
    </w:p>
    <w:p w14:paraId="3E82C58D" w14:textId="7CC5600C" w:rsidR="0088234A" w:rsidRDefault="000C4C67" w:rsidP="0088234A">
      <w:r>
        <w:t>Automation of the</w:t>
      </w:r>
      <w:r w:rsidR="0088234A">
        <w:t xml:space="preserve"> physical economy follows, slower at first, then faster. Early robotics is specialized: systems designed for narrow tasks. But the direction of travel is toward generality</w:t>
      </w:r>
      <w:r w:rsidR="00070783">
        <w:t xml:space="preserve">, toward </w:t>
      </w:r>
      <w:r w:rsidR="0088234A">
        <w:t xml:space="preserve">machines that can be retrained and redeployed, because the bottleneck is no longer the actuator but the cognition that coordinates perception, planning, and control. Automation creeps into warehousing, </w:t>
      </w:r>
      <w:r w:rsidR="0088234A">
        <w:lastRenderedPageBreak/>
        <w:t>manufacturing, mining, agriculture, construction, maintenance, logistic</w:t>
      </w:r>
      <w:r w:rsidR="00DA0FC2">
        <w:t xml:space="preserve">, and </w:t>
      </w:r>
      <w:r w:rsidR="0088234A">
        <w:t>then into the parts of those domains that used to be protected by “situational complexity.”</w:t>
      </w:r>
    </w:p>
    <w:p w14:paraId="39E18E89" w14:textId="77777777" w:rsidR="0088234A" w:rsidRDefault="0088234A" w:rsidP="0088234A">
      <w:r>
        <w:rPr>
          <w:rStyle w:val="s1"/>
          <w:b/>
          <w:bCs/>
        </w:rPr>
        <w:t>By the “second wave,”</w:t>
      </w:r>
      <w:r>
        <w:t xml:space="preserve"> firms begin to treat hiring as the expensive, irreversible decision. </w:t>
      </w:r>
      <w:r w:rsidR="00DA0FC2">
        <w:t>Managers defer hiring e</w:t>
      </w:r>
      <w:r>
        <w:t>ven when business is strong, because the option value of automation is rising. Displaced workers often find work, but less often find work that pays like the jobs that disappeared. Wage growth softens, then the wage share begins to slide.</w:t>
      </w:r>
    </w:p>
    <w:p w14:paraId="1D25EF38" w14:textId="77777777" w:rsidR="0088234A" w:rsidRDefault="0088234A" w:rsidP="0088234A">
      <w:r>
        <w:t xml:space="preserve">At the same time, capital demand rises. Automation is not free. Even when cognition becomes cheap, building the intelligent equipment and software infrastructure </w:t>
      </w:r>
      <w:r w:rsidR="00DA0FC2">
        <w:t>needs</w:t>
      </w:r>
      <w:r>
        <w:t xml:space="preserve"> up-front investment</w:t>
      </w:r>
      <w:r w:rsidR="00DA0FC2">
        <w:t xml:space="preserve">s in </w:t>
      </w:r>
      <w:r>
        <w:t>hardware, sensors, integration, robotics, data pipelines, secur</w:t>
      </w:r>
      <w:r w:rsidR="00DA0FC2">
        <w:t>it</w:t>
      </w:r>
      <w:r>
        <w:t xml:space="preserve">y, and the organizational work of changing how production is done. And because the advantage is competitive, speed matters. Firms borrow to transform. Banks and markets </w:t>
      </w:r>
      <w:r w:rsidR="00DA0FC2">
        <w:t xml:space="preserve">accommodate, </w:t>
      </w:r>
      <w:r>
        <w:t>until they start to notice that the same technologies raising productivity are also reshaping purchasing power.</w:t>
      </w:r>
    </w:p>
    <w:p w14:paraId="5356FBD4" w14:textId="77777777" w:rsidR="0088234A" w:rsidRDefault="00DA0FC2" w:rsidP="0088234A">
      <w:r>
        <w:t>Now</w:t>
      </w:r>
      <w:r w:rsidR="0088234A">
        <w:t xml:space="preserve"> the story becomes macroeconomic.</w:t>
      </w:r>
    </w:p>
    <w:p w14:paraId="4B07CE9B" w14:textId="77777777" w:rsidR="0088234A" w:rsidRDefault="0088234A" w:rsidP="0088234A">
      <w:r>
        <w:t>A strange squeeze develops. Households attempt to maintain consumption while labor income weakens. Some draw down savings. Some borrow. Revolving credit expands in the places you would expect: the middle and lower middle, where a loss of hours or wages is not a “temporary inconvenience” but a balance-sheet event. Firms borrow to finance automation investment. The economy’s ability to produce improves, but the economy’s ability to pay for what it produces starts to weake</w:t>
      </w:r>
      <w:r w:rsidR="00DA0FC2">
        <w:t xml:space="preserve">n and will collapse </w:t>
      </w:r>
      <w:r>
        <w:t>unless something replaces wage-linked purchasing power at scale.</w:t>
      </w:r>
    </w:p>
    <w:p w14:paraId="058DDAF1" w14:textId="77777777" w:rsidR="0088234A" w:rsidRDefault="0088234A" w:rsidP="0088234A">
      <w:r>
        <w:t xml:space="preserve">Prices respond to opposing forces. Productivity and competition push prices down, especially in tradable sectors. But markup capture can push the other way, especially in concentrated markets or where switching costs are high. The model does not assume a single outcome. It lets pass-through and capture contend, because the policy regime </w:t>
      </w:r>
      <w:r w:rsidR="00DA0FC2">
        <w:t>must</w:t>
      </w:r>
      <w:r>
        <w:t xml:space="preserve"> survive either a deflationary transition, an inflationary one, or a mixed reality.</w:t>
      </w:r>
    </w:p>
    <w:p w14:paraId="2E14FFBB" w14:textId="77777777" w:rsidR="0088234A" w:rsidRDefault="0088234A" w:rsidP="0088234A">
      <w:r>
        <w:t>Either way, debt service becomes the fragility channel. If the regime tilts deflationary, nominal incomes soften while nominal debts remain fixed. If it tilts inflationary, households face higher consumer prices while wages lag. In both cases, the upper tail cracks first. The warning sign is not the average household; it is the ninety-fifth percentile of debt-service pain. Lenders begin to see a pattern: this is not a normal cycle, and not a one-time shock. It is structural. It is the automation transition.</w:t>
      </w:r>
    </w:p>
    <w:p w14:paraId="76A37AE7" w14:textId="77777777" w:rsidR="0088234A" w:rsidRDefault="0088234A" w:rsidP="0088234A">
      <w:r>
        <w:t xml:space="preserve">A bank risk officer puts it in a sentence that makes the room go quiet: </w:t>
      </w:r>
      <w:r>
        <w:rPr>
          <w:i/>
          <w:iCs/>
        </w:rPr>
        <w:t>“The collateral is fine. The borrowers aren’t. And it’s not because they’re irresponsible—it’s because the income architecture is changing.”</w:t>
      </w:r>
    </w:p>
    <w:p w14:paraId="78AEE52D" w14:textId="04E40B43" w:rsidR="0088234A" w:rsidRDefault="0088234A" w:rsidP="0088234A">
      <w:r>
        <w:rPr>
          <w:rStyle w:val="s1"/>
          <w:b/>
          <w:bCs/>
        </w:rPr>
        <w:t>Then comes the recognition moment.</w:t>
      </w:r>
      <w:r>
        <w:t xml:space="preserve"> Credit tightens where it most hurts demand, and the economy becomes demand-constrained even while productive capacity is growing. The system can still produc</w:t>
      </w:r>
      <w:r w:rsidR="00DA0FC2">
        <w:t xml:space="preserve">e, </w:t>
      </w:r>
      <w:r>
        <w:t>but fewer people can buy.</w:t>
      </w:r>
    </w:p>
    <w:p w14:paraId="689AF9E3" w14:textId="77777777" w:rsidR="0088234A" w:rsidRDefault="0088234A" w:rsidP="0088234A">
      <w:r>
        <w:lastRenderedPageBreak/>
        <w:t>This is where the model begins: not at the start of automation, but at the point where the feedback loop between output and purchasing power starts to break.</w:t>
      </w:r>
    </w:p>
    <w:p w14:paraId="1C717420" w14:textId="77777777" w:rsidR="0088234A" w:rsidRDefault="0088234A" w:rsidP="0088234A">
      <w:r>
        <w:t xml:space="preserve">The design problem is now explicit. If wages are no longer the dominant channel by which households receive income, what </w:t>
      </w:r>
      <w:r w:rsidR="00DA0FC2">
        <w:t>can replace</w:t>
      </w:r>
      <w:r>
        <w:t xml:space="preserve"> the cash flow that supports mass consumption and social stability</w:t>
      </w:r>
      <w:r w:rsidR="00DA0FC2">
        <w:t xml:space="preserve">, </w:t>
      </w:r>
      <w:r>
        <w:t>without destroying incentives to invest and innovate?</w:t>
      </w:r>
    </w:p>
    <w:p w14:paraId="4780B05D" w14:textId="77777777" w:rsidR="0088234A" w:rsidRDefault="0088234A" w:rsidP="0088234A">
      <w:r>
        <w:t>The model’s answer is not a single lever. It is an architecture: a set of rule-based stabilizers that shift purchasing power and ownership in ways that can scale with automation.</w:t>
      </w:r>
    </w:p>
    <w:p w14:paraId="2EFAB73A" w14:textId="77777777" w:rsidR="0088234A" w:rsidRDefault="0088234A" w:rsidP="0088234A">
      <w:r>
        <w:t>The first move is to broaden ownership of productive assets gradually, credibly, and with a hard cap. The model introduces a Social Wealth Trus</w:t>
      </w:r>
      <w:r w:rsidR="00DA0FC2">
        <w:t xml:space="preserve">t: </w:t>
      </w:r>
      <w:r>
        <w:t xml:space="preserve">a trust </w:t>
      </w:r>
      <w:r w:rsidR="00DA0FC2">
        <w:t xml:space="preserve">fund held </w:t>
      </w:r>
      <w:r>
        <w:t>on behalf of citizens, not an operating arm of government. Its purpose is not to run companies; it</w:t>
      </w:r>
      <w:r w:rsidR="00DA0FC2">
        <w:t>’s to</w:t>
      </w:r>
      <w:r>
        <w:t xml:space="preserve"> accumulate </w:t>
      </w:r>
      <w:r w:rsidR="00DA0FC2">
        <w:t xml:space="preserve">equity </w:t>
      </w:r>
      <w:r>
        <w:t>ownership and distribute part of the resulting returns. The trust activates only when measurable stress crosses a threshold, so it behaves like an automatic stabilizer rather than a permanently expanding institution.</w:t>
      </w:r>
    </w:p>
    <w:p w14:paraId="635404EF" w14:textId="77777777" w:rsidR="0088234A" w:rsidRDefault="0088234A" w:rsidP="0088234A">
      <w:r>
        <w:t>When the trigger condition is met, the trust can be kick-started with bank-created credit. The bank lends to the trust; the trust purchases a slice of outstanding equity; households receive the cash proceeds; and the trust repays the loan over time. That launch mechanism matters because it accelerates broad ownership without requiring an immediate tax grab or a politically fragile appropriation.</w:t>
      </w:r>
    </w:p>
    <w:p w14:paraId="294E2F00" w14:textId="77777777" w:rsidR="0088234A" w:rsidRDefault="0088234A" w:rsidP="0088234A">
      <w:r>
        <w:t>But the core of the ownership transition is not the launch. It is the ongoing mechanism: what the model treats as a form of equity-dilution tax</w:t>
      </w:r>
      <w:r w:rsidR="00DA0FC2">
        <w:t xml:space="preserve"> that is </w:t>
      </w:r>
      <w:r>
        <w:t>implemented as new share issuance allocated to the trust until an explicit cap is reached.</w:t>
      </w:r>
    </w:p>
    <w:p w14:paraId="376DD53D" w14:textId="77777777" w:rsidR="0088234A" w:rsidRDefault="0088234A" w:rsidP="0088234A">
      <w:r>
        <w:t xml:space="preserve">The obvious question </w:t>
      </w:r>
      <w:r w:rsidR="00DA0FC2">
        <w:t>is</w:t>
      </w:r>
      <w:r>
        <w:t>: why would corporations accept that?</w:t>
      </w:r>
    </w:p>
    <w:p w14:paraId="0B9A4E85" w14:textId="443D73B5" w:rsidR="0088234A" w:rsidRDefault="0088234A" w:rsidP="0088234A">
      <w:r>
        <w:t>They accept it in this story for the same reason they accept many things that look costly in isolation: because the alternative is worse, and because the rule can be made predictable, limited, and compatible</w:t>
      </w:r>
      <w:r w:rsidR="008A6C32">
        <w:t xml:space="preserve"> with capitalist incentives. </w:t>
      </w:r>
    </w:p>
    <w:p w14:paraId="39C2F120" w14:textId="77777777" w:rsidR="0088234A" w:rsidRDefault="0088234A" w:rsidP="0088234A">
      <w:r>
        <w:t xml:space="preserve">A CEO of an automation-heavy manufacturer says it bluntly in an earnings call, after an analyst presses on “why tolerate dilution at all?”: </w:t>
      </w:r>
      <w:r>
        <w:rPr>
          <w:i/>
          <w:iCs/>
        </w:rPr>
        <w:t>“We can build capacity faster than the economy can absorb it. Customers don’t come from spreadsheets. If broad purchasing power collapses, we’re not ‘more efficient’</w:t>
      </w:r>
      <w:r w:rsidR="00DA0FC2">
        <w:rPr>
          <w:i/>
          <w:iCs/>
        </w:rPr>
        <w:t>. W</w:t>
      </w:r>
      <w:r>
        <w:rPr>
          <w:i/>
          <w:iCs/>
        </w:rPr>
        <w:t>e’re stuck with stranded capability. A stable rule we can price is better than a political firestorm we can’t.”</w:t>
      </w:r>
    </w:p>
    <w:p w14:paraId="06A923EF" w14:textId="77777777" w:rsidR="0088234A" w:rsidRDefault="0088234A" w:rsidP="0088234A">
      <w:r>
        <w:t>That is the hard constraint: in a mature automation transition, the binding constraint is not productive capacity. It is demand. Firms cannot monetize productivity if the consumer base is insolvent or purchasing power is too concentrated. The dilution rule is framed as a demand-preservation instrument: it converts a fraction of the automation dividend into distributed purchasing power without requiring firms to raise wages for jobs that no longer exist.</w:t>
      </w:r>
    </w:p>
    <w:p w14:paraId="21D429FE" w14:textId="77777777" w:rsidR="0088234A" w:rsidRDefault="0088234A" w:rsidP="0088234A">
      <w:r>
        <w:t xml:space="preserve">A CFO phrases the acceptance logic in the language markets understand: </w:t>
      </w:r>
      <w:r>
        <w:rPr>
          <w:i/>
          <w:iCs/>
        </w:rPr>
        <w:t>“If it’s universal, capped, and rule-based, it’s not ‘expropriation’</w:t>
      </w:r>
      <w:r w:rsidR="00DA0FC2">
        <w:rPr>
          <w:i/>
          <w:iCs/>
        </w:rPr>
        <w:t xml:space="preserve">, it’s </w:t>
      </w:r>
      <w:r>
        <w:rPr>
          <w:i/>
          <w:iCs/>
        </w:rPr>
        <w:t xml:space="preserve">a cost of doing business in a high-automation economy, like a tax, </w:t>
      </w:r>
      <w:r>
        <w:rPr>
          <w:i/>
          <w:iCs/>
        </w:rPr>
        <w:lastRenderedPageBreak/>
        <w:t>like regulatory compliance, like stock-based compensation. The market can price it. What markets can’t price is unpredictable backlash.”</w:t>
      </w:r>
    </w:p>
    <w:p w14:paraId="635BC884" w14:textId="77777777" w:rsidR="0088234A" w:rsidRDefault="0088234A" w:rsidP="0088234A">
      <w:r>
        <w:t xml:space="preserve">That predictability is central. A small, stable, widely applied dilution rate is something investors can incorporate into valuation. It reduces the risk premium associated with tail events: windfall confiscation, arbitrary sector-specific punishments, or emergency interventions that arrive precisely when credit is already tight. A rule-based mechanism is not “free,” but </w:t>
      </w:r>
      <w:r w:rsidR="00DA0FC2">
        <w:t xml:space="preserve">managers can read and understand it, </w:t>
      </w:r>
      <w:r>
        <w:t>and legibility lowers the probability of chaotic, discretionary policy.</w:t>
      </w:r>
    </w:p>
    <w:p w14:paraId="53286896" w14:textId="77777777" w:rsidR="0088234A" w:rsidRDefault="0088234A" w:rsidP="0088234A">
      <w:r>
        <w:t xml:space="preserve">A portfolio manager adds the quieter point capital markets rarely say out loud: </w:t>
      </w:r>
      <w:r>
        <w:rPr>
          <w:i/>
          <w:iCs/>
        </w:rPr>
        <w:t>“The real threat to returns isn’t a few basis points of annual dilution. It’s the social legitimacy gap. If the system stops working for most people, the political system will eventually reach for something much cruder.”</w:t>
      </w:r>
    </w:p>
    <w:p w14:paraId="50412D44" w14:textId="77777777" w:rsidR="0088234A" w:rsidRDefault="0088234A" w:rsidP="0088234A">
      <w:r>
        <w:t>The mechanism is also framed as a substitute for more distortionary tools. As labor income becomes less central, the tax base must shift. Governments will come after profits, consumption, wealth, or all three. In that political reality, a capped dilution mechanism can be presented as growth-compatible: it is gradual; it doesn’t depend on brittle enforcement against profit-shifting; and it builds broad claims on capital without requiring repeated political battles over explicit confiscation.</w:t>
      </w:r>
    </w:p>
    <w:p w14:paraId="6F725D52" w14:textId="77777777" w:rsidR="0088234A" w:rsidRDefault="0088234A" w:rsidP="0088234A">
      <w:r>
        <w:t>The cap matters here. The trust is not allowed to become an unlimited accumulator of control. The policy goal is to create a stabilizing ownership share, not to nationalize the corporate sector. The cap makes the mechanism credible to founders, boards, and long-horizon investors: it ensures the rule does not converge toward takeover. And the trust’s role is structured as passive ownership in economic intent: broad claims on returns, not politicized management. Firms accept dilution more readily if they can believe the trust is not a steering committee.</w:t>
      </w:r>
    </w:p>
    <w:p w14:paraId="117307E8" w14:textId="5A895FB1" w:rsidR="0088234A" w:rsidRDefault="0088234A" w:rsidP="0088234A">
      <w:r>
        <w:t>Under those conditions, the equity-dilution rule reads less like punishment and more like a premium paid for macroeconomic stability and continued license to operate in a society where labor’s role in income formation is shrinking. It</w:t>
      </w:r>
      <w:r w:rsidR="00116982">
        <w:t>’</w:t>
      </w:r>
      <w:r>
        <w:t>s a structured way for firms to buy what they need: solvent consumers, political legitimacy, and a predictable policy environment in which long-term investment remains rational.</w:t>
      </w:r>
    </w:p>
    <w:p w14:paraId="73B30ED9" w14:textId="2F459DAB" w:rsidR="00BD51FE" w:rsidRDefault="00BD51FE" w:rsidP="0088234A">
      <w:r>
        <w:t xml:space="preserve">The trust fund accomplishes </w:t>
      </w:r>
      <w:r w:rsidR="000339E9">
        <w:t>ano</w:t>
      </w:r>
      <w:r>
        <w:t>ther important goal: it addresses the duration</w:t>
      </w:r>
      <w:r w:rsidR="000339E9">
        <w:t>-matching</w:t>
      </w:r>
      <w:r>
        <w:t xml:space="preserve"> requirements of citizens’ income funding needs over normal human lifecycles. In today’s world, people are born without assets, although they may inherit some wealth eventually. When families are young, they need money raise children, fund college educations, buy a house. These large financial demands get in the way of saving. Students in college need income support. And in old age we have Social Security, but its implementation in some ways a pyramid scheme built on the idea that the young finance will the old. </w:t>
      </w:r>
      <w:r w:rsidR="000339E9">
        <w:t>None of this</w:t>
      </w:r>
      <w:r>
        <w:t xml:space="preserve"> work</w:t>
      </w:r>
      <w:r w:rsidR="000339E9">
        <w:t>s</w:t>
      </w:r>
      <w:r>
        <w:t xml:space="preserve"> in an aging</w:t>
      </w:r>
      <w:r w:rsidR="000339E9">
        <w:t>, deflating</w:t>
      </w:r>
      <w:r>
        <w:t xml:space="preserve"> economy. The trust fund is a national endowment</w:t>
      </w:r>
      <w:r w:rsidR="000339E9">
        <w:t>, a property trust owned by the citizens themselves,</w:t>
      </w:r>
      <w:r>
        <w:t xml:space="preserve"> with a perpetual horizon.</w:t>
      </w:r>
    </w:p>
    <w:p w14:paraId="0502FF2A" w14:textId="43219A70" w:rsidR="0088234A" w:rsidRDefault="0088234A" w:rsidP="0088234A">
      <w:r>
        <w:t>The second pillar in the story is a broad consumption tax</w:t>
      </w:r>
      <w:r w:rsidR="005D583D">
        <w:t xml:space="preserve">, </w:t>
      </w:r>
      <w:r>
        <w:t>modeled as a VAT wedge between producer and consumer prices</w:t>
      </w:r>
      <w:r w:rsidR="00F22CE0">
        <w:t xml:space="preserve">, </w:t>
      </w:r>
      <w:r>
        <w:t>paired with a targeted low-income credit (“</w:t>
      </w:r>
      <w:proofErr w:type="spellStart"/>
      <w:r>
        <w:t>prebate</w:t>
      </w:r>
      <w:proofErr w:type="spellEnd"/>
      <w:r>
        <w:t xml:space="preserve">”) so the tax does not function as a regressive demand-killer. A VAT is attractive in this world because it scales with consumption in an </w:t>
      </w:r>
      <w:r>
        <w:lastRenderedPageBreak/>
        <w:t>economy where wages are no longer the primary taxable flow, and because it can be enforced more reliably than an ever-more-complex wage-tax system.</w:t>
      </w:r>
      <w:r w:rsidR="00F4165A">
        <w:t xml:space="preserve"> The model does however include an income tax (flat rate on wages above a minimum income), and an indexed corporate tax that rises somewhat as wages fall.</w:t>
      </w:r>
    </w:p>
    <w:p w14:paraId="5F03A45B" w14:textId="16A8C35C" w:rsidR="0088234A" w:rsidRDefault="0088234A" w:rsidP="0088234A">
      <w:r>
        <w:t>The third pillar is Universal Basic Income, defined in a way that matches the systems-engineering problem. In the model, UBI is computed to fill the gap between market incomes and a baseline real-income pool. It is indexed to the price level</w:t>
      </w:r>
      <w:r w:rsidR="00623181">
        <w:t>,</w:t>
      </w:r>
      <w:r>
        <w:t xml:space="preserve"> so it stabilizes purchasing power rather than merely moving nominal transfers around. And it has a ratchet: once it rises, it does not fall. That is a </w:t>
      </w:r>
      <w:r w:rsidR="005D583D">
        <w:t xml:space="preserve">realistic </w:t>
      </w:r>
      <w:r>
        <w:t xml:space="preserve">political assumption as much as an economic </w:t>
      </w:r>
      <w:r w:rsidR="005D583D">
        <w:t xml:space="preserve">rule: </w:t>
      </w:r>
      <w:r>
        <w:t>benefits that can be withdrawn easily are not a stable foundation for an economy undergoing structural labor displacement.</w:t>
      </w:r>
    </w:p>
    <w:p w14:paraId="29C51672" w14:textId="77777777" w:rsidR="005D583D" w:rsidRDefault="0088234A" w:rsidP="0088234A">
      <w:r>
        <w:t xml:space="preserve">Funding is handled as a hierarchy rather than a slogan: some share can be financed by </w:t>
      </w:r>
      <w:r w:rsidR="00D66BED">
        <w:t xml:space="preserve">monetary </w:t>
      </w:r>
      <w:r>
        <w:t>issuance; then trust balance</w:t>
      </w:r>
      <w:r w:rsidR="00D66BED">
        <w:t xml:space="preserve"> </w:t>
      </w:r>
      <w:r>
        <w:t>contribute</w:t>
      </w:r>
      <w:r w:rsidR="00D66BED">
        <w:t>s</w:t>
      </w:r>
      <w:r>
        <w:t>; then government balanc</w:t>
      </w:r>
      <w:r w:rsidR="00D66BED">
        <w:t>e</w:t>
      </w:r>
      <w:r>
        <w:t xml:space="preserve"> contribute</w:t>
      </w:r>
      <w:r w:rsidR="00D66BED">
        <w:t>s</w:t>
      </w:r>
      <w:r>
        <w:t xml:space="preserve">; with issuance as the </w:t>
      </w:r>
      <w:r w:rsidR="00D66BED">
        <w:t>final</w:t>
      </w:r>
      <w:r>
        <w:t xml:space="preserve"> backstop. The model is not asserting that issuance is consequence-free. It is making the backstop explicit so the model can test how much is required, when it is required, and what happens if it is used too aggressively.</w:t>
      </w:r>
    </w:p>
    <w:p w14:paraId="08FACFA9" w14:textId="77777777" w:rsidR="0088234A" w:rsidRDefault="005D583D" w:rsidP="0088234A">
      <w:r>
        <w:t>T</w:t>
      </w:r>
      <w:r w:rsidR="0088234A">
        <w:t xml:space="preserve">hese mechanisms </w:t>
      </w:r>
      <w:r>
        <w:t>work together</w:t>
      </w:r>
      <w:r w:rsidR="0088234A">
        <w:t xml:space="preserve"> to </w:t>
      </w:r>
      <w:r>
        <w:t>support one existential objective</w:t>
      </w:r>
      <w:r w:rsidR="0088234A">
        <w:t xml:space="preserve">: keep the economy </w:t>
      </w:r>
      <w:r>
        <w:t>operating in</w:t>
      </w:r>
      <w:r w:rsidR="0088234A">
        <w:t xml:space="preserve"> a viable region as automation advances. They are not asserted as the answer. They are parameterized rules whose job is to preserve the feedback loop that makes a modern economy function: production, incomes, consumption, investment, and social legitimacy.</w:t>
      </w:r>
    </w:p>
    <w:p w14:paraId="18FD3B5F" w14:textId="73C1FD2A" w:rsidR="0088234A" w:rsidRDefault="0088234A" w:rsidP="0088234A">
      <w:r>
        <w:t xml:space="preserve">If </w:t>
      </w:r>
      <w:r w:rsidR="000339E9">
        <w:t>this</w:t>
      </w:r>
      <w:r>
        <w:t xml:space="preserve"> story is right, the payoff is </w:t>
      </w:r>
      <w:r w:rsidR="005D583D">
        <w:t>enormous</w:t>
      </w:r>
      <w:r>
        <w:t>. The automation transition fades from emergency into baseline. Productivity gains show up as rising real living standards rather than as a collapse in employment-linked income. The economy continues to invest, invent, and build</w:t>
      </w:r>
      <w:r w:rsidR="00623181">
        <w:t xml:space="preserve">, </w:t>
      </w:r>
      <w:r>
        <w:t>because consumers remain solvent and demand remains sufficient to clear output.</w:t>
      </w:r>
    </w:p>
    <w:p w14:paraId="45DB6F19" w14:textId="1F5671A1" w:rsidR="0088234A" w:rsidRDefault="00D66BED" w:rsidP="0088234A">
      <w:r>
        <w:t>Even</w:t>
      </w:r>
      <w:r w:rsidR="0088234A">
        <w:t xml:space="preserve"> if the story is wrong, the model is still useful</w:t>
      </w:r>
      <w:r w:rsidR="00623181">
        <w:t xml:space="preserve"> </w:t>
      </w:r>
      <w:r w:rsidR="0088234A">
        <w:t xml:space="preserve">because it makes the failure modes </w:t>
      </w:r>
      <w:r>
        <w:t>visible</w:t>
      </w:r>
      <w:r w:rsidR="0088234A">
        <w:t>. You can see where the loop breaks, which instrument fails first, and what kind of adjustment might restore stability.</w:t>
      </w:r>
      <w:r w:rsidR="00623181">
        <w:t xml:space="preserve"> </w:t>
      </w:r>
    </w:p>
    <w:p w14:paraId="5242F998" w14:textId="4724C5E3" w:rsidR="000339E9" w:rsidRDefault="00094F2E" w:rsidP="000339E9">
      <w:pPr>
        <w:pStyle w:val="Heading1"/>
      </w:pPr>
      <w:r>
        <w:t>Same storm, different ships</w:t>
      </w:r>
    </w:p>
    <w:p w14:paraId="40EDF624" w14:textId="77777777" w:rsidR="00B43B9A" w:rsidRDefault="00B43B9A" w:rsidP="00B43B9A">
      <w:pPr>
        <w:rPr>
          <w:rFonts w:ascii="Times New Roman" w:eastAsia="Times New Roman" w:hAnsi="Times New Roman"/>
        </w:rPr>
      </w:pPr>
      <w:r>
        <w:t>The hardest part of adapting to intelligent automation is that while the old political and economic rules and reflexes no longer work, each Great Power is compelled to make its own mistakes. Old habits are hard to break.</w:t>
      </w:r>
    </w:p>
    <w:p w14:paraId="6ABF8C92" w14:textId="1833A720" w:rsidR="00B43B9A" w:rsidRDefault="00B43B9A" w:rsidP="00B43B9A">
      <w:r>
        <w:t>The storm hit everyone, but the ships’ hulls were built differently. China had the engines: manufacturing scale, engineers, and command capacity. It also had a balance sheet that deflation could crack like ice. The United States had the laboratories and the venture capital, but not the steering wheel. Its politics could argue for years about who deserved the gains even as the gains arrived on schedule. Europe had the deepest social contract and an instinct to keep people whole, but it paid for that with speed and coordination.</w:t>
      </w:r>
    </w:p>
    <w:p w14:paraId="4F17712A" w14:textId="551B6D0E" w:rsidR="00B43B9A" w:rsidRDefault="00B43B9A" w:rsidP="00B43B9A">
      <w:r>
        <w:lastRenderedPageBreak/>
        <w:t>And then there was the rest of the world, the places that did not invent these machines but could purchase them. In theory, that meant they could compress history: import the tools, skip intermediate stages, and become consumer societies faster than the old powers ever could. In practice, it depended on who owned the machines, who collected the rents, and whether new productivity was converted into household purchasing power rather than exported upward and outward. The same technology that could build a middle class in ten years could also hollow one out in five.</w:t>
      </w:r>
    </w:p>
    <w:p w14:paraId="515D45BA" w14:textId="77777777" w:rsidR="00B43B9A" w:rsidRPr="00B43B9A" w:rsidRDefault="00B43B9A" w:rsidP="00B43B9A">
      <w:pPr>
        <w:pStyle w:val="Heading3"/>
      </w:pPr>
      <w:r>
        <w:t>China</w:t>
      </w:r>
    </w:p>
    <w:p w14:paraId="3FB4B6DB" w14:textId="28829572" w:rsidR="00B43B9A" w:rsidRDefault="00B43B9A" w:rsidP="00B43B9A">
      <w:r>
        <w:t>China enter</w:t>
      </w:r>
      <w:r w:rsidR="00EF0754">
        <w:t>ed</w:t>
      </w:r>
      <w:r>
        <w:t xml:space="preserve"> the AI era with the world’s greatest manufacturing base, a deep bench of engineers, and a state apparatus that can concentrate astonishing resources. But as the first hump arrive</w:t>
      </w:r>
      <w:r w:rsidR="00EF0754">
        <w:t>d</w:t>
      </w:r>
      <w:r>
        <w:t xml:space="preserve">, the early hit from automation to information-sector wages and early-career employment, Chinese youth unemployment </w:t>
      </w:r>
      <w:r w:rsidR="00EF0754">
        <w:t xml:space="preserve">was </w:t>
      </w:r>
      <w:r>
        <w:t>already in the high teens. China also carrie</w:t>
      </w:r>
      <w:r w:rsidR="00EF0754">
        <w:t>d</w:t>
      </w:r>
      <w:r>
        <w:t xml:space="preserve"> an enormous debt stack, especially tied to property, much of it fixed nominal. In a deflationary environment, that is balance-sheet poison.</w:t>
      </w:r>
    </w:p>
    <w:p w14:paraId="7CCEC5C9" w14:textId="6E346A5F" w:rsidR="00B43B9A" w:rsidRDefault="00B43B9A" w:rsidP="00B43B9A">
      <w:r>
        <w:t xml:space="preserve">Land-transfer income and property-linked revenues </w:t>
      </w:r>
      <w:r w:rsidR="00EF0754">
        <w:t>had</w:t>
      </w:r>
      <w:r>
        <w:t xml:space="preserve"> been a core funding channel for local government, most acutely at the prefecture, county, and city level, and that channel </w:t>
      </w:r>
      <w:r w:rsidR="00EF0754">
        <w:t>had</w:t>
      </w:r>
      <w:r>
        <w:t xml:space="preserve"> been shrinking for years. In a deflationary regime, the local fiscal model and the debt model fail together.</w:t>
      </w:r>
    </w:p>
    <w:p w14:paraId="7F4BE1A9" w14:textId="116F3EAD" w:rsidR="00B43B9A" w:rsidRDefault="00B43B9A" w:rsidP="00B43B9A">
      <w:r>
        <w:t>Meanwhile, China’s domestic consumer economy remain</w:t>
      </w:r>
      <w:r w:rsidR="00EF0754">
        <w:t>ed</w:t>
      </w:r>
      <w:r>
        <w:t xml:space="preserve"> comparatively underdeveloped, so exports still play</w:t>
      </w:r>
      <w:r w:rsidR="00EF0754">
        <w:t>ed</w:t>
      </w:r>
      <w:r>
        <w:t xml:space="preserve"> an outsized stabilizing role. Yet across the developed world, re-industrialization increasingly </w:t>
      </w:r>
      <w:r w:rsidR="00EF0754">
        <w:t>meant</w:t>
      </w:r>
      <w:r>
        <w:t xml:space="preserve"> automation and capital deepening, not a wage boom, and therefore not an expanding consumer base for imported goods.</w:t>
      </w:r>
    </w:p>
    <w:p w14:paraId="7DD93D59" w14:textId="1E0263F3" w:rsidR="00B43B9A" w:rsidRDefault="00B43B9A" w:rsidP="00B43B9A">
      <w:r>
        <w:t xml:space="preserve">Beijing </w:t>
      </w:r>
      <w:r w:rsidR="00EF0754">
        <w:t>tried</w:t>
      </w:r>
      <w:r>
        <w:t xml:space="preserve"> to redirect exports toward faster-growing regions, but doing so </w:t>
      </w:r>
      <w:r w:rsidR="00EF0754">
        <w:t>ran</w:t>
      </w:r>
      <w:r>
        <w:t xml:space="preserve"> into strategic pushback and geopolitical friction, especially in the Americas. And with weaker domestic consumption, “tax the consumer to keep the macro pump primed” </w:t>
      </w:r>
      <w:r w:rsidR="00EF0754">
        <w:t>had</w:t>
      </w:r>
      <w:r>
        <w:t xml:space="preserve"> less leverage than it </w:t>
      </w:r>
      <w:r w:rsidR="00EF0754">
        <w:t>did</w:t>
      </w:r>
      <w:r>
        <w:t xml:space="preserve"> in economies where consumption is the dominant engine.</w:t>
      </w:r>
    </w:p>
    <w:p w14:paraId="0F52F07D" w14:textId="09F77E27" w:rsidR="00B43B9A" w:rsidRDefault="00B43B9A" w:rsidP="00B43B9A">
      <w:r>
        <w:t xml:space="preserve">Then there </w:t>
      </w:r>
      <w:r w:rsidR="00EF0754">
        <w:t>was</w:t>
      </w:r>
      <w:r>
        <w:t xml:space="preserve"> Taiwan: smaller, wealthier</w:t>
      </w:r>
      <w:r w:rsidR="00405385">
        <w:t xml:space="preserve"> </w:t>
      </w:r>
      <w:r>
        <w:t xml:space="preserve">and institutionally more flexible, and the owner of the most strategically indispensable export category of all, semiconductors, the brains of AI machines. Beijing </w:t>
      </w:r>
      <w:r w:rsidR="00EF0754">
        <w:t>couldn’t</w:t>
      </w:r>
      <w:r>
        <w:t xml:space="preserve"> ignore the risk that a widening performance gap </w:t>
      </w:r>
      <w:r w:rsidR="00405385">
        <w:t xml:space="preserve">between Taiwan and the Mainland </w:t>
      </w:r>
      <w:r w:rsidR="00EF0754">
        <w:t>might become</w:t>
      </w:r>
      <w:r>
        <w:t xml:space="preserve"> a legitimacy problem at home. But forceful unification </w:t>
      </w:r>
      <w:r w:rsidR="00EF0754">
        <w:t>risked</w:t>
      </w:r>
      <w:r>
        <w:t xml:space="preserve"> a severe U.S. reaction. Waiting for American semiconductor self-sufficiency might reduce that risk, yet the diffusion speed of AI into the knowledge economy compresse</w:t>
      </w:r>
      <w:r w:rsidR="00EF0754">
        <w:t>d</w:t>
      </w:r>
      <w:r>
        <w:t xml:space="preserve"> the timeline. There </w:t>
      </w:r>
      <w:r w:rsidR="00EF0754">
        <w:t>was</w:t>
      </w:r>
      <w:r>
        <w:t xml:space="preserve"> no clean solution, only choices </w:t>
      </w:r>
      <w:r w:rsidR="00EF0754">
        <w:t>trading</w:t>
      </w:r>
      <w:r>
        <w:t xml:space="preserve"> one kind of instability for another.</w:t>
      </w:r>
    </w:p>
    <w:p w14:paraId="376DAF93" w14:textId="2FD07252" w:rsidR="009D4B74" w:rsidRPr="009D4B74" w:rsidRDefault="009D4B74" w:rsidP="009D4B74">
      <w:r>
        <w:t xml:space="preserve">Ultimately, China’s limited internal flexibility </w:t>
      </w:r>
      <w:r w:rsidR="00EF0754">
        <w:t>got</w:t>
      </w:r>
      <w:r>
        <w:t xml:space="preserve"> in the way of transforming itself quickly. It </w:t>
      </w:r>
      <w:r w:rsidR="00EF0754">
        <w:t>could</w:t>
      </w:r>
      <w:r>
        <w:t xml:space="preserve"> push forward most effectively by </w:t>
      </w:r>
      <w:r w:rsidR="00EF0754">
        <w:t xml:space="preserve">continuing to do </w:t>
      </w:r>
      <w:r>
        <w:t>what it already kn</w:t>
      </w:r>
      <w:r w:rsidR="007A30A2">
        <w:t>ew</w:t>
      </w:r>
      <w:r>
        <w:t xml:space="preserve"> how to do. Xi Jinping had </w:t>
      </w:r>
      <w:r w:rsidR="007A30A2">
        <w:t>intended</w:t>
      </w:r>
      <w:r>
        <w:t xml:space="preserve"> his timeline </w:t>
      </w:r>
      <w:r w:rsidR="007A30A2">
        <w:t>to</w:t>
      </w:r>
      <w:r>
        <w:t xml:space="preserve"> be shaped by age, career, and succession, by the need to hand a unified China to the next leader. But events </w:t>
      </w:r>
      <w:r w:rsidR="00405385">
        <w:t>move</w:t>
      </w:r>
      <w:r w:rsidR="00EF0754">
        <w:t>d</w:t>
      </w:r>
      <w:r>
        <w:t xml:space="preserve"> too fast.</w:t>
      </w:r>
      <w:r>
        <w:t xml:space="preserve"> </w:t>
      </w:r>
      <w:r>
        <w:t xml:space="preserve">Internally, the </w:t>
      </w:r>
      <w:r>
        <w:t>system</w:t>
      </w:r>
      <w:r>
        <w:t xml:space="preserve"> </w:t>
      </w:r>
      <w:r w:rsidR="00EF0754">
        <w:t>was</w:t>
      </w:r>
      <w:r>
        <w:t xml:space="preserve"> simply not yet ready for its citizens to be wealthy without being occupied by hard work</w:t>
      </w:r>
      <w:r w:rsidR="007A30A2">
        <w:t>, and t</w:t>
      </w:r>
      <w:r>
        <w:t xml:space="preserve">he risks </w:t>
      </w:r>
      <w:r w:rsidR="00EF0754">
        <w:t>of mil</w:t>
      </w:r>
      <w:r w:rsidR="007A30A2">
        <w:t>i</w:t>
      </w:r>
      <w:r w:rsidR="00EF0754">
        <w:t>tary force against Taiwan were</w:t>
      </w:r>
      <w:r>
        <w:t xml:space="preserve"> too great.</w:t>
      </w:r>
    </w:p>
    <w:p w14:paraId="554D6366" w14:textId="38179689" w:rsidR="009D4B74" w:rsidRDefault="00EF0754" w:rsidP="009D4B74">
      <w:r>
        <w:lastRenderedPageBreak/>
        <w:t>With so much still</w:t>
      </w:r>
      <w:r w:rsidR="009D4B74">
        <w:t xml:space="preserve"> depend</w:t>
      </w:r>
      <w:r>
        <w:t>ing</w:t>
      </w:r>
      <w:r w:rsidR="009D4B74">
        <w:t xml:space="preserve"> on exports, China soften</w:t>
      </w:r>
      <w:r>
        <w:t>ed</w:t>
      </w:r>
      <w:r w:rsidR="009D4B74">
        <w:t xml:space="preserve"> its image and adjust</w:t>
      </w:r>
      <w:r>
        <w:t>ed</w:t>
      </w:r>
      <w:r w:rsidR="009D4B74">
        <w:t xml:space="preserve"> its outward posture, not out of conversion</w:t>
      </w:r>
      <w:r w:rsidR="007A30A2">
        <w:t xml:space="preserve"> but</w:t>
      </w:r>
      <w:r w:rsidR="009D4B74">
        <w:t xml:space="preserve"> necessity. It refocuse</w:t>
      </w:r>
      <w:r>
        <w:t>d</w:t>
      </w:r>
      <w:r w:rsidR="009D4B74">
        <w:t xml:space="preserve"> its export machine on products that help</w:t>
      </w:r>
      <w:r>
        <w:t>ed</w:t>
      </w:r>
      <w:r w:rsidR="009D4B74">
        <w:t xml:space="preserve"> regional neighbors in Asia and partners across Africa modernize faster. Those customers need</w:t>
      </w:r>
      <w:r>
        <w:t>ed</w:t>
      </w:r>
      <w:r w:rsidR="009D4B74">
        <w:t xml:space="preserve"> electric power equipment, networks, transport, and factory automation. These </w:t>
      </w:r>
      <w:r w:rsidR="000C6E99">
        <w:t>targets</w:t>
      </w:r>
      <w:r w:rsidR="00197B51">
        <w:t xml:space="preserve"> </w:t>
      </w:r>
      <w:r>
        <w:t>would</w:t>
      </w:r>
      <w:r w:rsidR="00197B51">
        <w:t xml:space="preserve"> </w:t>
      </w:r>
      <w:r w:rsidR="009D4B74">
        <w:t>give China a second chance</w:t>
      </w:r>
      <w:r w:rsidR="000C6E99">
        <w:t xml:space="preserve"> in the coming global cycle of</w:t>
      </w:r>
      <w:r w:rsidR="00E61112">
        <w:t xml:space="preserve"> </w:t>
      </w:r>
      <w:r w:rsidR="009D4B74">
        <w:t>physical-sector automation.</w:t>
      </w:r>
    </w:p>
    <w:p w14:paraId="02BEF9B9" w14:textId="45678A4D" w:rsidR="009D4B74" w:rsidRDefault="009D4B74" w:rsidP="009D4B74">
      <w:pPr>
        <w:pStyle w:val="Heading2"/>
      </w:pPr>
      <w:r>
        <w:t>United States</w:t>
      </w:r>
    </w:p>
    <w:p w14:paraId="55713B5A" w14:textId="23FFA4DF" w:rsidR="00BB5A45" w:rsidRDefault="00BB5A45" w:rsidP="00BB5A45">
      <w:pPr>
        <w:rPr>
          <w:rFonts w:ascii="Times New Roman" w:eastAsia="Times New Roman" w:hAnsi="Times New Roman"/>
        </w:rPr>
      </w:pPr>
      <w:r>
        <w:t>America met the storm from the opposite direction. It had the laboratories, venture capital, software talent, and cultural permission to move fast and break things. It could turn ideas into companies faster than anyone else. That was its superpower and its trap</w:t>
      </w:r>
      <w:r>
        <w:t>: t</w:t>
      </w:r>
      <w:r>
        <w:t>he gains arrived first as private property, not as public design.</w:t>
      </w:r>
    </w:p>
    <w:p w14:paraId="11C7351B" w14:textId="558B703A" w:rsidR="00BB5A45" w:rsidRDefault="00BB5A45" w:rsidP="00BB5A45">
      <w:r>
        <w:t xml:space="preserve">When automation began to compress wages beyond a few industries, </w:t>
      </w:r>
      <w:r w:rsidR="00C42B38">
        <w:t xml:space="preserve">old </w:t>
      </w:r>
      <w:r>
        <w:t xml:space="preserve">postures and </w:t>
      </w:r>
      <w:r>
        <w:t xml:space="preserve">arguments returned on cue. </w:t>
      </w:r>
      <w:r w:rsidR="00445458">
        <w:t>Conservatives</w:t>
      </w:r>
      <w:r>
        <w:t xml:space="preserve"> insisted that displaced workers would simply find new jobs, as if history were a law of physics. </w:t>
      </w:r>
      <w:r>
        <w:t>Progressives</w:t>
      </w:r>
      <w:r>
        <w:t xml:space="preserve"> wanted the winners to pay, as if punishment could substitute for a working engine. Neither side </w:t>
      </w:r>
      <w:r w:rsidR="00C42B38">
        <w:t>would</w:t>
      </w:r>
      <w:r>
        <w:t xml:space="preserve"> admit </w:t>
      </w:r>
      <w:r>
        <w:t xml:space="preserve">what the numbers were implying: in a mature, automated economy, labor </w:t>
      </w:r>
      <w:r>
        <w:t>could</w:t>
      </w:r>
      <w:r>
        <w:t xml:space="preserve"> no longer </w:t>
      </w:r>
      <w:r>
        <w:t xml:space="preserve">be </w:t>
      </w:r>
      <w:r>
        <w:t xml:space="preserve">the primary conduit </w:t>
      </w:r>
      <w:r>
        <w:t>carrying</w:t>
      </w:r>
      <w:r>
        <w:t xml:space="preserve"> purchasing power to households at scale.</w:t>
      </w:r>
    </w:p>
    <w:p w14:paraId="0097B09B" w14:textId="1279537B" w:rsidR="00BB5A45" w:rsidRDefault="00BB5A45" w:rsidP="00BB5A45">
      <w:r>
        <w:t>Washington tried the familiar compromise</w:t>
      </w:r>
      <w:r>
        <w:t>s</w:t>
      </w:r>
      <w:r>
        <w:t xml:space="preserve"> of the late twentieth century. Borrow through the transition. Stimulate on the way down</w:t>
      </w:r>
      <w:r>
        <w:t>, p</w:t>
      </w:r>
      <w:r>
        <w:t xml:space="preserve">atch on the way up. </w:t>
      </w:r>
      <w:r w:rsidR="00445458">
        <w:t xml:space="preserve">Argue about taxing wealth. Squeeze health care. </w:t>
      </w:r>
      <w:r>
        <w:t xml:space="preserve">But the patchwork </w:t>
      </w:r>
      <w:r>
        <w:t>couldn’t</w:t>
      </w:r>
      <w:r>
        <w:t xml:space="preserve"> hold</w:t>
      </w:r>
      <w:r>
        <w:t xml:space="preserve"> </w:t>
      </w:r>
      <w:r>
        <w:t>because the leak was structural. When wage income stops rising, household balance sheets stop rising with it. And when households stop rising, the collateral behind the entire credit system begins to soften.</w:t>
      </w:r>
    </w:p>
    <w:p w14:paraId="129CE09B" w14:textId="00846888" w:rsidR="00BB5A45" w:rsidRDefault="00BB5A45" w:rsidP="00BB5A45">
      <w:r>
        <w:t xml:space="preserve">The Federal Reserve understood deflation, but it could not cut interest rates below the basic fact of missing cash flow. Monetary policy could change the price of credit, but it could not guarantee the incomes that made credit safe. The stress appeared where it always </w:t>
      </w:r>
      <w:r>
        <w:t>does</w:t>
      </w:r>
      <w:r>
        <w:t xml:space="preserve"> in America, </w:t>
      </w:r>
      <w:r w:rsidR="00A3036C">
        <w:t xml:space="preserve">first in revolving debt, soon after </w:t>
      </w:r>
      <w:r>
        <w:t xml:space="preserve">in housing, where the middle class is levered. Mortgages began </w:t>
      </w:r>
      <w:r w:rsidR="00A3036C">
        <w:t>failing</w:t>
      </w:r>
      <w:r>
        <w:t xml:space="preserve"> in ways that did not look like the last crisis. The payment shocks </w:t>
      </w:r>
      <w:r w:rsidR="00A3036C">
        <w:t>weren’t</w:t>
      </w:r>
      <w:r>
        <w:t xml:space="preserve"> driven by teaser rates or exotic underwriting</w:t>
      </w:r>
      <w:r w:rsidR="00A3036C">
        <w:t>, they came from</w:t>
      </w:r>
      <w:r>
        <w:t xml:space="preserve"> ordinary families whose work had been made cheaper than their debt</w:t>
      </w:r>
      <w:r w:rsidR="00A3036C">
        <w:t>, if not outright eliminated.</w:t>
      </w:r>
    </w:p>
    <w:p w14:paraId="5D842C13" w14:textId="4C155F61" w:rsidR="00BB5A45" w:rsidRDefault="00445458" w:rsidP="00BB5A45">
      <w:r>
        <w:t>As</w:t>
      </w:r>
      <w:r w:rsidR="00BB5A45">
        <w:t xml:space="preserve"> mortgages </w:t>
      </w:r>
      <w:r>
        <w:t xml:space="preserve">increasingly </w:t>
      </w:r>
      <w:r w:rsidR="00BB5A45">
        <w:t>cracked, the problem revealed its second face</w:t>
      </w:r>
      <w:r>
        <w:t>: c</w:t>
      </w:r>
      <w:r w:rsidR="00BB5A45">
        <w:t xml:space="preserve">orporate credit began to wobble too. If consumers </w:t>
      </w:r>
      <w:r w:rsidR="00A3036C">
        <w:t>can’t</w:t>
      </w:r>
      <w:r w:rsidR="00BB5A45">
        <w:t xml:space="preserve"> buy, revenues </w:t>
      </w:r>
      <w:r w:rsidR="00A3036C">
        <w:t>can’t</w:t>
      </w:r>
      <w:r w:rsidR="00BB5A45">
        <w:t xml:space="preserve"> hold. If revenues </w:t>
      </w:r>
      <w:r w:rsidR="00A3036C">
        <w:t>can’t</w:t>
      </w:r>
      <w:r w:rsidR="00BB5A45">
        <w:t xml:space="preserve"> hold, debt </w:t>
      </w:r>
      <w:r w:rsidR="00A3036C">
        <w:t>can’t</w:t>
      </w:r>
      <w:r w:rsidR="00BB5A45">
        <w:t xml:space="preserve"> roll forever. The storm that began in software reached the balance sheets of the physical economy.</w:t>
      </w:r>
    </w:p>
    <w:p w14:paraId="1BC786F6" w14:textId="7EA207A7" w:rsidR="00BB5A45" w:rsidRDefault="00BB5A45" w:rsidP="00BB5A45">
      <w:r>
        <w:t>Only then did the argument change. It stopped being a fight about fairness and became a fight about continuity. The question was no longer whether capitalism was mora</w:t>
      </w:r>
      <w:r w:rsidR="00445458">
        <w:t>l, but how it</w:t>
      </w:r>
      <w:r>
        <w:t xml:space="preserve"> could be mechanically stable when </w:t>
      </w:r>
      <w:r w:rsidR="00445458">
        <w:t>labor</w:t>
      </w:r>
      <w:r>
        <w:t xml:space="preserve"> was no longer the main distribution system. The crisis forced a realization that should have been obvious in retrospect: capitalism had to be preserved by redesigning its loop, so that household purchasing power could be sustained without relying on ever expanding labor income.</w:t>
      </w:r>
    </w:p>
    <w:p w14:paraId="17110363" w14:textId="14FBF014" w:rsidR="00445458" w:rsidRDefault="00FE2516" w:rsidP="00BB5A45">
      <w:r>
        <w:lastRenderedPageBreak/>
        <w:t xml:space="preserve">Perhaps most remarkably, it was AI itself that made the necessary policy solutions credible and acceptable. Political arguments are always qualitative, self-serving, and incomplete. But AI coupled with deep new data collection systems made it possible to understand the problem quantitatively. Specialists described and discussed the necessary modeling, using vast arrays of detailed, real numbers from the real economy; but AI made the understanding of it accessible and credible to everyday people. All the work on “AI safety” and suppressing “hallucinations” and building medical systems smarter than most physicians paid off in an unexpected way: machines become more trustworthy, and more trusted, than politicians. Machines that </w:t>
      </w:r>
      <w:r w:rsidR="00C669FF">
        <w:t>understood</w:t>
      </w:r>
      <w:r>
        <w:t xml:space="preserve"> and explain</w:t>
      </w:r>
      <w:r w:rsidR="00C669FF">
        <w:t>ed</w:t>
      </w:r>
      <w:r>
        <w:t xml:space="preserve"> </w:t>
      </w:r>
      <w:r w:rsidR="00C669FF">
        <w:t>complex matters simply and</w:t>
      </w:r>
      <w:r>
        <w:t xml:space="preserve"> honestl</w:t>
      </w:r>
      <w:r w:rsidR="00C669FF">
        <w:t>y</w:t>
      </w:r>
      <w:r>
        <w:t xml:space="preserve"> </w:t>
      </w:r>
      <w:r w:rsidR="00C669FF">
        <w:t>provided -</w:t>
      </w:r>
      <w:r>
        <w:t xml:space="preserve"> literally </w:t>
      </w:r>
      <w:r w:rsidR="00C669FF">
        <w:t xml:space="preserve">- </w:t>
      </w:r>
      <w:r>
        <w:t>a revelation that transformed politics</w:t>
      </w:r>
      <w:r w:rsidR="00C669FF">
        <w:t xml:space="preserve">. </w:t>
      </w:r>
    </w:p>
    <w:p w14:paraId="788AFB5A" w14:textId="77777777" w:rsidR="009D4B74" w:rsidRDefault="009D4B74" w:rsidP="009D4B74"/>
    <w:p w14:paraId="63A51657" w14:textId="5A28E89B" w:rsidR="009D4B74" w:rsidRDefault="009D4B74" w:rsidP="009D4B74">
      <w:pPr>
        <w:pStyle w:val="Heading2"/>
      </w:pPr>
      <w:r>
        <w:t>Europe</w:t>
      </w:r>
    </w:p>
    <w:p w14:paraId="048E6089" w14:textId="77777777" w:rsidR="009D4B74" w:rsidRDefault="009D4B74" w:rsidP="009D4B74"/>
    <w:p w14:paraId="1D6AA66A" w14:textId="10E00EDB" w:rsidR="00C623D4" w:rsidRPr="00715120" w:rsidRDefault="00C623D4" w:rsidP="00C623D4">
      <w:pPr>
        <w:pStyle w:val="Heading1"/>
      </w:pPr>
      <w:r w:rsidRPr="00715120">
        <w:t xml:space="preserve">Escaping the Fisher </w:t>
      </w:r>
      <w:r w:rsidR="007D22D7">
        <w:t xml:space="preserve">Deflation </w:t>
      </w:r>
      <w:r w:rsidRPr="00715120">
        <w:t>Trap</w:t>
      </w:r>
    </w:p>
    <w:p w14:paraId="64221384" w14:textId="771D4406" w:rsidR="00C623D4" w:rsidRPr="00715120" w:rsidRDefault="00C623D4" w:rsidP="00C623D4">
      <w:pPr>
        <w:spacing w:before="100" w:beforeAutospacing="1" w:after="100" w:afterAutospacing="1" w:line="240" w:lineRule="auto"/>
        <w:rPr>
          <w:rFonts w:eastAsia="Times New Roman" w:cs="Times New Roman"/>
          <w:color w:val="000000"/>
        </w:rPr>
      </w:pPr>
      <w:r w:rsidRPr="00715120">
        <w:rPr>
          <w:rFonts w:eastAsia="Times New Roman" w:cs="Times New Roman"/>
          <w:color w:val="000000"/>
        </w:rPr>
        <w:t>The defining feature of a successful transition to machine-intelligence automation is hyper-abundance, which manifests macroeconomically as severe, structural deflation. While falling prices represent a massive increase in real purchasing power for baseline consumption, they introduce a lethal systemic vulnerability into the legacy financial plumbing: fixed debt</w:t>
      </w:r>
      <w:r w:rsidR="005859D9">
        <w:rPr>
          <w:rFonts w:eastAsia="Times New Roman" w:cs="Times New Roman"/>
          <w:color w:val="000000"/>
        </w:rPr>
        <w:t xml:space="preserve"> contracts defined in nominal </w:t>
      </w:r>
      <w:proofErr w:type="gramStart"/>
      <w:r w:rsidR="005859D9">
        <w:rPr>
          <w:rFonts w:eastAsia="Times New Roman" w:cs="Times New Roman"/>
          <w:color w:val="000000"/>
        </w:rPr>
        <w:t>terms;</w:t>
      </w:r>
      <w:proofErr w:type="gramEnd"/>
      <w:r w:rsidR="005859D9">
        <w:rPr>
          <w:rFonts w:eastAsia="Times New Roman" w:cs="Times New Roman"/>
          <w:color w:val="000000"/>
        </w:rPr>
        <w:t xml:space="preserve"> which is to say, mortgages, bonds and the like.</w:t>
      </w:r>
    </w:p>
    <w:p w14:paraId="0A539ADA" w14:textId="77777777" w:rsidR="00C623D4" w:rsidRPr="00715120" w:rsidRDefault="00C623D4" w:rsidP="00C623D4">
      <w:pPr>
        <w:spacing w:before="100" w:beforeAutospacing="1" w:after="100" w:afterAutospacing="1" w:line="240" w:lineRule="auto"/>
        <w:rPr>
          <w:rFonts w:eastAsia="Times New Roman" w:cs="Times New Roman"/>
          <w:color w:val="000000"/>
        </w:rPr>
      </w:pPr>
      <w:r w:rsidRPr="00715120">
        <w:rPr>
          <w:rFonts w:eastAsia="Times New Roman" w:cs="Times New Roman"/>
          <w:color w:val="000000"/>
        </w:rPr>
        <w:t>In a traditional economy, a 30-year fixed-rate mortgage is a cornerstone of middle-class financial stability. But in an AI-driven deflationary environment, where both prices and wage-incomes are falling rapidly, the </w:t>
      </w:r>
      <w:r w:rsidRPr="00715120">
        <w:rPr>
          <w:rFonts w:eastAsia="Times New Roman" w:cs="Times New Roman"/>
          <w:i/>
          <w:iCs/>
          <w:color w:val="000000"/>
        </w:rPr>
        <w:t>real</w:t>
      </w:r>
      <w:r w:rsidRPr="00715120">
        <w:rPr>
          <w:rFonts w:eastAsia="Times New Roman" w:cs="Times New Roman"/>
          <w:color w:val="000000"/>
        </w:rPr>
        <w:t> burden of that fixed nominal payment skyrockets. If a household's nominal income is cut in half by automation, a fixed $2,000 monthly mortgage effectively becomes a $4,000 monthly burden.</w:t>
      </w:r>
    </w:p>
    <w:p w14:paraId="44686640" w14:textId="7F846BDE" w:rsidR="00C623D4" w:rsidRPr="00715120" w:rsidRDefault="00C623D4" w:rsidP="00C623D4">
      <w:pPr>
        <w:spacing w:before="100" w:beforeAutospacing="1" w:after="100" w:afterAutospacing="1" w:line="240" w:lineRule="auto"/>
        <w:rPr>
          <w:rFonts w:eastAsia="Times New Roman" w:cs="Times New Roman"/>
          <w:color w:val="000000"/>
        </w:rPr>
      </w:pPr>
      <w:r w:rsidRPr="00715120">
        <w:rPr>
          <w:rFonts w:eastAsia="Times New Roman" w:cs="Times New Roman"/>
          <w:color w:val="000000"/>
        </w:rPr>
        <w:t>Historically, this triggers Irving Fisher’s classic debt-deflation spiral: households drastically slash consumption to service their crushing debt, which destroys aggregate demand, driving prices even lower</w:t>
      </w:r>
      <w:r w:rsidR="00A94FCD">
        <w:rPr>
          <w:rFonts w:eastAsia="Times New Roman" w:cs="Times New Roman"/>
          <w:color w:val="000000"/>
        </w:rPr>
        <w:t>.</w:t>
      </w:r>
      <w:r w:rsidRPr="00715120">
        <w:rPr>
          <w:rFonts w:eastAsia="Times New Roman" w:cs="Times New Roman"/>
          <w:color w:val="000000"/>
        </w:rPr>
        <w:t xml:space="preserve"> </w:t>
      </w:r>
      <w:r w:rsidR="00A94FCD">
        <w:rPr>
          <w:rFonts w:eastAsia="Times New Roman" w:cs="Times New Roman"/>
          <w:color w:val="000000"/>
        </w:rPr>
        <w:t>U</w:t>
      </w:r>
      <w:r w:rsidRPr="00715120">
        <w:rPr>
          <w:rFonts w:eastAsia="Times New Roman" w:cs="Times New Roman"/>
          <w:color w:val="000000"/>
        </w:rPr>
        <w:t>ltimately</w:t>
      </w:r>
      <w:r w:rsidR="00A94FCD">
        <w:rPr>
          <w:rFonts w:eastAsia="Times New Roman" w:cs="Times New Roman"/>
          <w:color w:val="000000"/>
        </w:rPr>
        <w:t xml:space="preserve">, </w:t>
      </w:r>
      <w:r w:rsidRPr="00715120">
        <w:rPr>
          <w:rFonts w:eastAsia="Times New Roman" w:cs="Times New Roman"/>
          <w:color w:val="000000"/>
        </w:rPr>
        <w:t>mass defaults wipe out bank equity and freeze the credit system.</w:t>
      </w:r>
    </w:p>
    <w:p w14:paraId="742782E8" w14:textId="017CF387" w:rsidR="00C623D4" w:rsidRPr="00715120" w:rsidRDefault="00C623D4" w:rsidP="00C623D4">
      <w:pPr>
        <w:spacing w:before="100" w:beforeAutospacing="1" w:after="100" w:afterAutospacing="1" w:line="240" w:lineRule="auto"/>
        <w:rPr>
          <w:rFonts w:eastAsia="Times New Roman" w:cs="Times New Roman"/>
          <w:color w:val="000000"/>
        </w:rPr>
      </w:pPr>
      <w:r>
        <w:rPr>
          <w:rFonts w:eastAsia="Times New Roman" w:cs="Times New Roman"/>
          <w:color w:val="000000"/>
        </w:rPr>
        <w:t>T</w:t>
      </w:r>
      <w:r w:rsidRPr="00715120">
        <w:rPr>
          <w:rFonts w:eastAsia="Times New Roman" w:cs="Times New Roman"/>
          <w:color w:val="000000"/>
        </w:rPr>
        <w:t xml:space="preserve">his dynamic </w:t>
      </w:r>
      <w:r>
        <w:rPr>
          <w:rFonts w:eastAsia="Times New Roman" w:cs="Times New Roman"/>
          <w:color w:val="000000"/>
        </w:rPr>
        <w:t xml:space="preserve">also </w:t>
      </w:r>
      <w:r w:rsidRPr="00715120">
        <w:rPr>
          <w:rFonts w:eastAsia="Times New Roman" w:cs="Times New Roman"/>
          <w:color w:val="000000"/>
        </w:rPr>
        <w:t xml:space="preserve">introduces a paralyzing "lock-in effect." If the nominal value of homes falls alongside the broader price level, households become trapped underwater. They </w:t>
      </w:r>
      <w:r w:rsidR="005859D9">
        <w:rPr>
          <w:rFonts w:eastAsia="Times New Roman" w:cs="Times New Roman"/>
          <w:color w:val="000000"/>
        </w:rPr>
        <w:t>can’t</w:t>
      </w:r>
      <w:r w:rsidRPr="00715120">
        <w:rPr>
          <w:rFonts w:eastAsia="Times New Roman" w:cs="Times New Roman"/>
          <w:color w:val="000000"/>
        </w:rPr>
        <w:t xml:space="preserve"> sell their homes to move for new opportunities or downsize, </w:t>
      </w:r>
      <w:r w:rsidR="005859D9">
        <w:rPr>
          <w:rFonts w:eastAsia="Times New Roman" w:cs="Times New Roman"/>
          <w:color w:val="000000"/>
        </w:rPr>
        <w:t>which freezes</w:t>
      </w:r>
      <w:r w:rsidRPr="00715120">
        <w:rPr>
          <w:rFonts w:eastAsia="Times New Roman" w:cs="Times New Roman"/>
          <w:color w:val="000000"/>
        </w:rPr>
        <w:t xml:space="preserve"> labor and housing mobility precisely when the economy requires maximum structural flexibility.</w:t>
      </w:r>
    </w:p>
    <w:p w14:paraId="328A367F" w14:textId="456D935D" w:rsidR="00C623D4" w:rsidRDefault="00C623D4" w:rsidP="00C623D4">
      <w:pPr>
        <w:pStyle w:val="Heading2"/>
      </w:pPr>
      <w:r w:rsidRPr="00715120">
        <w:t>Policy Choice: Hybrid Index and Bank Neutralization Transfer </w:t>
      </w:r>
    </w:p>
    <w:p w14:paraId="2AD6006F" w14:textId="00DCD2A8" w:rsidR="00C623D4" w:rsidRPr="00715120" w:rsidRDefault="00C623D4" w:rsidP="00C623D4">
      <w:pPr>
        <w:spacing w:before="100" w:beforeAutospacing="1" w:after="100" w:afterAutospacing="1" w:line="240" w:lineRule="auto"/>
        <w:rPr>
          <w:rFonts w:eastAsia="Times New Roman" w:cs="Times New Roman"/>
          <w:color w:val="000000"/>
        </w:rPr>
      </w:pPr>
      <w:r w:rsidRPr="00715120">
        <w:rPr>
          <w:rFonts w:eastAsia="Times New Roman" w:cs="Times New Roman"/>
          <w:color w:val="000000"/>
        </w:rPr>
        <w:t>To preserve the capitalist credit engine and protect the fixed-income market (the primary asset base of the banking sector), </w:t>
      </w:r>
      <w:proofErr w:type="spellStart"/>
      <w:r w:rsidRPr="00715120">
        <w:rPr>
          <w:rFonts w:eastAsia="Times New Roman" w:cs="Times New Roman"/>
          <w:i/>
          <w:iCs/>
          <w:color w:val="000000"/>
        </w:rPr>
        <w:t>EconomySim</w:t>
      </w:r>
      <w:proofErr w:type="spellEnd"/>
      <w:r w:rsidRPr="00715120">
        <w:rPr>
          <w:rFonts w:eastAsia="Times New Roman" w:cs="Times New Roman"/>
          <w:color w:val="000000"/>
        </w:rPr>
        <w:t> introduces a dynamic indexing and neutralization mechanism. The policy explicitly rejects both the liquidation of the middle class (mass default) and the destruction of bank capital (forced loan write-downs).</w:t>
      </w:r>
    </w:p>
    <w:p w14:paraId="6EDB696E" w14:textId="77777777" w:rsidR="00C623D4" w:rsidRPr="00715120" w:rsidRDefault="00C623D4" w:rsidP="00C623D4">
      <w:pPr>
        <w:spacing w:before="100" w:beforeAutospacing="1" w:after="100" w:afterAutospacing="1" w:line="240" w:lineRule="auto"/>
        <w:rPr>
          <w:rFonts w:eastAsia="Times New Roman" w:cs="Times New Roman"/>
          <w:color w:val="000000"/>
        </w:rPr>
      </w:pPr>
      <w:r w:rsidRPr="00715120">
        <w:rPr>
          <w:rFonts w:eastAsia="Times New Roman" w:cs="Times New Roman"/>
          <w:color w:val="000000"/>
        </w:rPr>
        <w:lastRenderedPageBreak/>
        <w:t>The policy operates in two steps:</w:t>
      </w:r>
    </w:p>
    <w:p w14:paraId="72688942" w14:textId="77777777" w:rsidR="00C623D4" w:rsidRDefault="00C623D4" w:rsidP="00C623D4">
      <w:pPr>
        <w:pStyle w:val="Heading3"/>
      </w:pPr>
      <w:r w:rsidRPr="00715120">
        <w:t>1. The Hybrid Index (Protecting the Household) </w:t>
      </w:r>
    </w:p>
    <w:p w14:paraId="2F66A330" w14:textId="77777777" w:rsidR="00C623D4" w:rsidRPr="00715120" w:rsidRDefault="00C623D4" w:rsidP="00C623D4">
      <w:pPr>
        <w:spacing w:before="100" w:beforeAutospacing="1" w:after="100" w:afterAutospacing="1" w:line="240" w:lineRule="auto"/>
        <w:rPr>
          <w:rFonts w:eastAsia="Times New Roman" w:cs="Times New Roman"/>
          <w:color w:val="000000"/>
        </w:rPr>
      </w:pPr>
      <w:r w:rsidRPr="00715120">
        <w:rPr>
          <w:rFonts w:eastAsia="Times New Roman" w:cs="Times New Roman"/>
          <w:color w:val="000000"/>
        </w:rPr>
        <w:t>The required contractual payment for legacy household debt is dynamically adjusted downward using a geometric blend of a Price Series and an Income Series. By tracking the </w:t>
      </w:r>
      <w:r w:rsidRPr="00715120">
        <w:rPr>
          <w:rFonts w:eastAsia="Times New Roman" w:cs="Times New Roman"/>
          <w:i/>
          <w:iCs/>
          <w:color w:val="000000"/>
        </w:rPr>
        <w:t>Current Contractual</w:t>
      </w:r>
      <w:r w:rsidRPr="00715120">
        <w:rPr>
          <w:rFonts w:eastAsia="Times New Roman" w:cs="Times New Roman"/>
          <w:color w:val="000000"/>
        </w:rPr>
        <w:t> path rather than the original origination amount, the relief scales precisely with the dual squeeze of the transition: it adjusts for both the drop in the cost of living and the collapse of the wage share.</w:t>
      </w:r>
    </w:p>
    <w:p w14:paraId="0F8F25CF" w14:textId="77777777" w:rsidR="00C623D4" w:rsidRPr="00715120" w:rsidRDefault="00C623D4" w:rsidP="00C623D4">
      <w:pPr>
        <w:spacing w:before="100" w:beforeAutospacing="1" w:after="100" w:afterAutospacing="1" w:line="240" w:lineRule="auto"/>
        <w:rPr>
          <w:rFonts w:eastAsia="Times New Roman" w:cs="Times New Roman"/>
          <w:color w:val="000000"/>
        </w:rPr>
      </w:pPr>
      <w:r w:rsidRPr="00715120">
        <w:rPr>
          <w:rFonts w:eastAsia="Times New Roman" w:cs="Times New Roman"/>
          <w:color w:val="000000"/>
        </w:rPr>
        <w:t>For the household, the deflationary penalty is stripped out of the contract. The real burden of their debt remains proportional to their actual, transition-era purchasing power, freeing up their remaining cash flow to support real consumption and the aggregate VAT base.</w:t>
      </w:r>
    </w:p>
    <w:p w14:paraId="01AA209D" w14:textId="77777777" w:rsidR="00C623D4" w:rsidRDefault="00C623D4" w:rsidP="00C623D4">
      <w:pPr>
        <w:pStyle w:val="Heading3"/>
      </w:pPr>
      <w:r w:rsidRPr="00715120">
        <w:t>2. The Neutralization Transfer (Protecting the Bondholder) </w:t>
      </w:r>
    </w:p>
    <w:p w14:paraId="76B1D32A" w14:textId="13BAB114" w:rsidR="00C623D4" w:rsidRPr="00715120" w:rsidRDefault="00C623D4" w:rsidP="00C623D4">
      <w:pPr>
        <w:spacing w:before="100" w:beforeAutospacing="1" w:after="100" w:afterAutospacing="1" w:line="240" w:lineRule="auto"/>
        <w:rPr>
          <w:rFonts w:eastAsia="Times New Roman" w:cs="Times New Roman"/>
          <w:color w:val="000000"/>
        </w:rPr>
      </w:pPr>
      <w:r w:rsidRPr="00715120">
        <w:rPr>
          <w:rFonts w:eastAsia="Times New Roman" w:cs="Times New Roman"/>
          <w:color w:val="000000"/>
        </w:rPr>
        <w:t>Simply reducing the household's payment would force the banking sector to absorb the loss of expected yield, eventually pushing bank equity negative. Instead, the model defines the difference between the original expected payment and the new indexed payment as the </w:t>
      </w:r>
      <w:r w:rsidRPr="00715120">
        <w:rPr>
          <w:rFonts w:eastAsia="Times New Roman" w:cs="Times New Roman"/>
          <w:i/>
          <w:iCs/>
          <w:color w:val="000000"/>
        </w:rPr>
        <w:t>Deflationary Gap</w:t>
      </w:r>
      <w:r w:rsidRPr="00715120">
        <w:rPr>
          <w:rFonts w:eastAsia="Times New Roman" w:cs="Times New Roman"/>
          <w:color w:val="000000"/>
        </w:rPr>
        <w:t>.</w:t>
      </w:r>
    </w:p>
    <w:p w14:paraId="1EFEF1F0" w14:textId="77777777" w:rsidR="00C623D4" w:rsidRPr="00715120" w:rsidRDefault="00C623D4" w:rsidP="00C623D4">
      <w:pPr>
        <w:spacing w:before="100" w:beforeAutospacing="1" w:after="100" w:afterAutospacing="1" w:line="240" w:lineRule="auto"/>
        <w:rPr>
          <w:rFonts w:eastAsia="Times New Roman" w:cs="Times New Roman"/>
          <w:color w:val="000000"/>
        </w:rPr>
      </w:pPr>
      <w:r w:rsidRPr="00715120">
        <w:rPr>
          <w:rFonts w:eastAsia="Times New Roman" w:cs="Times New Roman"/>
          <w:color w:val="000000"/>
        </w:rPr>
        <w:t>The policy choice is to fund this gap through the macroeconomic state via a targeted transfer. The Government node steps in to make the banking sector whole, paying the gap</w:t>
      </w:r>
      <w:r>
        <w:rPr>
          <w:rFonts w:eastAsia="Times New Roman" w:cs="Times New Roman"/>
          <w:color w:val="000000"/>
        </w:rPr>
        <w:t xml:space="preserve"> </w:t>
      </w:r>
      <w:r w:rsidRPr="00715120">
        <w:rPr>
          <w:rFonts w:eastAsia="Times New Roman" w:cs="Times New Roman"/>
          <w:color w:val="000000"/>
        </w:rPr>
        <w:t>directly to the lenders.</w:t>
      </w:r>
    </w:p>
    <w:p w14:paraId="359456FC" w14:textId="32B495D7" w:rsidR="00C623D4" w:rsidRPr="00C623D4" w:rsidRDefault="00C623D4" w:rsidP="00C623D4">
      <w:pPr>
        <w:pStyle w:val="Heading3"/>
      </w:pPr>
      <w:r w:rsidRPr="00715120">
        <w:t>Why It Works </w:t>
      </w:r>
    </w:p>
    <w:p w14:paraId="16D9D060" w14:textId="56E5F9BB" w:rsidR="00C623D4" w:rsidRPr="00F22CE0" w:rsidRDefault="00C623D4" w:rsidP="00F22CE0">
      <w:pPr>
        <w:rPr>
          <w:rFonts w:ascii="Times New Roman" w:eastAsia="Times New Roman" w:hAnsi="Times New Roman"/>
        </w:rPr>
      </w:pPr>
      <w:r w:rsidRPr="00715120">
        <w:rPr>
          <w:rFonts w:eastAsia="Times New Roman" w:cs="Times New Roman"/>
          <w:color w:val="000000"/>
        </w:rPr>
        <w:t>The political economy of a "bank bailout" is usually toxic, as it implies taxing human labor to save institutional capital. However, in the hyper-abundant automation scenario, this dynamic is inverted.</w:t>
      </w:r>
      <w:r w:rsidR="00F22CE0" w:rsidRPr="00F22CE0">
        <w:t xml:space="preserve"> </w:t>
      </w:r>
      <w:r w:rsidR="00F22CE0">
        <w:t>In the 2008 financial crisis, bank bailouts triggered generational political outrage because they were funded by public debt while households were left to default.</w:t>
      </w:r>
    </w:p>
    <w:p w14:paraId="3D1BA9A6" w14:textId="77777777" w:rsidR="00C623D4" w:rsidRPr="00715120" w:rsidRDefault="00C623D4" w:rsidP="00C623D4">
      <w:pPr>
        <w:spacing w:before="100" w:beforeAutospacing="1" w:after="100" w:afterAutospacing="1" w:line="240" w:lineRule="auto"/>
        <w:rPr>
          <w:rFonts w:eastAsia="Times New Roman" w:cs="Times New Roman"/>
          <w:color w:val="000000"/>
        </w:rPr>
      </w:pPr>
      <w:r w:rsidRPr="00715120">
        <w:rPr>
          <w:rFonts w:eastAsia="Times New Roman" w:cs="Times New Roman"/>
          <w:color w:val="000000"/>
        </w:rPr>
        <w:t>Because the Social Wealth Trust and the Universal Basic Income keep the consumer base solvent, aggregate demand remains high. Because demand is high, the highly automated corporate sector generates immense retained earnings. The dynamic Corporate Tax and the VAT capture a portion of this massive, machine-generated surplus.</w:t>
      </w:r>
    </w:p>
    <w:p w14:paraId="0E41E5C8" w14:textId="5A360057" w:rsidR="006B6A9D" w:rsidRDefault="00C623D4" w:rsidP="00C623D4">
      <w:pPr>
        <w:spacing w:before="100" w:beforeAutospacing="1" w:after="100" w:afterAutospacing="1" w:line="240" w:lineRule="auto"/>
        <w:rPr>
          <w:rFonts w:eastAsia="Times New Roman" w:cs="Times New Roman"/>
          <w:color w:val="000000"/>
        </w:rPr>
      </w:pPr>
      <w:r w:rsidRPr="00715120">
        <w:rPr>
          <w:rFonts w:eastAsia="Times New Roman" w:cs="Times New Roman"/>
          <w:color w:val="000000"/>
        </w:rPr>
        <w:t>Simulation runs demonstrate that these endogenous tax receipts are sufficient to fully cover the transfer without triggering inflationary monetary issuance. The immense productivity gains of artificial intelligence are successfully taxed to peacefully dismantle the legacy debt of the human workforce. The bondholders receive their expected yield, the households keep their homes, and the transition to a high-wealth, low-wage economy crosses the "valley of death" with its financial infrastructure fully intact.</w:t>
      </w:r>
    </w:p>
    <w:p w14:paraId="63985BA4" w14:textId="0CDBF812" w:rsidR="007D22D7" w:rsidRDefault="007D22D7" w:rsidP="007D22D7">
      <w:r>
        <w:t xml:space="preserve">The </w:t>
      </w:r>
      <w:r>
        <w:rPr>
          <w:rStyle w:val="apple-converted-space"/>
          <w:color w:val="000000"/>
        </w:rPr>
        <w:t>debt </w:t>
      </w:r>
      <w:r>
        <w:t>indexing policy completely rewrites this political economy. Households get the relief</w:t>
      </w:r>
      <w:r>
        <w:rPr>
          <w:rStyle w:val="apple-converted-space"/>
          <w:color w:val="000000"/>
        </w:rPr>
        <w:t> </w:t>
      </w:r>
      <w:r>
        <w:rPr>
          <w:i/>
          <w:iCs/>
        </w:rPr>
        <w:t>first</w:t>
      </w:r>
      <w:r>
        <w:t>: their required payments drop. The banks are then kept whole by a transfer from the government. But because this transfer is funded by taxing the very corporate profits that automation is generating, it isn't an unfair public burden. It is exactly what our fictional CFO described: a macroeconomic stability premium.</w:t>
      </w:r>
    </w:p>
    <w:p w14:paraId="56F88C90" w14:textId="77777777" w:rsidR="007D22D7" w:rsidRPr="00C623D4" w:rsidRDefault="007D22D7" w:rsidP="00C623D4">
      <w:pPr>
        <w:spacing w:before="100" w:beforeAutospacing="1" w:after="100" w:afterAutospacing="1" w:line="240" w:lineRule="auto"/>
        <w:rPr>
          <w:rFonts w:eastAsia="Times New Roman" w:cs="Times New Roman"/>
          <w:color w:val="000000"/>
        </w:rPr>
      </w:pPr>
    </w:p>
    <w:p w14:paraId="1118D904" w14:textId="77777777" w:rsidR="00AC7DE6" w:rsidRDefault="00AC7DE6">
      <w:pPr>
        <w:rPr>
          <w:rFonts w:asciiTheme="majorHAnsi" w:eastAsiaTheme="majorEastAsia" w:hAnsiTheme="majorHAnsi" w:cstheme="majorBidi"/>
          <w:b/>
          <w:bCs/>
          <w:color w:val="365F91" w:themeColor="accent1" w:themeShade="BF"/>
          <w:sz w:val="28"/>
          <w:szCs w:val="28"/>
        </w:rPr>
      </w:pPr>
      <w:r>
        <w:br w:type="page"/>
      </w:r>
    </w:p>
    <w:p w14:paraId="014A1A24" w14:textId="657E2472" w:rsidR="000A0349" w:rsidRDefault="00000000">
      <w:pPr>
        <w:pStyle w:val="Heading1"/>
      </w:pPr>
      <w:r>
        <w:lastRenderedPageBreak/>
        <w:t xml:space="preserve">Policy architecture </w:t>
      </w:r>
      <w:r w:rsidR="0034731E">
        <w:t>summary</w:t>
      </w:r>
    </w:p>
    <w:p w14:paraId="12D98696" w14:textId="77777777" w:rsidR="000A0349" w:rsidRDefault="00000000">
      <w:r>
        <w:t>In EconomySim, the policy mechanisms are not asserted as "the answer." They are parameterized control rules whose job is to keep aggregate demand, investment incentives, and distributional outcomes inside a viable region as automation shifts the wage/profit split.</w:t>
      </w:r>
    </w:p>
    <w:p w14:paraId="3E0CE21D" w14:textId="77777777" w:rsidR="000A0349" w:rsidRDefault="00000000">
      <w:r>
        <w:t>The main instruments are:</w:t>
      </w:r>
    </w:p>
    <w:p w14:paraId="0F4B4BAA" w14:textId="77777777" w:rsidR="000A0349" w:rsidRDefault="00000000">
      <w:pPr>
        <w:pStyle w:val="ListBullet"/>
      </w:pPr>
      <w:r>
        <w:t>Social Wealth Trust (FUND): accumulates equity over time, subject to an explicit ownership cap.</w:t>
      </w:r>
    </w:p>
    <w:p w14:paraId="56A281D0" w14:textId="77777777" w:rsidR="000A0349" w:rsidRDefault="00000000">
      <w:pPr>
        <w:pStyle w:val="ListBullet"/>
      </w:pPr>
      <w:r>
        <w:t>Universal Basic Income (UBI): defined as a baseline real-income pool with a non-decreasing ratchet.</w:t>
      </w:r>
    </w:p>
    <w:p w14:paraId="335AE639" w14:textId="77777777" w:rsidR="000A0349" w:rsidRDefault="00000000">
      <w:pPr>
        <w:pStyle w:val="ListBullet"/>
      </w:pPr>
      <w:r>
        <w:t>VAT plus prebate: a broad consumption tax paired with a targeted low-income VAT credit.</w:t>
      </w:r>
    </w:p>
    <w:p w14:paraId="413EF47F" w14:textId="77777777" w:rsidR="000A0349" w:rsidRDefault="00000000">
      <w:pPr>
        <w:pStyle w:val="ListBullet"/>
      </w:pPr>
      <w:r>
        <w:t>Marginal income tax: applied above a percentile-defined cutoff; UBI excluded from the income-tax base.</w:t>
      </w:r>
    </w:p>
    <w:p w14:paraId="2736732C" w14:textId="77777777" w:rsidR="000A0349" w:rsidRDefault="00000000">
      <w:pPr>
        <w:pStyle w:val="ListBullet"/>
      </w:pPr>
      <w:r>
        <w:t>Corporate income tax: may rise automatically as wage payments fall relative to baseline.</w:t>
      </w:r>
    </w:p>
    <w:p w14:paraId="6EED19F3" w14:textId="77777777" w:rsidR="000A0349" w:rsidRDefault="00000000">
      <w:pPr>
        <w:pStyle w:val="ListBullet"/>
      </w:pPr>
      <w:r>
        <w:t>Optional surplus recycling: rebates a share of net government deposits back to households.</w:t>
      </w:r>
    </w:p>
    <w:p w14:paraId="19097D9C" w14:textId="77777777" w:rsidR="000A0349" w:rsidRDefault="00000000">
      <w:pPr>
        <w:pStyle w:val="ListBullet"/>
      </w:pPr>
      <w:r>
        <w:t>Monetary/credit rules: overdrafts convert automatically to credit (no hard default) to avoid demand collapses from cascading defaults.</w:t>
      </w:r>
    </w:p>
    <w:p w14:paraId="14143A85" w14:textId="229D2ED2" w:rsidR="0034731E" w:rsidRDefault="0034731E">
      <w:pPr>
        <w:pStyle w:val="ListBullet"/>
      </w:pPr>
      <w:r>
        <w:t>Indexed mortgages to alleviate deflationary risk of default and lender collapse.</w:t>
      </w:r>
    </w:p>
    <w:p w14:paraId="1C248697" w14:textId="77777777" w:rsidR="000A0349" w:rsidRDefault="00000000">
      <w:pPr>
        <w:pStyle w:val="Heading1"/>
      </w:pPr>
      <w:r>
        <w:t>1. Social Wealth Trust regime (FUND)</w:t>
      </w:r>
    </w:p>
    <w:p w14:paraId="404C1C2F" w14:textId="77777777" w:rsidR="000A0349" w:rsidRDefault="00000000">
      <w:pPr>
        <w:pStyle w:val="Heading2"/>
      </w:pPr>
      <w:r>
        <w:t>1.1 Activation trigger</w:t>
      </w:r>
    </w:p>
    <w:p w14:paraId="42E1FBEF" w14:textId="77777777" w:rsidR="000A0349" w:rsidRDefault="00000000">
      <w:r>
        <w:t>Policy choice: FUND activates only when household debt-service stress exceeds a threshold, so the Trust behaves like an automatic stabilizer rather than a permanently active institution.</w:t>
      </w:r>
    </w:p>
    <w:p w14:paraId="728AD6E3" w14:textId="77777777" w:rsidR="000A0349" w:rsidRDefault="00000000">
      <w:r>
        <w:t>Implementation note: The trigger metric is last-quarter household debt-service stress measured at the upper tail. The model takes the maximum of (i) the 90th-percentile ratio of interest payments to wages among employed debtors (wage-only) and (ii) the 90th-percentile ratio of interest payments to wages plus UBI among debtor households (inclusive). If the metric is unavailable (for example, if population mode is disabled), a legacy proxy may be used. Threshold: trust_trigger_dti.</w:t>
      </w:r>
    </w:p>
    <w:p w14:paraId="5362C537" w14:textId="77777777" w:rsidR="000A0349" w:rsidRDefault="00000000">
      <w:pPr>
        <w:pStyle w:val="Heading2"/>
      </w:pPr>
      <w:r>
        <w:t>1.2 Leveraged launch (optional)</w:t>
      </w:r>
    </w:p>
    <w:p w14:paraId="0F34A779" w14:textId="77777777" w:rsidR="000A0349" w:rsidRDefault="00000000">
      <w:r>
        <w:t>Policy choice: On activation, FUND may be jump-started using bank-created credit, accelerating broad ownership rather than relying only on gradual accumulation.</w:t>
      </w:r>
    </w:p>
    <w:p w14:paraId="72099449" w14:textId="77777777" w:rsidR="000A0349" w:rsidRDefault="00000000">
      <w:r>
        <w:t>Implementation note: If trust_launch_loan &gt; 0, the bank lends to FUND (creating FUND deposits) and FUND purchases 10% of each issuer’s outstanding shares (FA, FH, BANK) from the aggregate household sector, paying proceeds to households equally. If trust_launch_loan = 0, the Trust activates but skips this step.</w:t>
      </w:r>
    </w:p>
    <w:p w14:paraId="748AB1B9" w14:textId="77777777" w:rsidR="000A0349" w:rsidRDefault="00000000">
      <w:pPr>
        <w:pStyle w:val="Heading2"/>
      </w:pPr>
      <w:r>
        <w:lastRenderedPageBreak/>
        <w:t>1.3 Ongoing social dilution (new share issuance) with an explicit cap</w:t>
      </w:r>
    </w:p>
    <w:p w14:paraId="07D0F421" w14:textId="77777777" w:rsidR="000A0349" w:rsidRDefault="00000000">
      <w:r>
        <w:t>Policy choice: Firms can issue new equity allocated to FUND, diluting existing holders. This builds social ownership via dilution rather than explicit confiscation. A hard cap limits how far FUND’s ownership share can rise.</w:t>
      </w:r>
    </w:p>
    <w:p w14:paraId="76325B72" w14:textId="77777777" w:rsidR="000A0349" w:rsidRDefault="00000000">
      <w:r>
        <w:t>Implementation note: The model implements a steady dilution rate (annualized) until FUND reaches the configured ownership cap per issuer.</w:t>
      </w:r>
    </w:p>
    <w:p w14:paraId="04EB0CDE" w14:textId="77777777" w:rsidR="000A0349" w:rsidRDefault="00000000">
      <w:pPr>
        <w:pStyle w:val="Heading2"/>
      </w:pPr>
      <w:r>
        <w:t>1.4 Debt-first rule for the Trust</w:t>
      </w:r>
    </w:p>
    <w:p w14:paraId="48595C11" w14:textId="77777777" w:rsidR="000A0349" w:rsidRDefault="00000000">
      <w:r>
        <w:t>Policy choice: If FUND has outstanding debt from a launch loan, FUND deposits are used first to pay down that debt before any transfers. Trust leverage is treated as temporary.</w:t>
      </w:r>
    </w:p>
    <w:p w14:paraId="272DD397" w14:textId="77777777" w:rsidR="000A0349" w:rsidRDefault="00000000">
      <w:pPr>
        <w:pStyle w:val="Heading2"/>
      </w:pPr>
      <w:r>
        <w:t>1.5 Treatment of residual Trust balances (optional)</w:t>
      </w:r>
    </w:p>
    <w:p w14:paraId="241B1269" w14:textId="77777777" w:rsidR="000A0349" w:rsidRDefault="00000000">
      <w:r>
        <w:t>Policy choice: A configurable rule determines whether residual FUND balances remain ring-fenced for citizens via the Trust or may be swept to government as an additional fiscal backstop.</w:t>
      </w:r>
    </w:p>
    <w:p w14:paraId="3D9E15B8" w14:textId="77777777" w:rsidR="000A0349" w:rsidRDefault="00000000">
      <w:pPr>
        <w:pStyle w:val="Heading1"/>
      </w:pPr>
      <w:r>
        <w:t>2. Universal Basic Income (UBI)</w:t>
      </w:r>
    </w:p>
    <w:p w14:paraId="74B409EF" w14:textId="77777777" w:rsidR="000A0349" w:rsidRDefault="00000000">
      <w:pPr>
        <w:pStyle w:val="Heading2"/>
      </w:pPr>
      <w:r>
        <w:t>2.1 UBI targets a baseline real-income pool</w:t>
      </w:r>
    </w:p>
    <w:p w14:paraId="39EE0AB7" w14:textId="77777777" w:rsidR="000A0349" w:rsidRDefault="00000000">
      <w:r>
        <w:t>Policy choice: UBI fills the gap between current market incomes and a target income pool defined in real terms from the baseline. Conceptually, it maintains a social income floor indexed to the price level.</w:t>
      </w:r>
    </w:p>
    <w:p w14:paraId="7C1DCFBD" w14:textId="77777777" w:rsidR="000A0349" w:rsidRDefault="00000000">
      <w:r>
        <w:t>Implementation note: The baseline target is stored in real terms and re-inflated each tick using the tax-exclusive producer price level P, not the VAT-inclusive consumer price.</w:t>
      </w:r>
    </w:p>
    <w:p w14:paraId="1EB78DE2" w14:textId="77777777" w:rsidR="000A0349" w:rsidRDefault="00000000">
      <w:pPr>
        <w:pStyle w:val="Heading2"/>
      </w:pPr>
      <w:r>
        <w:t>2.2 UBI ratchet (non-decreasing)</w:t>
      </w:r>
    </w:p>
    <w:p w14:paraId="02CAD320" w14:textId="77777777" w:rsidR="000A0349" w:rsidRDefault="00000000">
      <w:r>
        <w:t>Policy choice: Once UBI rises, it cannot fall. This models policy commitment and prevents the model from assuming procyclical rollbacks.</w:t>
      </w:r>
    </w:p>
    <w:p w14:paraId="3A1212B2" w14:textId="77777777" w:rsidR="000A0349" w:rsidRDefault="00000000">
      <w:pPr>
        <w:pStyle w:val="Heading2"/>
      </w:pPr>
      <w:r>
        <w:t>2.3 UBI funding hierarchy (hybrid monetary and fiscal financing)</w:t>
      </w:r>
    </w:p>
    <w:p w14:paraId="6264069D" w14:textId="77777777" w:rsidR="000A0349" w:rsidRDefault="00000000">
      <w:r>
        <w:t>Policy choice: UBI is funded through a layered stack: a fixed share via issuance, then Trust deposits, then government deposits, with issuance again as the backstop.</w:t>
      </w:r>
    </w:p>
    <w:p w14:paraId="325E9E9C" w14:textId="77777777" w:rsidR="000A0349" w:rsidRDefault="00000000">
      <w:r>
        <w:t>Implementation note: The first-layer issuance share is configurable.</w:t>
      </w:r>
    </w:p>
    <w:p w14:paraId="72F79DE3" w14:textId="77777777" w:rsidR="000A0349" w:rsidRDefault="00000000">
      <w:pPr>
        <w:pStyle w:val="Heading1"/>
      </w:pPr>
      <w:r>
        <w:t>3. VAT plus low-income VAT credit (prebate)</w:t>
      </w:r>
    </w:p>
    <w:p w14:paraId="2070F7CA" w14:textId="77777777" w:rsidR="000A0349" w:rsidRDefault="00000000">
      <w:pPr>
        <w:pStyle w:val="Heading2"/>
      </w:pPr>
      <w:r>
        <w:t>3.1 VAT as a tax-exclusive consumption wedge</w:t>
      </w:r>
    </w:p>
    <w:p w14:paraId="28DED0A2" w14:textId="77777777" w:rsidR="000A0349" w:rsidRDefault="00000000">
      <w:r>
        <w:t>Policy choice: VAT raises consumer prices relative to producer prices, taxing consumption broadly and affecting real purchasing power.</w:t>
      </w:r>
    </w:p>
    <w:p w14:paraId="06F69EF0" w14:textId="77777777" w:rsidR="000A0349" w:rsidRDefault="00000000">
      <w:r>
        <w:t>Implementation note: Consumer price = producer price x (1 + VAT rate).</w:t>
      </w:r>
    </w:p>
    <w:p w14:paraId="3E3C06A0" w14:textId="77777777" w:rsidR="000A0349" w:rsidRDefault="00000000">
      <w:pPr>
        <w:pStyle w:val="Heading2"/>
      </w:pPr>
      <w:r>
        <w:lastRenderedPageBreak/>
        <w:t>3.2 Prebate for households below an eligibility cutoff</w:t>
      </w:r>
    </w:p>
    <w:p w14:paraId="1FD6ECC3" w14:textId="77777777" w:rsidR="000A0349" w:rsidRDefault="00000000">
      <w:r>
        <w:t>Policy choice: A targeted VAT credit offsets regressive effects for lower-income households.</w:t>
      </w:r>
    </w:p>
    <w:p w14:paraId="1345B701" w14:textId="77777777" w:rsidR="000A0349" w:rsidRDefault="00000000">
      <w:r>
        <w:t>Implementation note: The credit uses a poverty-line consumption proxy anchored to baseline average real consumption per household and scaled to nominal using P. Per-household credit is vat_rate x (pov_real x P). Eligibility is a percentile cutoff applied to (wages + dividends + UBI).</w:t>
      </w:r>
    </w:p>
    <w:p w14:paraId="748A63BF" w14:textId="77777777" w:rsidR="000A0349" w:rsidRDefault="00000000">
      <w:pPr>
        <w:pStyle w:val="Heading2"/>
      </w:pPr>
      <w:r>
        <w:t>3.3 Funding rule for the prebate</w:t>
      </w:r>
    </w:p>
    <w:p w14:paraId="7C21940A" w14:textId="77777777" w:rsidR="000A0349" w:rsidRDefault="00000000">
      <w:r>
        <w:t>Policy choice: The prebate is guaranteed: paid from government deposits when possible, otherwise completed via issuance.</w:t>
      </w:r>
    </w:p>
    <w:p w14:paraId="2F393500" w14:textId="77777777" w:rsidR="000A0349" w:rsidRDefault="00000000">
      <w:pPr>
        <w:pStyle w:val="Heading1"/>
      </w:pPr>
      <w:r>
        <w:t>4. Income tax design</w:t>
      </w:r>
    </w:p>
    <w:p w14:paraId="40B31419" w14:textId="77777777" w:rsidR="000A0349" w:rsidRDefault="00000000">
      <w:pPr>
        <w:pStyle w:val="Heading2"/>
      </w:pPr>
      <w:r>
        <w:t>4.1 Tax base excludes UBI</w:t>
      </w:r>
    </w:p>
    <w:p w14:paraId="3116C76B" w14:textId="77777777" w:rsidR="000A0349" w:rsidRDefault="00000000">
      <w:r>
        <w:t>Policy choice: Income tax applies to market income (wages and dividends) and excludes UBI transfers from the tax base.</w:t>
      </w:r>
    </w:p>
    <w:p w14:paraId="51ED2086" w14:textId="77777777" w:rsidR="000A0349" w:rsidRDefault="00000000">
      <w:pPr>
        <w:pStyle w:val="Heading2"/>
      </w:pPr>
      <w:r>
        <w:t>4.2 Marginal tax above a percentile-defined cutoff</w:t>
      </w:r>
    </w:p>
    <w:p w14:paraId="1105878E" w14:textId="77777777" w:rsidR="000A0349" w:rsidRDefault="00000000">
      <w:r>
        <w:t>Policy choice: The model uses a simple progressive structure: a zero-rate band up to a cutoff, then a flat marginal rate above it. The cutoff is defined each tick by an income percentile rather than a fixed nominal threshold.</w:t>
      </w:r>
    </w:p>
    <w:p w14:paraId="1C2E0205" w14:textId="77777777" w:rsidR="000A0349" w:rsidRDefault="00000000">
      <w:pPr>
        <w:pStyle w:val="Heading1"/>
      </w:pPr>
      <w:r>
        <w:t>5. Corporate income tax</w:t>
      </w:r>
    </w:p>
    <w:p w14:paraId="2C102C78" w14:textId="77777777" w:rsidR="000A0349" w:rsidRDefault="00000000">
      <w:pPr>
        <w:pStyle w:val="Heading2"/>
      </w:pPr>
      <w:r>
        <w:t>5.1 Broad corporate tax base</w:t>
      </w:r>
    </w:p>
    <w:p w14:paraId="0386C958" w14:textId="77777777" w:rsidR="000A0349" w:rsidRDefault="00000000">
      <w:r>
        <w:t>Policy choice: Corporate profits are taxed upstream, before distribution or retention.</w:t>
      </w:r>
    </w:p>
    <w:p w14:paraId="64E6EEF6" w14:textId="77777777" w:rsidR="000A0349" w:rsidRDefault="00000000">
      <w:pPr>
        <w:pStyle w:val="Heading2"/>
      </w:pPr>
      <w:r>
        <w:t>5.2 Dynamic corporate tax linked to wage decline (optional automatic stabilizer)</w:t>
      </w:r>
    </w:p>
    <w:p w14:paraId="0A6A43D7" w14:textId="77777777" w:rsidR="000A0349" w:rsidRDefault="00000000">
      <w:r>
        <w:t>Policy choice: The corporate tax rate can rise automatically as total wages fall relative to baseline, shifting the burden toward capital as labor income erodes.</w:t>
      </w:r>
    </w:p>
    <w:p w14:paraId="29B934DF" w14:textId="77777777" w:rsidR="000A0349" w:rsidRDefault="00000000">
      <w:r>
        <w:t>Implementation note: The rate is clamped between configured minimum and maximum bounds.</w:t>
      </w:r>
    </w:p>
    <w:p w14:paraId="412E1778" w14:textId="77777777" w:rsidR="000A0349" w:rsidRDefault="00000000">
      <w:pPr>
        <w:pStyle w:val="Heading1"/>
      </w:pPr>
      <w:r>
        <w:t>6. Government surplus recycling (optional)</w:t>
      </w:r>
    </w:p>
    <w:p w14:paraId="204722DF" w14:textId="77777777" w:rsidR="000A0349" w:rsidRDefault="00000000">
      <w:r>
        <w:t>Policy choice: Government may rebate a share of its remaining deposits each tick back to households, preventing the government sector from becoming a passive fiscal sink.</w:t>
      </w:r>
    </w:p>
    <w:p w14:paraId="64119B67" w14:textId="77777777" w:rsidR="000A0349" w:rsidRDefault="00000000">
      <w:r>
        <w:t>Implementation note: The rebate pool is a fraction of the post-transfer government balance. Distribution is proportional to each household’s taxes paid that tick (VAT wedge + income tax), or equal per household if no taxes were paid.</w:t>
      </w:r>
    </w:p>
    <w:p w14:paraId="1283A8D2" w14:textId="77777777" w:rsidR="000A0349" w:rsidRDefault="00000000">
      <w:pPr>
        <w:pStyle w:val="Heading1"/>
      </w:pPr>
      <w:r>
        <w:lastRenderedPageBreak/>
        <w:t>7. Monetary and credit regime (institutional rules)</w:t>
      </w:r>
    </w:p>
    <w:p w14:paraId="5FF03111" w14:textId="77777777" w:rsidR="000A0349" w:rsidRDefault="00000000">
      <w:pPr>
        <w:pStyle w:val="Heading2"/>
      </w:pPr>
      <w:r>
        <w:t>7.1 Single loan interest rate</w:t>
      </w:r>
    </w:p>
    <w:p w14:paraId="1C973C88" w14:textId="77777777" w:rsidR="000A0349" w:rsidRDefault="00000000">
      <w:r>
        <w:t>Policy choice: The model uses a single quarterly loan rate applied to relevant credit balances.</w:t>
      </w:r>
    </w:p>
    <w:p w14:paraId="70FA01B3" w14:textId="77777777" w:rsidR="000A0349" w:rsidRDefault="00000000">
      <w:pPr>
        <w:pStyle w:val="Heading2"/>
      </w:pPr>
      <w:r>
        <w:t>7.2 Household deleveraging rule with priority ordering</w:t>
      </w:r>
    </w:p>
    <w:p w14:paraId="42201721" w14:textId="77777777" w:rsidR="000A0349" w:rsidRDefault="00000000">
      <w:r>
        <w:t>Policy choice: Households repay principal in a cashflow-constrained manner, prioritizing revolving debt before mortgage debt.</w:t>
      </w:r>
    </w:p>
    <w:p w14:paraId="6424246D" w14:textId="77777777" w:rsidR="000A0349" w:rsidRDefault="00000000">
      <w:pPr>
        <w:pStyle w:val="Heading2"/>
      </w:pPr>
      <w:r>
        <w:t>7.3 Automatic overdraft-to-credit conversion (no hard default)</w:t>
      </w:r>
    </w:p>
    <w:p w14:paraId="599668D3" w14:textId="77777777" w:rsidR="000A0349" w:rsidRDefault="00000000">
      <w:r>
        <w:t>Policy choice: If household deposits would go negative, the shortfall becomes revolving debt. Default cascades are not modeled; liquidity shortfalls are treated as bank credit expansion.</w:t>
      </w:r>
    </w:p>
    <w:p w14:paraId="7A4050D3" w14:textId="77777777" w:rsidR="00DF0E82" w:rsidRDefault="00000000">
      <w:r>
        <w:t>Risks: (i) can create fiscal/Trust/issuance burden when gaps are large; (ii) can subsidize borrowers and banks simultaneously with distributional tradeoffs; (iii) adds parameter complexity and calibration sensitivity; (iv) does not replace the need to model real-world housing and default dynamics if the simulation is extended in that direction.</w:t>
      </w:r>
    </w:p>
    <w:p w14:paraId="10699741" w14:textId="77777777" w:rsidR="00DF0E82" w:rsidRDefault="00000000">
      <w:r>
        <w:t>Advantages: (i) reduces mortgage payment pressure in deflationary phases; (ii) lowers mortgage-driven overdraft stress; (iii) preserves bank capital incentives when neutralization is enabled; (iv) uses gradual adjustment (smoothing + corridor); (v) fully parameterized and switchable for stress testing.</w:t>
      </w:r>
    </w:p>
    <w:p w14:paraId="3DDC61F8" w14:textId="77777777" w:rsidR="00124636" w:rsidRDefault="00000000">
      <w:pPr>
        <w:pStyle w:val="Heading2"/>
      </w:pPr>
      <w:r>
        <w:t>7.4 Mortgage indexing policy (deflation stabilization)</w:t>
      </w:r>
    </w:p>
    <w:p w14:paraId="4AA73A44" w14:textId="77777777" w:rsidR="00124636" w:rsidRDefault="00000000">
      <w:r>
        <w:t>Policy choice: Add an optional mortgage-payment indexing regime to prevent debt-deflation dynamics from destabilizing household solvency and the banking sector during an automation-driven deflationary transition.</w:t>
      </w:r>
    </w:p>
    <w:p w14:paraId="0C730E02" w14:textId="77777777" w:rsidR="00124636" w:rsidRDefault="00000000">
      <w:r>
        <w:t>Motivation: In a deflationary regime, prices and nominal incomes can fall while mortgage contracts remain nominal. The real burden of fixed nominal payments rises, pushing households into overdraft / revolving-credit behavior. That is an acceptable “no hard default” approximation for generic liquidity stress, but it is not realistic as a long-run substitute for mortgage contract mechanics. This policy makes the mortgage relief channel explicit and parameterized.</w:t>
      </w:r>
    </w:p>
    <w:p w14:paraId="34ED2B42" w14:textId="77777777" w:rsidR="00124636" w:rsidRDefault="00000000">
      <w:pPr>
        <w:pStyle w:val="Heading2"/>
      </w:pPr>
      <w:r>
        <w:t>7.4.1 Intent</w:t>
      </w:r>
    </w:p>
    <w:p w14:paraId="09A1563A" w14:textId="77777777" w:rsidR="00124636" w:rsidRDefault="00000000">
      <w:r>
        <w:t>Reduce required mortgage payments when the macro environment weakens (deflation and/or nominal income compression), while keeping incentives for banks to originate and hold mortgages. This is done by (i) indexing required payments using a hybrid macro index and (ii) optionally compensating banks for the gap versus the contractual schedule during systemic stress.</w:t>
      </w:r>
    </w:p>
    <w:p w14:paraId="0D759AFB" w14:textId="77777777" w:rsidR="00124636" w:rsidRDefault="00000000">
      <w:pPr>
        <w:pStyle w:val="Heading2"/>
      </w:pPr>
      <w:r>
        <w:t>7.4.2 Mortgage index definition</w:t>
      </w:r>
    </w:p>
    <w:p w14:paraId="73C75397" w14:textId="77777777" w:rsidR="00124636" w:rsidRDefault="00000000">
      <w:r>
        <w:t>Each quarter, the model updates a mortgage index I based on a geometric blend of (i) a price level series and (ii) a nominal household income series:</w:t>
      </w:r>
    </w:p>
    <w:p w14:paraId="40DEC1D7" w14:textId="77777777" w:rsidR="00124636" w:rsidRDefault="00000000">
      <w:r>
        <w:t>Δ ln(I_t) = w·Δ ln(PriceSeries_t) + (1−w)·Δ ln(IncomeSeries_t)</w:t>
      </w:r>
    </w:p>
    <w:p w14:paraId="3CBF23DB" w14:textId="77777777" w:rsidR="00124636" w:rsidRDefault="00000000">
      <w:r>
        <w:lastRenderedPageBreak/>
        <w:t>where w is configurable (typical deflation-stabilization experiments use w ≈ 0.4). PriceSeries is usually the tax-exclusive producer price level P (or optionally a consumer price index), and IncomeSeries is usually aggregate nominal household income (with alternative definitions available for sensitivity tests).</w:t>
      </w:r>
    </w:p>
    <w:p w14:paraId="0BCF5EBB" w14:textId="77777777" w:rsidR="00124636" w:rsidRDefault="00000000">
      <w:pPr>
        <w:pStyle w:val="Heading2"/>
      </w:pPr>
      <w:r>
        <w:t>7.4.3 Smoothing and payment corridor (collar)</w:t>
      </w:r>
    </w:p>
    <w:p w14:paraId="2D71DB11" w14:textId="77777777" w:rsidR="00124636" w:rsidRDefault="00000000">
      <w:r>
        <w:t>Policy choice: Apply optional EWMA smoothing to Δ ln(I) and then clamp the quarterly index change within a corridor (e.g., −2% to +2% per quarter), implemented in log space. This prevents abrupt payment jumps (borrower shock) and avoids large quarter-to-quarter swings in bank cashflow (lender whipsaw).</w:t>
      </w:r>
    </w:p>
    <w:p w14:paraId="03EDD852" w14:textId="77777777" w:rsidR="00124636" w:rsidRDefault="00000000">
      <w:pPr>
        <w:pStyle w:val="Heading2"/>
      </w:pPr>
      <w:r>
        <w:t>7.4.4 Required payment rule</w:t>
      </w:r>
    </w:p>
    <w:p w14:paraId="56907DA8" w14:textId="77777777" w:rsidR="00124636" w:rsidRDefault="00000000">
      <w:r>
        <w:t>When enabled, the borrower’s required mortgage payment is indexed using I_t. Two modes exist:</w:t>
      </w:r>
    </w:p>
    <w:p w14:paraId="003174E5" w14:textId="77777777" w:rsidR="00124636" w:rsidRDefault="00000000">
      <w:r>
        <w:t>• CurrentContractual (recommended default): RequiredPayment_t = ContractualPayment_t × I_t</w:t>
      </w:r>
    </w:p>
    <w:p w14:paraId="045E2706" w14:textId="77777777" w:rsidR="00124636" w:rsidRDefault="00000000">
      <w:r>
        <w:t>• AnchoredBase (sensitivity test): RequiredPayment_t = BaselinePayment_at_Origination × I_t</w:t>
      </w:r>
    </w:p>
    <w:p w14:paraId="2B0BBCA4" w14:textId="77777777" w:rsidR="00124636" w:rsidRDefault="00000000">
      <w:r>
        <w:t>Documentation note: In the model’s stylized mortgage structure, AnchoredBase can yield counterintuitive paths (required payments can exceed the contractual path later). CurrentContractual better matches the policy intent of providing relief when the macro environment weakens.</w:t>
      </w:r>
    </w:p>
    <w:p w14:paraId="7C50AEE9" w14:textId="77777777" w:rsidR="00124636" w:rsidRDefault="00000000">
      <w:pPr>
        <w:pStyle w:val="Heading2"/>
      </w:pPr>
      <w:r>
        <w:t>7.4.5 Bank neutralization transfer (optional)</w:t>
      </w:r>
    </w:p>
    <w:p w14:paraId="3E5317AB" w14:textId="77777777" w:rsidR="00124636" w:rsidRDefault="00000000">
      <w:r>
        <w:t>Policy choice: If indexed required payments are below contractual payments, an explicit payment-gap can be recorded and (optionally) compensated to the banking sector:</w:t>
      </w:r>
    </w:p>
    <w:p w14:paraId="14BFD650" w14:textId="77777777" w:rsidR="00124636" w:rsidRDefault="00000000">
      <w:r>
        <w:t>Gap_t = max(0, ContractualPayment_t − RequiredPayment_t)</w:t>
      </w:r>
    </w:p>
    <w:p w14:paraId="1E8D70B7" w14:textId="77777777" w:rsidR="00124636" w:rsidRDefault="00000000">
      <w:r>
        <w:t>Neutralization can be active Always or only in StressOnly mode (recommended), where it switches on only when the model’s debt-service stress trigger indicates systemic stress (same design principle as Trust activation). Funding follows a configurable stack: GOV deposits → FUND deposits (optionally blocked while FUND has launch-loan debt) → ISSUANCE for any remainder. Optional caps can limit total neutralization per tick.</w:t>
      </w:r>
    </w:p>
    <w:p w14:paraId="3329D20E" w14:textId="77777777" w:rsidR="00124636" w:rsidRDefault="00000000">
      <w:pPr>
        <w:pStyle w:val="Heading2"/>
      </w:pPr>
      <w:r>
        <w:t>7.4.6 Execution and accounting</w:t>
      </w:r>
    </w:p>
    <w:p w14:paraId="666C380D" w14:textId="77777777" w:rsidR="00124636" w:rsidRDefault="00000000">
      <w:r>
        <w:t>Households pay revolving interest plus the required mortgage payment. Mortgage payment is applied interest-first, principal-second; principal repayment reduces household mortgage balances and bank loan assets (stock-flow consistent). The existing no-default fallback remains: if household deposits would go negative after scheduled flows, the shortfall becomes revolving debt. This mortgage-indexing policy is intended to reduce how often mortgage service pushes households into that overdraft zone.</w:t>
      </w:r>
    </w:p>
    <w:p w14:paraId="60AF4A2D" w14:textId="77777777" w:rsidR="00124636" w:rsidRDefault="00000000">
      <w:pPr>
        <w:pStyle w:val="Heading2"/>
      </w:pPr>
      <w:r>
        <w:t>7.4.7 Advantages, risks, and calibration notes</w:t>
      </w:r>
    </w:p>
    <w:p w14:paraId="0273C37E" w14:textId="77777777" w:rsidR="006342CA" w:rsidRDefault="00000000">
      <w:r>
        <w:t xml:space="preserve">Advantages: </w:t>
      </w:r>
    </w:p>
    <w:p w14:paraId="07911908" w14:textId="0C0D1E81" w:rsidR="006342CA" w:rsidRDefault="00000000" w:rsidP="006342CA">
      <w:pPr>
        <w:pStyle w:val="ListParagraph"/>
        <w:numPr>
          <w:ilvl w:val="0"/>
          <w:numId w:val="15"/>
        </w:numPr>
      </w:pPr>
      <w:r>
        <w:t xml:space="preserve">reduces mortgage payment pressure in deflationary </w:t>
      </w:r>
      <w:r w:rsidR="00A51102">
        <w:t>phases.</w:t>
      </w:r>
      <w:r>
        <w:t xml:space="preserve"> </w:t>
      </w:r>
    </w:p>
    <w:p w14:paraId="6E00C8AD" w14:textId="4A37A346" w:rsidR="006342CA" w:rsidRDefault="00000000" w:rsidP="006342CA">
      <w:pPr>
        <w:pStyle w:val="ListParagraph"/>
        <w:numPr>
          <w:ilvl w:val="0"/>
          <w:numId w:val="15"/>
        </w:numPr>
      </w:pPr>
      <w:r>
        <w:lastRenderedPageBreak/>
        <w:t>lowers mortgage-driven overdraft stress</w:t>
      </w:r>
      <w:r w:rsidR="00A51102">
        <w:t>.</w:t>
      </w:r>
    </w:p>
    <w:p w14:paraId="66C8E65F" w14:textId="3CD229E9" w:rsidR="006342CA" w:rsidRDefault="00000000" w:rsidP="006342CA">
      <w:pPr>
        <w:pStyle w:val="ListParagraph"/>
        <w:numPr>
          <w:ilvl w:val="0"/>
          <w:numId w:val="15"/>
        </w:numPr>
      </w:pPr>
      <w:r>
        <w:t>preserves bank capital incentives when neutralization is enabled</w:t>
      </w:r>
      <w:r w:rsidR="00A51102">
        <w:t>.</w:t>
      </w:r>
    </w:p>
    <w:p w14:paraId="1AF06927" w14:textId="4008E579" w:rsidR="006342CA" w:rsidRDefault="00000000" w:rsidP="006342CA">
      <w:pPr>
        <w:pStyle w:val="ListParagraph"/>
        <w:numPr>
          <w:ilvl w:val="0"/>
          <w:numId w:val="15"/>
        </w:numPr>
      </w:pPr>
      <w:r>
        <w:t>uses gradual adjustment (smoothing + corridor)</w:t>
      </w:r>
      <w:r w:rsidR="00A51102">
        <w:t>.</w:t>
      </w:r>
    </w:p>
    <w:p w14:paraId="3FBD7910" w14:textId="4D692B15" w:rsidR="00124636" w:rsidRDefault="00000000" w:rsidP="006342CA">
      <w:pPr>
        <w:pStyle w:val="ListParagraph"/>
        <w:numPr>
          <w:ilvl w:val="0"/>
          <w:numId w:val="15"/>
        </w:numPr>
      </w:pPr>
      <w:r>
        <w:t>fully parameterized and switchable for stress testing.</w:t>
      </w:r>
    </w:p>
    <w:p w14:paraId="4C637F3B" w14:textId="77777777" w:rsidR="006342CA" w:rsidRDefault="00000000">
      <w:r>
        <w:t xml:space="preserve">Risks: </w:t>
      </w:r>
    </w:p>
    <w:p w14:paraId="5D28702F" w14:textId="441F3341" w:rsidR="006342CA" w:rsidRDefault="00000000" w:rsidP="006342CA">
      <w:pPr>
        <w:pStyle w:val="ListParagraph"/>
        <w:numPr>
          <w:ilvl w:val="0"/>
          <w:numId w:val="16"/>
        </w:numPr>
      </w:pPr>
      <w:r>
        <w:t>can create fiscal/Trust/issuance burden when gaps are large</w:t>
      </w:r>
      <w:r w:rsidR="00A51102">
        <w:t>.</w:t>
      </w:r>
    </w:p>
    <w:p w14:paraId="784FD9D6" w14:textId="4ED88BEE" w:rsidR="006342CA" w:rsidRDefault="00000000" w:rsidP="006342CA">
      <w:pPr>
        <w:pStyle w:val="ListParagraph"/>
        <w:numPr>
          <w:ilvl w:val="0"/>
          <w:numId w:val="16"/>
        </w:numPr>
      </w:pPr>
      <w:r>
        <w:t>can subsidize borrowers and banks simultaneously with distributional tradeoffs</w:t>
      </w:r>
      <w:r w:rsidR="00A51102">
        <w:t>.</w:t>
      </w:r>
    </w:p>
    <w:p w14:paraId="7AE2F055" w14:textId="3BE58A21" w:rsidR="006342CA" w:rsidRDefault="00000000" w:rsidP="006342CA">
      <w:pPr>
        <w:pStyle w:val="ListParagraph"/>
        <w:numPr>
          <w:ilvl w:val="0"/>
          <w:numId w:val="16"/>
        </w:numPr>
      </w:pPr>
      <w:r>
        <w:t>adds parameter complexity and calibration sensitivity</w:t>
      </w:r>
      <w:r w:rsidR="00A51102">
        <w:t>.</w:t>
      </w:r>
    </w:p>
    <w:p w14:paraId="62DA370C" w14:textId="77C9C6ED" w:rsidR="00124636" w:rsidRDefault="00000000" w:rsidP="006342CA">
      <w:pPr>
        <w:pStyle w:val="ListParagraph"/>
        <w:numPr>
          <w:ilvl w:val="0"/>
          <w:numId w:val="16"/>
        </w:numPr>
      </w:pPr>
      <w:r>
        <w:t>does not replace the need to model real-world housing and default dynamics if the simulation is extended in that direction.</w:t>
      </w:r>
    </w:p>
    <w:p w14:paraId="687EB833" w14:textId="77777777" w:rsidR="000A0349" w:rsidRDefault="00000000">
      <w:pPr>
        <w:pStyle w:val="Heading1"/>
      </w:pPr>
      <w:r>
        <w:t>8. Wage structure under automation (structural distribution rule)</w:t>
      </w:r>
    </w:p>
    <w:p w14:paraId="606D6B7F" w14:textId="77777777" w:rsidR="000A0349" w:rsidRDefault="00000000">
      <w:r>
        <w:t>Policy choice: Wages are modeled as a share of sector revenue, and in the automation-linked sector the wage share declines with automation effectiveness. This embeds labor displacement directly in primary income formation.</w:t>
      </w:r>
    </w:p>
    <w:p w14:paraId="60C1C159" w14:textId="77777777" w:rsidR="000A0349" w:rsidRDefault="00000000">
      <w:pPr>
        <w:pStyle w:val="Heading1"/>
      </w:pPr>
      <w:r>
        <w:t>9. Price-level formation under automation</w:t>
      </w:r>
    </w:p>
    <w:p w14:paraId="042367D9" w14:textId="77777777" w:rsidR="000A0349" w:rsidRDefault="00000000">
      <w:r>
        <w:t>Policy choice: Prices are endogenously determined by opposing forces: productivity pass-through (downward pressure) and automation-driven markup capture (upward pressure). This governs who captures productivity gains in real terms - consumers via lower prices or capital via higher markups.</w:t>
      </w:r>
    </w:p>
    <w:p w14:paraId="5D53B49D" w14:textId="77777777" w:rsidR="000A0349" w:rsidRDefault="00000000">
      <w:pPr>
        <w:pStyle w:val="Heading1"/>
      </w:pPr>
      <w:r>
        <w:t>10. Wealth tax (present but inactive)</w:t>
      </w:r>
    </w:p>
    <w:p w14:paraId="6F44E17F" w14:textId="77777777" w:rsidR="000A0349" w:rsidRDefault="00000000">
      <w:r>
        <w:t>Policy choice: A wealth-tax parameter exists but is effectively off in the current configuration. Redistribution therefore occurs mainly through VAT plus prebate, the marginal income tax, corporate taxation, and the FUND/UBI mechanisms rather than explicit wealth taxation. In the current setup, the initial wealth distribution changes only modestly over time.</w:t>
      </w:r>
    </w:p>
    <w:sectPr w:rsidR="000A034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117ECA"/>
    <w:multiLevelType w:val="hybridMultilevel"/>
    <w:tmpl w:val="74543CFC"/>
    <w:lvl w:ilvl="0" w:tplc="734C8C8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FC56E6"/>
    <w:multiLevelType w:val="hybridMultilevel"/>
    <w:tmpl w:val="9ED2638E"/>
    <w:lvl w:ilvl="0" w:tplc="DF22A6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5542AD"/>
    <w:multiLevelType w:val="hybridMultilevel"/>
    <w:tmpl w:val="CAEE8F9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831221C"/>
    <w:multiLevelType w:val="hybridMultilevel"/>
    <w:tmpl w:val="6958E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083525"/>
    <w:multiLevelType w:val="hybridMultilevel"/>
    <w:tmpl w:val="3A1EE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6913E8"/>
    <w:multiLevelType w:val="hybridMultilevel"/>
    <w:tmpl w:val="9CB2F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9F02B4"/>
    <w:multiLevelType w:val="hybridMultilevel"/>
    <w:tmpl w:val="202C918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1383749">
    <w:abstractNumId w:val="8"/>
  </w:num>
  <w:num w:numId="2" w16cid:durableId="2098744642">
    <w:abstractNumId w:val="6"/>
  </w:num>
  <w:num w:numId="3" w16cid:durableId="1369180051">
    <w:abstractNumId w:val="5"/>
  </w:num>
  <w:num w:numId="4" w16cid:durableId="272716520">
    <w:abstractNumId w:val="4"/>
  </w:num>
  <w:num w:numId="5" w16cid:durableId="663751139">
    <w:abstractNumId w:val="7"/>
  </w:num>
  <w:num w:numId="6" w16cid:durableId="1597979570">
    <w:abstractNumId w:val="3"/>
  </w:num>
  <w:num w:numId="7" w16cid:durableId="303900864">
    <w:abstractNumId w:val="2"/>
  </w:num>
  <w:num w:numId="8" w16cid:durableId="1977177019">
    <w:abstractNumId w:val="1"/>
  </w:num>
  <w:num w:numId="9" w16cid:durableId="2095474773">
    <w:abstractNumId w:val="0"/>
  </w:num>
  <w:num w:numId="10" w16cid:durableId="1879466799">
    <w:abstractNumId w:val="13"/>
  </w:num>
  <w:num w:numId="11" w16cid:durableId="546646130">
    <w:abstractNumId w:val="14"/>
  </w:num>
  <w:num w:numId="12" w16cid:durableId="1006709249">
    <w:abstractNumId w:val="12"/>
  </w:num>
  <w:num w:numId="13" w16cid:durableId="1527254936">
    <w:abstractNumId w:val="10"/>
  </w:num>
  <w:num w:numId="14" w16cid:durableId="958030078">
    <w:abstractNumId w:val="9"/>
  </w:num>
  <w:num w:numId="15" w16cid:durableId="516115383">
    <w:abstractNumId w:val="11"/>
  </w:num>
  <w:num w:numId="16" w16cid:durableId="190933718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9E9"/>
    <w:rsid w:val="00034616"/>
    <w:rsid w:val="0006063C"/>
    <w:rsid w:val="00066EA7"/>
    <w:rsid w:val="00070783"/>
    <w:rsid w:val="00080733"/>
    <w:rsid w:val="00094F2E"/>
    <w:rsid w:val="000A0349"/>
    <w:rsid w:val="000B7C76"/>
    <w:rsid w:val="000C4C67"/>
    <w:rsid w:val="000C6E99"/>
    <w:rsid w:val="0010559D"/>
    <w:rsid w:val="00105AE0"/>
    <w:rsid w:val="00111A77"/>
    <w:rsid w:val="00116982"/>
    <w:rsid w:val="00116EA9"/>
    <w:rsid w:val="00124636"/>
    <w:rsid w:val="0015074B"/>
    <w:rsid w:val="00197B51"/>
    <w:rsid w:val="00205C6A"/>
    <w:rsid w:val="00222642"/>
    <w:rsid w:val="00223D72"/>
    <w:rsid w:val="00230D39"/>
    <w:rsid w:val="00231399"/>
    <w:rsid w:val="00236090"/>
    <w:rsid w:val="00241DB8"/>
    <w:rsid w:val="00273BF2"/>
    <w:rsid w:val="0029639D"/>
    <w:rsid w:val="00311363"/>
    <w:rsid w:val="00326F90"/>
    <w:rsid w:val="0034731E"/>
    <w:rsid w:val="0035143B"/>
    <w:rsid w:val="003F643A"/>
    <w:rsid w:val="003F7B47"/>
    <w:rsid w:val="00405385"/>
    <w:rsid w:val="00445458"/>
    <w:rsid w:val="00460AEE"/>
    <w:rsid w:val="004A4F03"/>
    <w:rsid w:val="0051356D"/>
    <w:rsid w:val="005231F5"/>
    <w:rsid w:val="00532E0C"/>
    <w:rsid w:val="005859D9"/>
    <w:rsid w:val="005A55D4"/>
    <w:rsid w:val="005C6B2E"/>
    <w:rsid w:val="005D583D"/>
    <w:rsid w:val="00605828"/>
    <w:rsid w:val="00623181"/>
    <w:rsid w:val="00626659"/>
    <w:rsid w:val="006342CA"/>
    <w:rsid w:val="00662029"/>
    <w:rsid w:val="0069424D"/>
    <w:rsid w:val="006B6A9D"/>
    <w:rsid w:val="006C33EF"/>
    <w:rsid w:val="0078081B"/>
    <w:rsid w:val="007A30A2"/>
    <w:rsid w:val="007A489B"/>
    <w:rsid w:val="007D08D5"/>
    <w:rsid w:val="007D22D7"/>
    <w:rsid w:val="007D2FFA"/>
    <w:rsid w:val="007E7D82"/>
    <w:rsid w:val="007F33C4"/>
    <w:rsid w:val="008042C1"/>
    <w:rsid w:val="00876B15"/>
    <w:rsid w:val="0088234A"/>
    <w:rsid w:val="00885BB5"/>
    <w:rsid w:val="008A6C32"/>
    <w:rsid w:val="008B2DB7"/>
    <w:rsid w:val="0095069C"/>
    <w:rsid w:val="009D4B74"/>
    <w:rsid w:val="00A3036C"/>
    <w:rsid w:val="00A37DE3"/>
    <w:rsid w:val="00A51102"/>
    <w:rsid w:val="00A702DD"/>
    <w:rsid w:val="00A94FCD"/>
    <w:rsid w:val="00AA1D8D"/>
    <w:rsid w:val="00AC7DE6"/>
    <w:rsid w:val="00AE00F3"/>
    <w:rsid w:val="00B007C8"/>
    <w:rsid w:val="00B17848"/>
    <w:rsid w:val="00B43B9A"/>
    <w:rsid w:val="00B47730"/>
    <w:rsid w:val="00B6054B"/>
    <w:rsid w:val="00B8648F"/>
    <w:rsid w:val="00BB5A45"/>
    <w:rsid w:val="00BC1E7E"/>
    <w:rsid w:val="00BC2141"/>
    <w:rsid w:val="00BD393F"/>
    <w:rsid w:val="00BD51FE"/>
    <w:rsid w:val="00C104A9"/>
    <w:rsid w:val="00C32924"/>
    <w:rsid w:val="00C42B38"/>
    <w:rsid w:val="00C6212D"/>
    <w:rsid w:val="00C623D4"/>
    <w:rsid w:val="00C669FF"/>
    <w:rsid w:val="00CB0664"/>
    <w:rsid w:val="00CE644A"/>
    <w:rsid w:val="00D0055E"/>
    <w:rsid w:val="00D32E54"/>
    <w:rsid w:val="00D66BED"/>
    <w:rsid w:val="00DA0FC2"/>
    <w:rsid w:val="00DD38F6"/>
    <w:rsid w:val="00DF0E82"/>
    <w:rsid w:val="00E421EE"/>
    <w:rsid w:val="00E53F23"/>
    <w:rsid w:val="00E61112"/>
    <w:rsid w:val="00EA7C45"/>
    <w:rsid w:val="00EF0754"/>
    <w:rsid w:val="00F22CE0"/>
    <w:rsid w:val="00F4165A"/>
    <w:rsid w:val="00FC693F"/>
    <w:rsid w:val="00FE25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B08888"/>
  <w14:defaultImageDpi w14:val="300"/>
  <w15:docId w15:val="{F39B7B06-D4A0-D843-90EC-36B8CD35E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88234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8823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88234A"/>
  </w:style>
  <w:style w:type="paragraph" w:styleId="NormalWeb">
    <w:name w:val="Normal (Web)"/>
    <w:basedOn w:val="Normal"/>
    <w:uiPriority w:val="99"/>
    <w:semiHidden/>
    <w:unhideWhenUsed/>
    <w:rsid w:val="007D22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D22D7"/>
  </w:style>
  <w:style w:type="character" w:styleId="HTMLCode">
    <w:name w:val="HTML Code"/>
    <w:basedOn w:val="DefaultParagraphFont"/>
    <w:uiPriority w:val="99"/>
    <w:semiHidden/>
    <w:unhideWhenUsed/>
    <w:rsid w:val="007D22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669</TotalTime>
  <Pages>18</Pages>
  <Words>8789</Words>
  <Characters>38149</Characters>
  <Application>Microsoft Office Word</Application>
  <DocSecurity>0</DocSecurity>
  <Lines>1230</Lines>
  <Paragraphs>1117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Ison</cp:lastModifiedBy>
  <cp:revision>48</cp:revision>
  <cp:lastPrinted>2026-02-21T01:47:00Z</cp:lastPrinted>
  <dcterms:created xsi:type="dcterms:W3CDTF">2013-12-23T23:15:00Z</dcterms:created>
  <dcterms:modified xsi:type="dcterms:W3CDTF">2026-02-27T02:17:00Z</dcterms:modified>
  <cp:category/>
</cp:coreProperties>
</file>