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03A4" w14:textId="30920D58" w:rsidR="00900E3F" w:rsidRDefault="00900E3F" w:rsidP="00900E3F">
      <w:pPr>
        <w:pStyle w:val="Heading1"/>
      </w:pPr>
      <w:r>
        <w:t>New Loop Simulation and Outputs</w:t>
      </w:r>
    </w:p>
    <w:p w14:paraId="7CA55D3A" w14:textId="77777777" w:rsidR="00900E3F" w:rsidRDefault="00900E3F" w:rsidP="00900E3F">
      <w:r>
        <w:rPr>
          <w:noProof/>
        </w:rPr>
        <w:drawing>
          <wp:anchor distT="0" distB="0" distL="114300" distR="114300" simplePos="0" relativeHeight="251661312" behindDoc="0" locked="0" layoutInCell="1" allowOverlap="1" wp14:anchorId="5CF95F9E" wp14:editId="65D61FD1">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6"/>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New Loop is written in Python, and its structure is therefore open to inspection by any reader who wishes to examine it directly. It is, however, a fairly detailed model,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6EF6722E" w14:textId="77777777" w:rsidR="00900E3F" w:rsidRDefault="00900E3F" w:rsidP="00900E3F">
      <w:r>
        <w:t>The partial screen capture at right illustrates that the app offers drop-down lists in a sidebar so users can change the default parameter values</w:t>
      </w:r>
      <w:r>
        <w:rPr>
          <w:rStyle w:val="FootnoteReference"/>
        </w:rPr>
        <w:footnoteReference w:id="1"/>
      </w:r>
      <w:r>
        <w:t xml:space="preserve">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7F872F24" w14:textId="77777777" w:rsidR="00900E3F" w:rsidRDefault="00900E3F" w:rsidP="00900E3F">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00286F98" w14:textId="77777777" w:rsidR="00900E3F" w:rsidRDefault="00900E3F" w:rsidP="00900E3F">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2A4DC2E8" w14:textId="77777777" w:rsidR="00900E3F" w:rsidRDefault="00900E3F" w:rsidP="00900E3F">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043B09F7" w14:textId="77777777" w:rsidR="00900E3F" w:rsidRDefault="00900E3F" w:rsidP="00900E3F">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w:t>
      </w:r>
      <w:r>
        <w:lastRenderedPageBreak/>
        <w:t>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commercial debt would be renegotiated rather than simply defaulted. Gold is also a surprisingly large store of value, but it is unproductive and therefore not important for the purposes of this model.</w:t>
      </w:r>
    </w:p>
    <w:p w14:paraId="67F9F5C3" w14:textId="77777777" w:rsidR="00900E3F" w:rsidRDefault="00900E3F" w:rsidP="00900E3F">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7B561A0B" w14:textId="77777777" w:rsidR="00900E3F" w:rsidRDefault="00900E3F" w:rsidP="00900E3F">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313220E4" w14:textId="77777777" w:rsidR="00900E3F" w:rsidRDefault="00900E3F" w:rsidP="00900E3F">
      <w:r>
        <w:t>Mortgage payments are indexed exactly as described in the policy discussion above. The Bank receives the indexed payments, and the Government makes make-whole payments according to the terms of each household’s mortgage.</w:t>
      </w:r>
    </w:p>
    <w:p w14:paraId="6B249F45" w14:textId="77777777" w:rsidR="00900E3F" w:rsidRPr="00C1608D" w:rsidRDefault="00900E3F" w:rsidP="00900E3F">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76FF0F1A" w14:textId="77777777" w:rsidR="00900E3F" w:rsidRDefault="00900E3F" w:rsidP="00900E3F">
      <w:pPr>
        <w:pStyle w:val="Heading2"/>
      </w:pPr>
      <w:bookmarkStart w:id="0" w:name="header"/>
      <w:bookmarkEnd w:id="0"/>
      <w:r>
        <w:t>Automation curves</w:t>
      </w:r>
    </w:p>
    <w:p w14:paraId="31F34E02" w14:textId="77777777" w:rsidR="00900E3F" w:rsidRDefault="00900E3F" w:rsidP="00900E3F">
      <w:r>
        <w:rPr>
          <w:noProof/>
        </w:rPr>
        <w:drawing>
          <wp:anchor distT="0" distB="0" distL="114300" distR="114300" simplePos="0" relativeHeight="251659264" behindDoc="0" locked="0" layoutInCell="1" allowOverlap="1" wp14:anchorId="628F7296" wp14:editId="342BC048">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7"/>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5E047C6A" w14:textId="77777777" w:rsidR="00900E3F" w:rsidRDefault="00900E3F" w:rsidP="00900E3F">
      <w:r>
        <w:t>The dotted lines show the derivatives of the automation curves, to illustrate the different rates of change in these two sectors.</w:t>
      </w:r>
    </w:p>
    <w:p w14:paraId="6D25D89B" w14:textId="77777777" w:rsidR="00900E3F" w:rsidRDefault="00900E3F" w:rsidP="00900E3F">
      <w:pPr>
        <w:pStyle w:val="Heading2"/>
      </w:pPr>
      <w:r>
        <w:t>Population distributions</w:t>
      </w:r>
    </w:p>
    <w:p w14:paraId="5FF393F0" w14:textId="77777777" w:rsidR="00900E3F" w:rsidRDefault="00900E3F" w:rsidP="00900E3F">
      <w:r>
        <w:t>The next two plots show the income and wealth distributions before the new system is instituted, and at the end of the simulation. These represent real, not nominal, dollars.</w:t>
      </w:r>
    </w:p>
    <w:p w14:paraId="1E7F521B" w14:textId="77777777" w:rsidR="00900E3F" w:rsidRDefault="00900E3F" w:rsidP="00900E3F">
      <w:r>
        <w:lastRenderedPageBreak/>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157D8936" w14:textId="77777777" w:rsidR="00900E3F" w:rsidRDefault="00900E3F" w:rsidP="00900E3F">
      <w:r>
        <w:rPr>
          <w:noProof/>
        </w:rPr>
        <w:drawing>
          <wp:inline distT="0" distB="0" distL="0" distR="0" wp14:anchorId="0D7C5131" wp14:editId="75437FC4">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8"/>
                    <a:stretch>
                      <a:fillRect/>
                    </a:stretch>
                  </pic:blipFill>
                  <pic:spPr>
                    <a:xfrm>
                      <a:off x="0" y="0"/>
                      <a:ext cx="5943600" cy="2037715"/>
                    </a:xfrm>
                    <a:prstGeom prst="rect">
                      <a:avLst/>
                    </a:prstGeom>
                  </pic:spPr>
                </pic:pic>
              </a:graphicData>
            </a:graphic>
          </wp:inline>
        </w:drawing>
      </w:r>
    </w:p>
    <w:p w14:paraId="0C05A753" w14:textId="77777777" w:rsidR="00900E3F" w:rsidRDefault="00900E3F" w:rsidP="00900E3F">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4FF0D24D" w14:textId="77777777" w:rsidR="00900E3F" w:rsidRDefault="00900E3F" w:rsidP="00900E3F">
      <w:r>
        <w:t>Although not illustrated here, there is nothing magic about the 30% equity cap. The numbers work out acceptably well at 25%, or at 35%. The policies working together have a broad range of stability.</w:t>
      </w:r>
    </w:p>
    <w:p w14:paraId="64C0A1D2" w14:textId="77777777" w:rsidR="00900E3F" w:rsidRDefault="00900E3F" w:rsidP="00900E3F"/>
    <w:p w14:paraId="4D0CEAED" w14:textId="77777777" w:rsidR="00900E3F" w:rsidRDefault="00900E3F" w:rsidP="00900E3F">
      <w:r>
        <w:rPr>
          <w:noProof/>
        </w:rPr>
        <w:drawing>
          <wp:inline distT="0" distB="0" distL="0" distR="0" wp14:anchorId="39898088" wp14:editId="6B14C4AF">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9"/>
                    <a:stretch>
                      <a:fillRect/>
                    </a:stretch>
                  </pic:blipFill>
                  <pic:spPr>
                    <a:xfrm>
                      <a:off x="0" y="0"/>
                      <a:ext cx="5943600" cy="2510155"/>
                    </a:xfrm>
                    <a:prstGeom prst="rect">
                      <a:avLst/>
                    </a:prstGeom>
                  </pic:spPr>
                </pic:pic>
              </a:graphicData>
            </a:graphic>
          </wp:inline>
        </w:drawing>
      </w:r>
    </w:p>
    <w:p w14:paraId="039D66AF" w14:textId="77777777" w:rsidR="00900E3F" w:rsidRDefault="00900E3F" w:rsidP="00900E3F">
      <w:pPr>
        <w:pStyle w:val="Heading2"/>
      </w:pPr>
      <w:r>
        <w:lastRenderedPageBreak/>
        <w:t>Inequality (Gini metrics)</w:t>
      </w:r>
    </w:p>
    <w:p w14:paraId="48790038" w14:textId="77777777" w:rsidR="00900E3F" w:rsidRDefault="00900E3F" w:rsidP="00900E3F">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650A4A78" w14:textId="77777777" w:rsidR="00900E3F" w:rsidRDefault="00900E3F" w:rsidP="00900E3F">
      <w:r>
        <w:rPr>
          <w:noProof/>
        </w:rPr>
        <w:drawing>
          <wp:anchor distT="0" distB="0" distL="114300" distR="114300" simplePos="0" relativeHeight="251660288" behindDoc="0" locked="0" layoutInCell="1" allowOverlap="1" wp14:anchorId="16CA6144" wp14:editId="6D02328F">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0"/>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56D7CD89" w14:textId="77777777" w:rsidR="00900E3F" w:rsidRDefault="00900E3F" w:rsidP="00900E3F">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2FF4E8D9" w14:textId="77777777" w:rsidR="00900E3F" w:rsidRDefault="00900E3F" w:rsidP="00900E3F">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61958BC5" w14:textId="77777777" w:rsidR="00900E3F" w:rsidRDefault="00900E3F" w:rsidP="00900E3F">
      <w:pPr>
        <w:pStyle w:val="Heading2"/>
      </w:pPr>
      <w:r>
        <w:t>UBI and real household outcomes</w:t>
      </w:r>
    </w:p>
    <w:p w14:paraId="411FF496" w14:textId="77777777" w:rsidR="00900E3F" w:rsidRPr="00665140" w:rsidRDefault="00900E3F" w:rsidP="00900E3F">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1F6E72D" w14:textId="77777777" w:rsidR="00900E3F" w:rsidRDefault="00900E3F" w:rsidP="00900E3F">
      <w:r>
        <w:rPr>
          <w:noProof/>
        </w:rPr>
        <w:lastRenderedPageBreak/>
        <w:drawing>
          <wp:inline distT="0" distB="0" distL="0" distR="0" wp14:anchorId="085A9562" wp14:editId="162186A1">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1"/>
                    <a:stretch>
                      <a:fillRect/>
                    </a:stretch>
                  </pic:blipFill>
                  <pic:spPr>
                    <a:xfrm>
                      <a:off x="0" y="0"/>
                      <a:ext cx="5943600" cy="1880235"/>
                    </a:xfrm>
                    <a:prstGeom prst="rect">
                      <a:avLst/>
                    </a:prstGeom>
                  </pic:spPr>
                </pic:pic>
              </a:graphicData>
            </a:graphic>
          </wp:inline>
        </w:drawing>
      </w:r>
    </w:p>
    <w:p w14:paraId="780F642A" w14:textId="77777777" w:rsidR="00900E3F" w:rsidRDefault="00900E3F" w:rsidP="00900E3F">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01828FA8" w14:textId="77777777" w:rsidR="00900E3F" w:rsidRDefault="00900E3F" w:rsidP="00900E3F">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parameters that control how much of reduced cost and increased output are allowed to flow into price reductions, versus being captured as more corporate profit and either reinvested or distributed as dividends. </w:t>
      </w:r>
    </w:p>
    <w:p w14:paraId="08CDD5C2" w14:textId="77777777" w:rsidR="00900E3F" w:rsidRDefault="00900E3F" w:rsidP="00900E3F">
      <w:pPr>
        <w:pStyle w:val="Heading2"/>
      </w:pPr>
      <w:r>
        <w:t>The model reveals serious stresses during the transition</w:t>
      </w:r>
    </w:p>
    <w:p w14:paraId="5B8E3005" w14:textId="77777777" w:rsidR="00900E3F" w:rsidRDefault="00900E3F" w:rsidP="00900E3F">
      <w:r>
        <w:t>Despite the policy backstops, this transition will not be painless. An advantage of modeling is that we can know what’s coming, and plan for it or perhaps adapt the policies a bit. For instance:</w:t>
      </w:r>
    </w:p>
    <w:p w14:paraId="78D50C2A" w14:textId="77777777" w:rsidR="00900E3F" w:rsidRDefault="00900E3F" w:rsidP="00900E3F">
      <w:r>
        <w:rPr>
          <w:noProof/>
        </w:rPr>
        <w:drawing>
          <wp:inline distT="0" distB="0" distL="0" distR="0" wp14:anchorId="1F36808B" wp14:editId="08EE14DD">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2"/>
                    <a:stretch>
                      <a:fillRect/>
                    </a:stretch>
                  </pic:blipFill>
                  <pic:spPr>
                    <a:xfrm>
                      <a:off x="0" y="0"/>
                      <a:ext cx="5943600" cy="2919730"/>
                    </a:xfrm>
                    <a:prstGeom prst="rect">
                      <a:avLst/>
                    </a:prstGeom>
                  </pic:spPr>
                </pic:pic>
              </a:graphicData>
            </a:graphic>
          </wp:inline>
        </w:drawing>
      </w:r>
    </w:p>
    <w:p w14:paraId="20408F69" w14:textId="77777777" w:rsidR="00900E3F" w:rsidRDefault="00900E3F" w:rsidP="00900E3F">
      <w:r>
        <w:lastRenderedPageBreak/>
        <w:t>The solid line traces the deflation process, with (negative) inflation on the right-hand Y-axis. Prices fall steeply as the automation adoption process plays out, but after Q25 things turn around. After 20 years, deflation has pretty much ended.</w:t>
      </w:r>
    </w:p>
    <w:p w14:paraId="67CA750D" w14:textId="77777777" w:rsidR="00900E3F" w:rsidRDefault="00900E3F" w:rsidP="00900E3F">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154642D4" w14:textId="77777777" w:rsidR="00F1012B" w:rsidRDefault="00F1012B"/>
    <w:sectPr w:rsidR="00F101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EFE03" w14:textId="77777777" w:rsidR="007D0A87" w:rsidRDefault="007D0A87" w:rsidP="00900E3F">
      <w:pPr>
        <w:spacing w:before="0" w:after="0" w:line="240" w:lineRule="auto"/>
      </w:pPr>
      <w:r>
        <w:separator/>
      </w:r>
    </w:p>
  </w:endnote>
  <w:endnote w:type="continuationSeparator" w:id="0">
    <w:p w14:paraId="32B1CDA3" w14:textId="77777777" w:rsidR="007D0A87" w:rsidRDefault="007D0A87" w:rsidP="00900E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30F4" w14:textId="77777777" w:rsidR="007D0A87" w:rsidRDefault="007D0A87" w:rsidP="00900E3F">
      <w:pPr>
        <w:spacing w:before="0" w:after="0" w:line="240" w:lineRule="auto"/>
      </w:pPr>
      <w:r>
        <w:separator/>
      </w:r>
    </w:p>
  </w:footnote>
  <w:footnote w:type="continuationSeparator" w:id="0">
    <w:p w14:paraId="65F25757" w14:textId="77777777" w:rsidR="007D0A87" w:rsidRDefault="007D0A87" w:rsidP="00900E3F">
      <w:pPr>
        <w:spacing w:before="0" w:after="0" w:line="240" w:lineRule="auto"/>
      </w:pPr>
      <w:r>
        <w:continuationSeparator/>
      </w:r>
    </w:p>
  </w:footnote>
  <w:footnote w:id="1">
    <w:p w14:paraId="30A316E3" w14:textId="77777777" w:rsidR="00900E3F" w:rsidRDefault="00900E3F" w:rsidP="00900E3F">
      <w:pPr>
        <w:pStyle w:val="FootnoteText"/>
      </w:pPr>
      <w:r>
        <w:rPr>
          <w:rStyle w:val="FootnoteReference"/>
        </w:rPr>
        <w:footnoteRef/>
      </w:r>
      <w:r>
        <w:t xml:space="preserve"> The parameters associated with the policies introduced in this paper are explained in a separate document.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E3F"/>
    <w:rsid w:val="0021203D"/>
    <w:rsid w:val="0045166E"/>
    <w:rsid w:val="00473B93"/>
    <w:rsid w:val="0053784C"/>
    <w:rsid w:val="007D0A87"/>
    <w:rsid w:val="008E4CAE"/>
    <w:rsid w:val="00900E3F"/>
    <w:rsid w:val="00B50B7A"/>
    <w:rsid w:val="00F1012B"/>
    <w:rsid w:val="00F61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2A66C"/>
  <w15:chartTrackingRefBased/>
  <w15:docId w15:val="{69835C81-CC86-5E4F-A03C-C632A87DD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E3F"/>
    <w:pPr>
      <w:spacing w:before="200" w:after="200" w:line="276" w:lineRule="auto"/>
    </w:pPr>
    <w:rPr>
      <w:rFonts w:eastAsiaTheme="minorEastAsia"/>
      <w:kern w:val="0"/>
      <w:sz w:val="20"/>
      <w:szCs w:val="20"/>
      <w14:ligatures w14:val="none"/>
    </w:rPr>
  </w:style>
  <w:style w:type="paragraph" w:styleId="Heading1">
    <w:name w:val="heading 1"/>
    <w:basedOn w:val="Normal"/>
    <w:next w:val="Normal"/>
    <w:link w:val="Heading1Char"/>
    <w:uiPriority w:val="9"/>
    <w:qFormat/>
    <w:rsid w:val="00900E3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00E3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00E3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00E3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00E3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00E3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00E3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00E3F"/>
    <w:pPr>
      <w:keepNext/>
      <w:keepLines/>
      <w:spacing w:before="0"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00E3F"/>
    <w:pPr>
      <w:keepNext/>
      <w:keepLines/>
      <w:spacing w:before="0"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0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E3F"/>
    <w:rPr>
      <w:rFonts w:eastAsiaTheme="majorEastAsia" w:cstheme="majorBidi"/>
      <w:color w:val="272727" w:themeColor="text1" w:themeTint="D8"/>
    </w:rPr>
  </w:style>
  <w:style w:type="paragraph" w:styleId="Title">
    <w:name w:val="Title"/>
    <w:basedOn w:val="Normal"/>
    <w:next w:val="Normal"/>
    <w:link w:val="TitleChar"/>
    <w:uiPriority w:val="10"/>
    <w:qFormat/>
    <w:rsid w:val="00900E3F"/>
    <w:pPr>
      <w:spacing w:before="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00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E3F"/>
    <w:pPr>
      <w:numPr>
        <w:ilvl w:val="1"/>
      </w:numPr>
      <w:spacing w:before="0"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00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E3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00E3F"/>
    <w:rPr>
      <w:i/>
      <w:iCs/>
      <w:color w:val="404040" w:themeColor="text1" w:themeTint="BF"/>
    </w:rPr>
  </w:style>
  <w:style w:type="paragraph" w:styleId="ListParagraph">
    <w:name w:val="List Paragraph"/>
    <w:basedOn w:val="Normal"/>
    <w:uiPriority w:val="34"/>
    <w:qFormat/>
    <w:rsid w:val="00900E3F"/>
    <w:pPr>
      <w:spacing w:before="0"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900E3F"/>
    <w:rPr>
      <w:i/>
      <w:iCs/>
      <w:color w:val="0F4761" w:themeColor="accent1" w:themeShade="BF"/>
    </w:rPr>
  </w:style>
  <w:style w:type="paragraph" w:styleId="IntenseQuote">
    <w:name w:val="Intense Quote"/>
    <w:basedOn w:val="Normal"/>
    <w:next w:val="Normal"/>
    <w:link w:val="IntenseQuoteChar"/>
    <w:uiPriority w:val="30"/>
    <w:qFormat/>
    <w:rsid w:val="00900E3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00E3F"/>
    <w:rPr>
      <w:i/>
      <w:iCs/>
      <w:color w:val="0F4761" w:themeColor="accent1" w:themeShade="BF"/>
    </w:rPr>
  </w:style>
  <w:style w:type="character" w:styleId="IntenseReference">
    <w:name w:val="Intense Reference"/>
    <w:basedOn w:val="DefaultParagraphFont"/>
    <w:uiPriority w:val="32"/>
    <w:qFormat/>
    <w:rsid w:val="00900E3F"/>
    <w:rPr>
      <w:b/>
      <w:bCs/>
      <w:smallCaps/>
      <w:color w:val="0F4761" w:themeColor="accent1" w:themeShade="BF"/>
      <w:spacing w:val="5"/>
    </w:rPr>
  </w:style>
  <w:style w:type="paragraph" w:styleId="FootnoteText">
    <w:name w:val="footnote text"/>
    <w:basedOn w:val="Normal"/>
    <w:link w:val="FootnoteTextChar"/>
    <w:uiPriority w:val="99"/>
    <w:semiHidden/>
    <w:unhideWhenUsed/>
    <w:rsid w:val="00900E3F"/>
    <w:pPr>
      <w:spacing w:before="0" w:after="0" w:line="240" w:lineRule="auto"/>
    </w:pPr>
  </w:style>
  <w:style w:type="character" w:customStyle="1" w:styleId="FootnoteTextChar">
    <w:name w:val="Footnote Text Char"/>
    <w:basedOn w:val="DefaultParagraphFont"/>
    <w:link w:val="FootnoteText"/>
    <w:uiPriority w:val="99"/>
    <w:semiHidden/>
    <w:rsid w:val="00900E3F"/>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900E3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1669</Words>
  <Characters>9064</Characters>
  <Application>Microsoft Office Word</Application>
  <DocSecurity>0</DocSecurity>
  <Lines>125</Lines>
  <Paragraphs>37</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Ison</dc:creator>
  <cp:keywords/>
  <dc:description/>
  <cp:lastModifiedBy>Roger Ison</cp:lastModifiedBy>
  <cp:revision>3</cp:revision>
  <cp:lastPrinted>2026-03-06T17:59:00Z</cp:lastPrinted>
  <dcterms:created xsi:type="dcterms:W3CDTF">2026-03-06T17:59:00Z</dcterms:created>
  <dcterms:modified xsi:type="dcterms:W3CDTF">2026-03-06T17:59:00Z</dcterms:modified>
</cp:coreProperties>
</file>