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379AB" w14:textId="77777777" w:rsidR="00232270" w:rsidRDefault="00000000">
      <w:pPr>
        <w:pStyle w:val="Title"/>
        <w:jc w:val="center"/>
      </w:pPr>
      <w:r>
        <w:t>Deep Research Review</w:t>
      </w:r>
      <w:r>
        <w:br/>
        <w:t>The New Loop: A Future History of the AI Transition</w:t>
      </w:r>
    </w:p>
    <w:p w14:paraId="3DB1B049" w14:textId="4A8107DE" w:rsidR="00232270" w:rsidRDefault="00000000" w:rsidP="00777C29">
      <w:pPr>
        <w:pStyle w:val="Subtitle"/>
        <w:jc w:val="center"/>
      </w:pPr>
      <w:r>
        <w:t>Prepared for Roger Ison • March 6, 2026</w:t>
      </w:r>
    </w:p>
    <w:p w14:paraId="64C4B629" w14:textId="77777777" w:rsidR="00232270" w:rsidRDefault="00000000">
      <w:pPr>
        <w:pStyle w:val="Heading1"/>
      </w:pPr>
      <w:r>
        <w:t>Story architecture at a glance</w:t>
      </w:r>
    </w:p>
    <w:p w14:paraId="698D3455" w14:textId="77777777" w:rsidR="00232270" w:rsidRDefault="00232270"/>
    <w:p w14:paraId="691DA13B" w14:textId="77777777" w:rsidR="00232270" w:rsidRDefault="00000000">
      <w:pPr>
        <w:pStyle w:val="Heading1"/>
      </w:pPr>
      <w:r>
        <w:t>1. Core thesis of the paper</w:t>
      </w:r>
    </w:p>
    <w:p w14:paraId="30BF340B" w14:textId="77777777" w:rsidR="00232270" w:rsidRDefault="00000000">
      <w:r>
        <w:t>The paper is a macro-structural design argument rather than a single-policy manifesto. Its central claim is that the traditional capitalist loop depends on broad household purchasing power, historically supplied mainly through wages. If advanced artificial intelligence and automation weaken that wage channel, then the economy may face demand shortfall, heavier reliance on savings and debt, and eventually debt stress or debt deflation. The paper therefore proposes a package rather than a slogan: a social wealth trust, Universal Basic Income, a broad value-added tax with rebate or prebate, automation-responsive corporate taxation, and mortgage redesign. [1]</w:t>
      </w:r>
    </w:p>
    <w:p w14:paraId="323C5B25" w14:textId="77777777" w:rsidR="00232270" w:rsidRDefault="00000000">
      <w:r>
        <w:t>This framing is broadly aligned with the task-displacement literature. Acemoglu and Restrepo show that automation can reduce labor’s share unless sufficiently many new tasks are created to re-employ labor productively. International Monetary Fund work on generative artificial intelligence similarly finds that artificial intelligence can reallocate income between labor and capital and widen wealth concentration. [2][3]</w:t>
      </w:r>
    </w:p>
    <w:p w14:paraId="5081696A" w14:textId="77777777" w:rsidR="00232270" w:rsidRDefault="00000000">
      <w:pPr>
        <w:pStyle w:val="Heading1"/>
      </w:pPr>
      <w:r>
        <w:lastRenderedPageBreak/>
        <w:t>2. Key movements of the story</w:t>
      </w:r>
    </w:p>
    <w:p w14:paraId="0FB5F295" w14:textId="77777777" w:rsidR="00232270" w:rsidRDefault="00000000">
      <w:pPr>
        <w:pStyle w:val="Heading2"/>
      </w:pPr>
      <w:r>
        <w:t>Movement A: automation shifts income from labor toward capital. This starting point is well supported. The literature strongly supports the possibility that automation can compress labor’s share while raising output, especially when ownership of productive assets is already concentrated. [2][3][8]</w:t>
      </w:r>
    </w:p>
    <w:p w14:paraId="52280742" w14:textId="77777777" w:rsidR="00232270" w:rsidRDefault="00000000">
      <w:pPr>
        <w:pStyle w:val="Heading2"/>
      </w:pPr>
      <w:r>
        <w:t>Movement B: the first wave lands hardest on cognitive and information work. This is directionally confirmed by recent exposure studies. International Monetary Fund, International Labour Organization, and related institutional analyses find that cognitive-intensive occupations are among the most exposed. However, the strongest current monitoring suggests labor-market stability rather than economy-wide collapse through late 2025. Effects appear first in hiring patterns, early-career opportunities, and task reallocation rather than in dramatic aggregate layoffs. [3][5][6][7]</w:t>
      </w:r>
    </w:p>
    <w:p w14:paraId="64AB539A" w14:textId="77777777" w:rsidR="00232270" w:rsidRDefault="00000000">
      <w:pPr>
        <w:pStyle w:val="Heading2"/>
      </w:pPr>
      <w:r>
        <w:t>Movement C: wage pressure and debt-financed continuity lead to demand fragility. This is one of the paper’s strongest causal links. Weak demand can restrain investment even in productive economies, and debt can temporarily sustain demand while creating later fragility. That logic is reinforced by both mainstream macro commentary and stock-flow-consistent work. [14][15][17][18]</w:t>
      </w:r>
    </w:p>
    <w:p w14:paraId="1BB338FA" w14:textId="77777777" w:rsidR="00232270" w:rsidRDefault="00000000">
      <w:pPr>
        <w:pStyle w:val="Heading2"/>
      </w:pPr>
      <w:r>
        <w:t>Movement D: the transition may be deflationary. This is plausible but more contestable. Some work supports the idea that labor-replacing artificial intelligence could lower the natural rate and contribute to disinflationary or deflationary dynamics. Other work shows that if artificial intelligence mainly complements labor and stimulates strong investment, inflationary outcomes are also possible. The literature therefore supports deflation as a serious scenario, not a settled baseline. [4][14]</w:t>
      </w:r>
    </w:p>
    <w:p w14:paraId="459D963A" w14:textId="77777777" w:rsidR="00232270" w:rsidRDefault="00000000">
      <w:pPr>
        <w:pStyle w:val="Heading1"/>
      </w:pPr>
      <w:r>
        <w:t>3. Key policies in the paper</w:t>
      </w:r>
    </w:p>
    <w:p w14:paraId="49990CE1" w14:textId="77777777" w:rsidR="00232270" w:rsidRDefault="00000000">
      <w:r>
        <w:t>Social Wealth Trust. This is the paper’s most structurally important policy. It is intended to broaden claims on capital income as labor’s role weakens. Research strongly supports the underlying objective—broader asset ownership in a world of concentrated wealth—but is more cautious about implementation. Work on citizens’ wealth funds and sovereign wealth funds shows that governance, passivity, transparency, and insulation from political micromanagement are decisive. The broad idea is better supported than any specific annual dilution rule used to capitalize the fund. [8][16][19][20]</w:t>
      </w:r>
    </w:p>
    <w:p w14:paraId="0F8FFD77" w14:textId="77777777" w:rsidR="00232270" w:rsidRDefault="00000000">
      <w:r>
        <w:t>Universal Basic Income. The paper treats Universal Basic Income as a purchasing-power stabilizer, not as a standalone salvation mechanism. Existing evidence suggests permanent cash transfers do not automatically collapse employment, but recent guaranteed-income experiments also show moderate reductions in labor supply and limited evidence of offsetting entrepreneurship in the short run. The literature therefore supports Universal Basic Income best when it is one component of a larger financing and ownership structure. [11][12][13]</w:t>
      </w:r>
    </w:p>
    <w:p w14:paraId="21FB7D06" w14:textId="77777777" w:rsidR="00232270" w:rsidRDefault="00000000">
      <w:r>
        <w:t>Value-Added Tax with rebate or prebate. This is among the paper’s most research-supported choices. Organisation for Economic Co-operation and Development and International Monetary Fund work strongly supports the claim that a broad value-added tax is an efficient revenue instrument, while exemptions and reduced rates are usually a poor distributional tool. Direct compensation to lower-income households is generally the superior design. [9][10]</w:t>
      </w:r>
    </w:p>
    <w:p w14:paraId="47F80AE6" w14:textId="77777777" w:rsidR="00232270" w:rsidRDefault="00000000">
      <w:pPr>
        <w:pStyle w:val="Heading2"/>
      </w:pPr>
      <w:r>
        <w:lastRenderedPageBreak/>
        <w:t>Automation-responsive corporate taxation. The literature does not validate the paper’s exact formula, but it does support the broader need to rethink tax bases in a more capital-intensive and intangible economy. The main concern here is sequencing: if higher effective capital burdens arrive before demand support is credible, investment resistance could intensify. [3][9][15]</w:t>
      </w:r>
    </w:p>
    <w:p w14:paraId="11C6EA7B" w14:textId="77777777" w:rsidR="00232270" w:rsidRDefault="00000000">
      <w:r>
        <w:t>Mortgage redesign and indexed debt. This is a serious strength of the paper. Fixed nominal debt can become destabilizing in disinflationary or deflationary transitions. International Monetary Fund work supports the idea that indexed debt can damp debt-deflation amplification, even if it does not remove all instability. The paper’s hybrid mortgage-indexing approach is therefore analytically credible, though administratively demanding. [14]</w:t>
      </w:r>
    </w:p>
    <w:p w14:paraId="171E2AC1" w14:textId="77777777" w:rsidR="00232270" w:rsidRDefault="00000000">
      <w:pPr>
        <w:pStyle w:val="Heading1"/>
      </w:pPr>
      <w:r>
        <w:t>4. Policy interaction and systems effects</w:t>
      </w:r>
    </w:p>
    <w:p w14:paraId="7B5AFF2F" w14:textId="77777777" w:rsidR="00232270" w:rsidRDefault="00000000">
      <w:r>
        <w:t>The paper treats the transition as a systems problem. The Social Wealth Trust addresses ownership. Universal Basic Income addresses household cash flow. The value-added tax rebuilds a revenue base less dependent on wages. Corporate tax redesign follows value as income shifts toward capital. Mortgage adaptation prevents fixed nominal debts from becoming a destructive transmission channel. These are not redundant policies; they target different mechanical failures in the same loop. [1]</w:t>
      </w:r>
    </w:p>
    <w:p w14:paraId="6CFC9C71" w14:textId="77777777" w:rsidR="00232270" w:rsidRDefault="00000000">
      <w:r>
        <w:t>The main positive interaction is that demand support and broader ownership can make continued private investment more viable by preserving customers. The main negative interaction is sequencing risk: if firms face dilution, higher tax burdens, and weak demand simultaneously, the political and market response could be destabilizing even if a model solution exists. For that reason, the paper’s emphasis on rules, caps, and predictable triggers is central to feasibility. [15][16][19][20]</w:t>
      </w:r>
    </w:p>
    <w:p w14:paraId="320A8A52" w14:textId="77777777" w:rsidR="00232270" w:rsidRDefault="00000000">
      <w:r>
        <w:t>A second interaction risk is macro-regime mismatch. In a deflationary transition, indexed debt and ratcheting transfers are especially attractive. In an inflationary artificial-intelligence-complement world, transfer design, monetary issuance, and tax parameters would need different calibration. The literature makes this contingency central. [4][14]</w:t>
      </w:r>
    </w:p>
    <w:p w14:paraId="59693B96" w14:textId="77777777" w:rsidR="00232270" w:rsidRDefault="00000000">
      <w:pPr>
        <w:pStyle w:val="Heading1"/>
      </w:pPr>
      <w:r>
        <w:t>5. Where the research most strongly confirms the paper</w:t>
      </w:r>
    </w:p>
    <w:p w14:paraId="351FD47E" w14:textId="77777777" w:rsidR="00232270" w:rsidRDefault="00000000">
      <w:r>
        <w:t>Five claims are especially well supported. First, automation can shift income from labor toward capital and widen inequality unless new tasks or institutional redesign offset the effect. [2][3] Second, weak demand and household fragility can become binding macro constraints even in productive economies. [14][15][17][18] Third, a broad value-added tax with direct compensation is generally superior to a maze of exemptions. [9][10] Fourth, broader ownership of productive assets is a logically relevant response to capital-income concentration, provided governance is transparent and passive. [8][16][19][20] Fifth, debt contract design matters materially; indexed debt can reduce debt-deflation amplification. [14]</w:t>
      </w:r>
    </w:p>
    <w:p w14:paraId="2127A7F0" w14:textId="77777777" w:rsidR="00232270" w:rsidRDefault="00000000">
      <w:pPr>
        <w:pStyle w:val="Heading1"/>
      </w:pPr>
      <w:r>
        <w:t>6. Where research would revise or qualify the paper</w:t>
      </w:r>
    </w:p>
    <w:p w14:paraId="09626494" w14:textId="77777777" w:rsidR="00232270" w:rsidRDefault="00000000">
      <w:r>
        <w:t>First, the literature would revise the speed of the narrative. It supports significant exposure and early labor-market adjustment, but not yet an economy-wide employment collapse. [5][6][7]</w:t>
      </w:r>
    </w:p>
    <w:p w14:paraId="1EB932B2" w14:textId="77777777" w:rsidR="00232270" w:rsidRDefault="00000000">
      <w:r>
        <w:t>Second, it would revise confidence about the macro regime. The transition could be disinflationary, inflationary, or mixed depending on substitution, complementarity, and investment dynamics. [4][14]</w:t>
      </w:r>
    </w:p>
    <w:p w14:paraId="41DAA198" w14:textId="77777777" w:rsidR="00232270" w:rsidRDefault="00000000">
      <w:r>
        <w:lastRenderedPageBreak/>
        <w:t>Third, it would qualify Universal Basic Income. The policy is more defensible as one component of a broader architecture than as a standalone answer, because meaningful versions are expensive and may modestly reduce labor supply. [11][12][13]</w:t>
      </w:r>
    </w:p>
    <w:p w14:paraId="7B761045" w14:textId="77777777" w:rsidR="00232270" w:rsidRDefault="00000000">
      <w:r>
        <w:t>Fourth, it would say that the ownership objective is better grounded than the exact capitalization mechanics. The social ownership goal is strong; the specific implementation path remains the most politically fragile part of the package. [16][19][20]</w:t>
      </w:r>
    </w:p>
    <w:p w14:paraId="7B5B0EEA" w14:textId="77777777" w:rsidR="00232270" w:rsidRDefault="00000000">
      <w:pPr>
        <w:pStyle w:val="Heading1"/>
      </w:pPr>
      <w:r>
        <w:t>7. Overall assessment</w:t>
      </w:r>
    </w:p>
    <w:p w14:paraId="6F581DC4" w14:textId="77777777" w:rsidR="00232270" w:rsidRDefault="00000000">
      <w:pPr>
        <w:pStyle w:val="Heading2"/>
      </w:pPr>
      <w:r>
        <w:t>The paper’s broad thread is structurally strong and directionally well supported. Its most important contribution is the insistence that ownership, transfers, taxation, and debt contracts must be designed together if advanced artificial intelligence weakens the wage channel. The research most strongly supports that systems-level insight.</w:t>
      </w:r>
    </w:p>
    <w:p w14:paraId="227AE4A9" w14:textId="77777777" w:rsidR="00232270" w:rsidRDefault="00000000">
      <w:r>
        <w:t>The main revisions suggested by the literature are these: present the paper as a contingent scenario family rather than a single forecast; make the uncertainty around inflation versus deflation more explicit; and emphasize that feasibility depends heavily on sequencing, governance, and administrative capacity. With those revisions, the core argument remains robust. [1][3][4][14][16]</w:t>
      </w:r>
    </w:p>
    <w:p w14:paraId="5FA2F5FE" w14:textId="77777777" w:rsidR="00232270" w:rsidRDefault="00232270"/>
    <w:p w14:paraId="09C3FFDF" w14:textId="77777777" w:rsidR="00232270" w:rsidRDefault="00000000">
      <w:pPr>
        <w:pStyle w:val="Heading1"/>
      </w:pPr>
      <w:r>
        <w:t>References</w:t>
      </w:r>
    </w:p>
    <w:p w14:paraId="3F3BC562" w14:textId="77777777" w:rsidR="00232270" w:rsidRDefault="00000000">
      <w:r>
        <w:rPr>
          <w:b/>
        </w:rPr>
        <w:t xml:space="preserve">[1] </w:t>
      </w:r>
      <w:r>
        <w:t>Roger E. Ison. The New Loop: A Future History of the AI Transition. Uploaded draft manuscript reviewed March 2026.</w:t>
      </w:r>
    </w:p>
    <w:p w14:paraId="7310235B" w14:textId="77777777" w:rsidR="00232270" w:rsidRDefault="00000000">
      <w:r>
        <w:rPr>
          <w:b/>
        </w:rPr>
        <w:t xml:space="preserve">[2] </w:t>
      </w:r>
      <w:r>
        <w:t xml:space="preserve">Acemoglu, Daron, and Pascual Restrepo. "Automation and New Tasks: How Technology Displaces and Reinstates Labor." Journal of Economic Perspectives 33, no. 2 (2019): 3-30. DOI: 10.1257/jep.33.2.3. </w:t>
      </w:r>
      <w:hyperlink r:id="rId6">
        <w:r>
          <w:rPr>
            <w:color w:val="0563C1"/>
            <w:u w:val="single"/>
          </w:rPr>
          <w:t>[Link]</w:t>
        </w:r>
      </w:hyperlink>
    </w:p>
    <w:p w14:paraId="4D294355" w14:textId="77777777" w:rsidR="00232270" w:rsidRDefault="00000000">
      <w:r>
        <w:rPr>
          <w:b/>
        </w:rPr>
        <w:t xml:space="preserve">[3] </w:t>
      </w:r>
      <w:r>
        <w:t xml:space="preserve">Cazzaniga, Mauro, Florence Jaumotte, Longji Li, Giovanni Melina, Adrian J. Panton, Carolina Pizzinelli, Esteban Rockall, and Marina M. Tavares. "Gen-AI: Artificial Intelligence and the Future of Work." IMF Staff Discussion Note SDN/2024/001 (2024). </w:t>
      </w:r>
      <w:hyperlink r:id="rId7">
        <w:r>
          <w:rPr>
            <w:color w:val="0563C1"/>
            <w:u w:val="single"/>
          </w:rPr>
          <w:t>[Link]</w:t>
        </w:r>
      </w:hyperlink>
    </w:p>
    <w:p w14:paraId="4308F5A9" w14:textId="77777777" w:rsidR="00232270" w:rsidRDefault="00000000">
      <w:r>
        <w:rPr>
          <w:b/>
        </w:rPr>
        <w:t xml:space="preserve">[4] </w:t>
      </w:r>
      <w:r>
        <w:t xml:space="preserve">Melina, Giovanni, and Stefania Villa. "From Servers to Rates: AI, ICT Capital, and the Natural Rate." IMF Working Paper WP/25/224 (2025). </w:t>
      </w:r>
      <w:hyperlink r:id="rId8">
        <w:r>
          <w:rPr>
            <w:color w:val="0563C1"/>
            <w:u w:val="single"/>
          </w:rPr>
          <w:t>[Link]</w:t>
        </w:r>
      </w:hyperlink>
    </w:p>
    <w:p w14:paraId="49C52FCF" w14:textId="77777777" w:rsidR="00232270" w:rsidRDefault="00000000">
      <w:r>
        <w:rPr>
          <w:b/>
        </w:rPr>
        <w:t xml:space="preserve">[5] </w:t>
      </w:r>
      <w:r>
        <w:t xml:space="preserve">Gimbel, Martha, Molly Kinder, Joshua Kendall, and Maddie Lee. "Evaluating the Impact of AI on the Labor Market: Current State of Affairs." The Budget Lab at Yale, October 1, 2025. </w:t>
      </w:r>
      <w:hyperlink r:id="rId9">
        <w:r>
          <w:rPr>
            <w:color w:val="0563C1"/>
            <w:u w:val="single"/>
          </w:rPr>
          <w:t>[Link]</w:t>
        </w:r>
      </w:hyperlink>
    </w:p>
    <w:p w14:paraId="2CC7E2C1" w14:textId="77777777" w:rsidR="00232270" w:rsidRDefault="00000000">
      <w:r>
        <w:rPr>
          <w:b/>
        </w:rPr>
        <w:t xml:space="preserve">[6] </w:t>
      </w:r>
      <w:r>
        <w:t xml:space="preserve">Abel, Jaison R., Richard Deitz, Natalia Emanuel, Ben Hyman, and Nick Montalbano. "Are Businesses Scaling Back Hiring Due to AI?" Liberty Street Economics, Federal Reserve Bank of New York, September 4, 2025. </w:t>
      </w:r>
      <w:hyperlink r:id="rId10">
        <w:r>
          <w:rPr>
            <w:color w:val="0563C1"/>
            <w:u w:val="single"/>
          </w:rPr>
          <w:t>[Link]</w:t>
        </w:r>
      </w:hyperlink>
    </w:p>
    <w:p w14:paraId="0B52D5B1" w14:textId="77777777" w:rsidR="00232270" w:rsidRDefault="00000000">
      <w:r>
        <w:rPr>
          <w:b/>
        </w:rPr>
        <w:t xml:space="preserve">[7] </w:t>
      </w:r>
      <w:r>
        <w:t xml:space="preserve">Barr, Michael S. "What Will Artificial Intelligence Mean for the Labor Market and the Economy?" Speech at the New York Association for Business Economics, Board of Governors of the Federal Reserve System, February 17, 2026. </w:t>
      </w:r>
      <w:hyperlink r:id="rId11">
        <w:r>
          <w:rPr>
            <w:color w:val="0563C1"/>
            <w:u w:val="single"/>
          </w:rPr>
          <w:t>[Link]</w:t>
        </w:r>
      </w:hyperlink>
    </w:p>
    <w:p w14:paraId="03DC9709" w14:textId="77777777" w:rsidR="00232270" w:rsidRDefault="00000000">
      <w:r>
        <w:rPr>
          <w:b/>
        </w:rPr>
        <w:t xml:space="preserve">[8] </w:t>
      </w:r>
      <w:r>
        <w:t xml:space="preserve">OECD. "Income and Wealth Inequalities." In Society at a Glance 2024. OECD Publishing, 2024. </w:t>
      </w:r>
      <w:hyperlink r:id="rId12">
        <w:r>
          <w:rPr>
            <w:color w:val="0563C1"/>
            <w:u w:val="single"/>
          </w:rPr>
          <w:t>[Link]</w:t>
        </w:r>
      </w:hyperlink>
    </w:p>
    <w:p w14:paraId="409ADC6E" w14:textId="77777777" w:rsidR="00232270" w:rsidRDefault="00000000">
      <w:r>
        <w:rPr>
          <w:b/>
        </w:rPr>
        <w:lastRenderedPageBreak/>
        <w:t xml:space="preserve">[9] </w:t>
      </w:r>
      <w:r>
        <w:t xml:space="preserve">OECD. Consumption Tax Trends 2024: VAT/GST and Excise, Core Design Features and Trends. OECD Publishing, 2024. </w:t>
      </w:r>
      <w:hyperlink r:id="rId13">
        <w:r>
          <w:rPr>
            <w:color w:val="0563C1"/>
            <w:u w:val="single"/>
          </w:rPr>
          <w:t>[Link]</w:t>
        </w:r>
      </w:hyperlink>
    </w:p>
    <w:p w14:paraId="10074F97" w14:textId="77777777" w:rsidR="00232270" w:rsidRDefault="00000000">
      <w:r>
        <w:rPr>
          <w:b/>
        </w:rPr>
        <w:t xml:space="preserve">[10] </w:t>
      </w:r>
      <w:r>
        <w:t xml:space="preserve">de la Feria, Rita, and Grégoire Swistak. "Designing a Progressive VAT." IMF Working Paper WP/24/78 (2024). </w:t>
      </w:r>
      <w:hyperlink r:id="rId14">
        <w:r>
          <w:rPr>
            <w:color w:val="0563C1"/>
            <w:u w:val="single"/>
          </w:rPr>
          <w:t>[Link]</w:t>
        </w:r>
      </w:hyperlink>
    </w:p>
    <w:p w14:paraId="03850F5A" w14:textId="77777777" w:rsidR="00232270" w:rsidRDefault="00000000">
      <w:r>
        <w:rPr>
          <w:b/>
        </w:rPr>
        <w:t xml:space="preserve">[11] </w:t>
      </w:r>
      <w:r>
        <w:t xml:space="preserve">Jones, Damon, and Ioana Marinescu. "The Labor Market Impacts of Universal and Permanent Cash Transfers: Evidence from the Alaska Permanent Fund." American Economic Journal: Economic Policy 14, no. 2 (2022): 315-340. DOI: 10.1257/pol.20190299. </w:t>
      </w:r>
      <w:hyperlink r:id="rId15">
        <w:r>
          <w:rPr>
            <w:color w:val="0563C1"/>
            <w:u w:val="single"/>
          </w:rPr>
          <w:t>[Link]</w:t>
        </w:r>
      </w:hyperlink>
    </w:p>
    <w:p w14:paraId="22AAABB7" w14:textId="77777777" w:rsidR="00232270" w:rsidRDefault="00000000">
      <w:r>
        <w:rPr>
          <w:b/>
        </w:rPr>
        <w:t xml:space="preserve">[12] </w:t>
      </w:r>
      <w:r>
        <w:t xml:space="preserve">Vivalt, Eva, Elizabeth Rhodes, Alexander W. Bartik, David E. Broockman, Patrick Krause, and Sarah Miller. "The Employment Effects of a Guaranteed Income: Experimental Evidence from Two U.S. States." NBER Working Paper 32719, revised January 2025. </w:t>
      </w:r>
      <w:hyperlink r:id="rId16">
        <w:r>
          <w:rPr>
            <w:color w:val="0563C1"/>
            <w:u w:val="single"/>
          </w:rPr>
          <w:t>[Link]</w:t>
        </w:r>
      </w:hyperlink>
    </w:p>
    <w:p w14:paraId="088A51EB" w14:textId="77777777" w:rsidR="00232270" w:rsidRDefault="00000000">
      <w:r>
        <w:rPr>
          <w:b/>
        </w:rPr>
        <w:t xml:space="preserve">[13] </w:t>
      </w:r>
      <w:r>
        <w:t xml:space="preserve">Browne, James, and Herwig Immervoll. "Mechanics of Replacing Benefit Systems with a Basic Income." OECD Social, Employment and Migration Working Papers No. 193 (2017). </w:t>
      </w:r>
      <w:hyperlink r:id="rId17">
        <w:r>
          <w:rPr>
            <w:color w:val="0563C1"/>
            <w:u w:val="single"/>
          </w:rPr>
          <w:t>[Link]</w:t>
        </w:r>
      </w:hyperlink>
    </w:p>
    <w:p w14:paraId="3D754DF5" w14:textId="77777777" w:rsidR="00232270" w:rsidRDefault="00000000">
      <w:r>
        <w:rPr>
          <w:b/>
        </w:rPr>
        <w:t xml:space="preserve">[14] </w:t>
      </w:r>
      <w:r>
        <w:t xml:space="preserve">Bounader, Laurent, and Selim Elekdag. "The Diagnostic Financial Accelerator." IMF Working Paper WP/24/132 (2024). </w:t>
      </w:r>
      <w:hyperlink r:id="rId18">
        <w:r>
          <w:rPr>
            <w:color w:val="0563C1"/>
            <w:u w:val="single"/>
          </w:rPr>
          <w:t>[Link]</w:t>
        </w:r>
      </w:hyperlink>
    </w:p>
    <w:p w14:paraId="583C8293" w14:textId="77777777" w:rsidR="00232270" w:rsidRDefault="00000000">
      <w:r>
        <w:rPr>
          <w:b/>
        </w:rPr>
        <w:t xml:space="preserve">[15] </w:t>
      </w:r>
      <w:r>
        <w:t xml:space="preserve">OECD. "Reigniting Investment for More Resilient Growth." In OECD Economic Outlook, Volume 2025 Issue 1: Tackling Uncertainty, Reviving Growth. OECD Publishing, 2025. </w:t>
      </w:r>
      <w:hyperlink r:id="rId19">
        <w:r>
          <w:rPr>
            <w:color w:val="0563C1"/>
            <w:u w:val="single"/>
          </w:rPr>
          <w:t>[Link]</w:t>
        </w:r>
      </w:hyperlink>
    </w:p>
    <w:p w14:paraId="246A21B0" w14:textId="77777777" w:rsidR="00232270" w:rsidRDefault="00000000">
      <w:r>
        <w:rPr>
          <w:b/>
        </w:rPr>
        <w:t xml:space="preserve">[16] </w:t>
      </w:r>
      <w:r>
        <w:t xml:space="preserve">Blyth, Mark, and Eric Lonergan. "A Citizen's Wealth Fund: Broadening Asset Ownership." In The Future of Wealth, edited volume chapter, 2021. </w:t>
      </w:r>
      <w:hyperlink r:id="rId20">
        <w:r>
          <w:rPr>
            <w:color w:val="0563C1"/>
            <w:u w:val="single"/>
          </w:rPr>
          <w:t>[Link]</w:t>
        </w:r>
      </w:hyperlink>
    </w:p>
    <w:p w14:paraId="169B2013" w14:textId="77777777" w:rsidR="00232270" w:rsidRDefault="00000000">
      <w:r>
        <w:rPr>
          <w:b/>
        </w:rPr>
        <w:t xml:space="preserve">[17] </w:t>
      </w:r>
      <w:r>
        <w:t xml:space="preserve">Byrialsen, M. R., and N. Raza. "An Empirical Stock-Flow Consistent Macroeconomic Model for Denmark." Levy Economics Institute Working Paper No. 942 (2020). </w:t>
      </w:r>
      <w:hyperlink r:id="rId21">
        <w:r>
          <w:rPr>
            <w:color w:val="0563C1"/>
            <w:u w:val="single"/>
          </w:rPr>
          <w:t>[Link]</w:t>
        </w:r>
      </w:hyperlink>
    </w:p>
    <w:p w14:paraId="582A4926" w14:textId="77777777" w:rsidR="00232270" w:rsidRDefault="00000000">
      <w:r>
        <w:rPr>
          <w:b/>
        </w:rPr>
        <w:t xml:space="preserve">[18] </w:t>
      </w:r>
      <w:r>
        <w:t xml:space="preserve">Ruggeri, Francesco, Riccardo Pariboni, and Giuliano Toshiro Yajima. "A Stock-Flow Consistent Model of Emulation, Debt, and Personal Income Inequality." Levy Economics Institute Working Paper No. 1099 (October 2025). </w:t>
      </w:r>
      <w:hyperlink r:id="rId22">
        <w:r>
          <w:rPr>
            <w:color w:val="0563C1"/>
            <w:u w:val="single"/>
          </w:rPr>
          <w:t>[Link]</w:t>
        </w:r>
      </w:hyperlink>
    </w:p>
    <w:p w14:paraId="6945253F" w14:textId="77777777" w:rsidR="00232270" w:rsidRDefault="00000000">
      <w:r>
        <w:rPr>
          <w:b/>
        </w:rPr>
        <w:t xml:space="preserve">[19] </w:t>
      </w:r>
      <w:r>
        <w:t xml:space="preserve">Cuervo-Cazurra, Alvaro, Anna Grosman, and Geoffrey T. Wood. "Cross-country Variations in Sovereign Wealth Funds' Transparency." Journal of International Business Policy 6, no. 3 (2023): 447-468. </w:t>
      </w:r>
      <w:hyperlink r:id="rId23">
        <w:r>
          <w:rPr>
            <w:color w:val="0563C1"/>
            <w:u w:val="single"/>
          </w:rPr>
          <w:t>[Link]</w:t>
        </w:r>
      </w:hyperlink>
    </w:p>
    <w:p w14:paraId="1CB2D80D" w14:textId="77777777" w:rsidR="00232270" w:rsidRDefault="00000000">
      <w:r>
        <w:rPr>
          <w:b/>
        </w:rPr>
        <w:t xml:space="preserve">[20] </w:t>
      </w:r>
      <w:r>
        <w:t xml:space="preserve">Avendaño, Rolando, and Javier Santiso. "Are Sovereign Wealth Funds' Investments Politically Biased? A Comparison with Mutual Funds." OECD Development Centre Working Paper No. 283 (2009). </w:t>
      </w:r>
      <w:hyperlink r:id="rId24">
        <w:r>
          <w:rPr>
            <w:color w:val="0563C1"/>
            <w:u w:val="single"/>
          </w:rPr>
          <w:t>[Link]</w:t>
        </w:r>
      </w:hyperlink>
    </w:p>
    <w:sectPr w:rsidR="00232270" w:rsidSect="00034616">
      <w:pgSz w:w="12240" w:h="15840"/>
      <w:pgMar w:top="1152"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5421511">
    <w:abstractNumId w:val="8"/>
  </w:num>
  <w:num w:numId="2" w16cid:durableId="1463425796">
    <w:abstractNumId w:val="6"/>
  </w:num>
  <w:num w:numId="3" w16cid:durableId="1111901342">
    <w:abstractNumId w:val="5"/>
  </w:num>
  <w:num w:numId="4" w16cid:durableId="230507723">
    <w:abstractNumId w:val="4"/>
  </w:num>
  <w:num w:numId="5" w16cid:durableId="435056622">
    <w:abstractNumId w:val="7"/>
  </w:num>
  <w:num w:numId="6" w16cid:durableId="636572288">
    <w:abstractNumId w:val="3"/>
  </w:num>
  <w:num w:numId="7" w16cid:durableId="317849614">
    <w:abstractNumId w:val="2"/>
  </w:num>
  <w:num w:numId="8" w16cid:durableId="101457090">
    <w:abstractNumId w:val="1"/>
  </w:num>
  <w:num w:numId="9" w16cid:durableId="333267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2270"/>
    <w:rsid w:val="0029639D"/>
    <w:rsid w:val="00326F90"/>
    <w:rsid w:val="0045166E"/>
    <w:rsid w:val="00777C2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856909"/>
  <w14:defaultImageDpi w14:val="300"/>
  <w15:docId w15:val="{B2F0BFFF-5518-BD43-9980-12538E160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b/>
      <w:bCs/>
      <w:color w:val="2D2D2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A5A5A"/>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mf.org/en/publications/wp/issues/2025/10/31/from-servers-to-rates-ai-ict-capital-and-the-natural-rate-571484" TargetMode="External"/><Relationship Id="rId13" Type="http://schemas.openxmlformats.org/officeDocument/2006/relationships/hyperlink" Target="https://www.oecd.org/en/publications/2024/11/consumption-tax-trends-2024_57c7322a.html" TargetMode="External"/><Relationship Id="rId18" Type="http://schemas.openxmlformats.org/officeDocument/2006/relationships/hyperlink" Target="https://www.imf.org/-/media/files/publications/wp/2024/english/wpiea2024132-print-pdf.pdf"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levyinstitute.org/publications/an-empirical-stock-flow-consistent-macroeconomic-model-for-denmark" TargetMode="External"/><Relationship Id="rId7" Type="http://schemas.openxmlformats.org/officeDocument/2006/relationships/hyperlink" Target="https://www.imf.org/-/media/files/publications/sdn/2024/english/sdnea2024001.pdf" TargetMode="External"/><Relationship Id="rId12" Type="http://schemas.openxmlformats.org/officeDocument/2006/relationships/hyperlink" Target="https://www.oecd.org/en/publications/society-at-a-glance-2024_918d8db3-en/full-report/income-and-wealth-inequalities_7ac4178f.html" TargetMode="External"/><Relationship Id="rId17" Type="http://schemas.openxmlformats.org/officeDocument/2006/relationships/hyperlink" Target="https://www.oecd.org/en/publications/mechanics-of-replacing-benefits-systems-with-a-basic-income_ec38a279-en.html"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nber.org/papers/w32719" TargetMode="External"/><Relationship Id="rId20" Type="http://schemas.openxmlformats.org/officeDocument/2006/relationships/hyperlink" Target="https://futureofwealth.org/wp-content/uploads/2021/12/Sec8-Ch-63-Blyth-Lonergan.pdf" TargetMode="External"/><Relationship Id="rId1" Type="http://schemas.openxmlformats.org/officeDocument/2006/relationships/customXml" Target="../customXml/item1.xml"/><Relationship Id="rId6" Type="http://schemas.openxmlformats.org/officeDocument/2006/relationships/hyperlink" Target="https://www.aeaweb.org/articles?id=10.1257%2Fjep.33.2.3" TargetMode="External"/><Relationship Id="rId11" Type="http://schemas.openxmlformats.org/officeDocument/2006/relationships/hyperlink" Target="https://www.federalreserve.gov/newsevents/speech/barr20260217a.htm" TargetMode="External"/><Relationship Id="rId24" Type="http://schemas.openxmlformats.org/officeDocument/2006/relationships/hyperlink" Target="https://www.oecd.org/en/publications/are-sovereign-wealth-funds-investments-politically-biased_218475437211.html" TargetMode="External"/><Relationship Id="rId5" Type="http://schemas.openxmlformats.org/officeDocument/2006/relationships/webSettings" Target="webSettings.xml"/><Relationship Id="rId15" Type="http://schemas.openxmlformats.org/officeDocument/2006/relationships/hyperlink" Target="https://www.aeaweb.org/articles?id=10.1257%2Fpol.20190299" TargetMode="External"/><Relationship Id="rId23" Type="http://schemas.openxmlformats.org/officeDocument/2006/relationships/hyperlink" Target="https://pmc.ncbi.nlm.nih.gov/articles/PMC10009841/" TargetMode="External"/><Relationship Id="rId10" Type="http://schemas.openxmlformats.org/officeDocument/2006/relationships/hyperlink" Target="https://libertystreeteconomics.newyorkfed.org/2025/09/are-businesses-scaling-back-hiring-due-to-ai/" TargetMode="External"/><Relationship Id="rId19" Type="http://schemas.openxmlformats.org/officeDocument/2006/relationships/hyperlink" Target="https://www.oecd.org/en/publications/2025/06/oecd-economic-outlook-volume-2025-issue-1_1fd979a8/full-report/reigniting-investment-for-more-resilient-growth_99b36090.html" TargetMode="External"/><Relationship Id="rId4" Type="http://schemas.openxmlformats.org/officeDocument/2006/relationships/settings" Target="settings.xml"/><Relationship Id="rId9" Type="http://schemas.openxmlformats.org/officeDocument/2006/relationships/hyperlink" Target="https://budgetlab.yale.edu/research/evaluating-impact-ai-labor-market-current-state-affairs" TargetMode="External"/><Relationship Id="rId14" Type="http://schemas.openxmlformats.org/officeDocument/2006/relationships/hyperlink" Target="https://www.imf.org/en/publications/wp/issues/2024/04/05/designing-a-progressive-vat-546923" TargetMode="External"/><Relationship Id="rId22" Type="http://schemas.openxmlformats.org/officeDocument/2006/relationships/hyperlink" Target="https://www.levyinstitute.org/publications/a-stock-flow-consistent-model-of-emulation-debt-and-personal-income-inequal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2100</Words>
  <Characters>13004</Characters>
  <Application>Microsoft Office Word</Application>
  <DocSecurity>0</DocSecurity>
  <Lines>191</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 Ison</cp:lastModifiedBy>
  <cp:revision>2</cp:revision>
  <dcterms:created xsi:type="dcterms:W3CDTF">2013-12-23T23:15:00Z</dcterms:created>
  <dcterms:modified xsi:type="dcterms:W3CDTF">2026-03-06T17:05:00Z</dcterms:modified>
  <cp:category/>
</cp:coreProperties>
</file>