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BB7A3" w14:textId="6FFB9B1D" w:rsidR="00F06D52" w:rsidRDefault="00A2045F">
      <w:pPr>
        <w:pStyle w:val="Title"/>
        <w:jc w:val="center"/>
      </w:pPr>
      <w:r>
        <w:t>New Loop</w:t>
      </w:r>
      <w:r w:rsidR="008D12DC">
        <w:br/>
      </w:r>
      <w:r w:rsidRPr="008D12DC">
        <w:rPr>
          <w:sz w:val="36"/>
          <w:szCs w:val="36"/>
        </w:rPr>
        <w:t>Policy Architecture</w:t>
      </w:r>
      <w:r w:rsidR="008D12DC" w:rsidRPr="008D12DC">
        <w:rPr>
          <w:sz w:val="36"/>
          <w:szCs w:val="36"/>
        </w:rPr>
        <w:t xml:space="preserve"> and simulator</w:t>
      </w:r>
      <w:r>
        <w:t xml:space="preserve"> </w:t>
      </w:r>
    </w:p>
    <w:p w14:paraId="17C5B8D2" w14:textId="77777777" w:rsidR="00C872E6" w:rsidRDefault="00C872E6"/>
    <w:p w14:paraId="5D087447" w14:textId="367EB30A" w:rsidR="00F06D52" w:rsidRDefault="00000000">
      <w:r>
        <w:t xml:space="preserve">This </w:t>
      </w:r>
      <w:r w:rsidR="002B7C0D">
        <w:t>paper</w:t>
      </w:r>
      <w:r>
        <w:t xml:space="preserve"> </w:t>
      </w:r>
      <w:r w:rsidR="005B56F6">
        <w:t>details</w:t>
      </w:r>
      <w:r>
        <w:t xml:space="preserve"> the policy architecture </w:t>
      </w:r>
      <w:r w:rsidR="00AA1AC0">
        <w:t>of the</w:t>
      </w:r>
      <w:r>
        <w:t xml:space="preserve"> New Loop </w:t>
      </w:r>
      <w:r w:rsidR="00AA1AC0">
        <w:t xml:space="preserve">model </w:t>
      </w:r>
      <w:r>
        <w:t xml:space="preserve">in </w:t>
      </w:r>
      <w:r w:rsidR="00A2045F">
        <w:t xml:space="preserve">macroeconomic and </w:t>
      </w:r>
      <w:r>
        <w:t xml:space="preserve">institutional terms. </w:t>
      </w:r>
      <w:r w:rsidR="002B7C0D">
        <w:t>T</w:t>
      </w:r>
      <w:r>
        <w:t xml:space="preserve">hese mechanisms are </w:t>
      </w:r>
      <w:r w:rsidR="005B56F6">
        <w:t xml:space="preserve">certainly </w:t>
      </w:r>
      <w:r w:rsidR="00AA1AC0">
        <w:t xml:space="preserve">not </w:t>
      </w:r>
      <w:r>
        <w:t xml:space="preserve">the only possible </w:t>
      </w:r>
      <w:r w:rsidR="00A2045F">
        <w:t>response</w:t>
      </w:r>
      <w:r w:rsidR="00BE66D3">
        <w:t>s</w:t>
      </w:r>
      <w:r>
        <w:t xml:space="preserve"> to the transition</w:t>
      </w:r>
      <w:r w:rsidR="00A2045F">
        <w:t xml:space="preserve">, but </w:t>
      </w:r>
      <w:r w:rsidR="00AA1AC0">
        <w:t>the model</w:t>
      </w:r>
      <w:r w:rsidR="002B7C0D">
        <w:t xml:space="preserve"> shows</w:t>
      </w:r>
      <w:r>
        <w:t>, policy by policy, how a market economy can remain socially and financially stable when advanced automation weakens the old wage driven demand loop.</w:t>
      </w:r>
    </w:p>
    <w:p w14:paraId="1E771610" w14:textId="5245C01A" w:rsidR="00C872E6" w:rsidRDefault="00C872E6">
      <w:r>
        <w:t>For a</w:t>
      </w:r>
      <w:r w:rsidR="005B56F6">
        <w:t>n easily readable</w:t>
      </w:r>
      <w:r>
        <w:t xml:space="preserve"> narrative description of the New Loop, please see the companion paper, </w:t>
      </w:r>
      <w:r w:rsidRPr="00C872E6">
        <w:rPr>
          <w:i/>
          <w:iCs/>
        </w:rPr>
        <w:t>The New Loop: A Future History of the AI Transition</w:t>
      </w:r>
      <w:r>
        <w:t xml:space="preserve">. </w:t>
      </w:r>
    </w:p>
    <w:p w14:paraId="28619CFD" w14:textId="4F1E344D" w:rsidR="00F06D52" w:rsidRDefault="00A2045F">
      <w:r>
        <w:t xml:space="preserve">The problem the New Loop addresses is straightforward. As machine intelligence raises output while reducing the role of labor in production, wage income becomes a </w:t>
      </w:r>
      <w:r w:rsidR="00E70D7E">
        <w:t>weaker</w:t>
      </w:r>
      <w:r>
        <w:t xml:space="preserve"> channel for distributing purchasing power. Without compensating institutions, the result </w:t>
      </w:r>
      <w:r w:rsidR="00BE66D3">
        <w:t>would not be</w:t>
      </w:r>
      <w:r>
        <w:t xml:space="preserve"> a smooth transition into abundance. </w:t>
      </w:r>
      <w:r w:rsidR="00AA1AC0">
        <w:t xml:space="preserve">The </w:t>
      </w:r>
      <w:r>
        <w:t>economy</w:t>
      </w:r>
      <w:r w:rsidR="00BE66D3">
        <w:t xml:space="preserve"> would</w:t>
      </w:r>
      <w:r>
        <w:t xml:space="preserve"> </w:t>
      </w:r>
      <w:r w:rsidR="00AA1AC0">
        <w:t xml:space="preserve">instead </w:t>
      </w:r>
      <w:r>
        <w:t>drift</w:t>
      </w:r>
      <w:r w:rsidR="00BE66D3">
        <w:t xml:space="preserve"> </w:t>
      </w:r>
      <w:r>
        <w:t>toward weak demand, debt stress, political backlash, and repeated attempts to restore the old system after its economic base has already begun to erode.</w:t>
      </w:r>
    </w:p>
    <w:p w14:paraId="43D05D8B" w14:textId="05E140E9" w:rsidR="00F06D52" w:rsidRDefault="00000000">
      <w:r>
        <w:t xml:space="preserve">The policies </w:t>
      </w:r>
      <w:r w:rsidR="007F620B">
        <w:t xml:space="preserve">described </w:t>
      </w:r>
      <w:r>
        <w:t xml:space="preserve">below are therefore designed as a rule based stabilizing architecture. </w:t>
      </w:r>
      <w:r w:rsidR="00A2045F">
        <w:t>Taken together,</w:t>
      </w:r>
      <w:r>
        <w:t xml:space="preserve"> they aim to preserve purchasing power, broaden ownership, prevent debt deflation, and keep private investment attractive even as the composition of income changes. Each section answers three questions: what problem the policy addresses, how it operates, and why it helps stabilize the transition.</w:t>
      </w:r>
    </w:p>
    <w:p w14:paraId="5641B9ED" w14:textId="5ADB00F7" w:rsidR="0095212B" w:rsidRDefault="0095212B">
      <w:r>
        <w:t xml:space="preserve">After </w:t>
      </w:r>
      <w:r w:rsidR="00F8454A">
        <w:t>discussing</w:t>
      </w:r>
      <w:r>
        <w:t xml:space="preserve"> the poli</w:t>
      </w:r>
      <w:r w:rsidR="00F8454A">
        <w:t>cies in detail</w:t>
      </w:r>
      <w:r>
        <w:t xml:space="preserve">, </w:t>
      </w:r>
      <w:r w:rsidR="00F8454A">
        <w:t>the</w:t>
      </w:r>
      <w:r>
        <w:t xml:space="preserve"> </w:t>
      </w:r>
      <w:r w:rsidR="00AA1AC0">
        <w:t>paper</w:t>
      </w:r>
      <w:r>
        <w:t xml:space="preserve"> </w:t>
      </w:r>
      <w:r w:rsidR="0031566B">
        <w:t>presents a guided, illustrated tour of the</w:t>
      </w:r>
      <w:r w:rsidR="007C6132">
        <w:t xml:space="preserve"> outputs from a sample run of the New Loop simulator</w:t>
      </w:r>
      <w:r w:rsidR="00514FDD">
        <w:t xml:space="preserve"> app.</w:t>
      </w:r>
      <w:r w:rsidR="004F6256">
        <w:t xml:space="preserve"> There is a reading list at the end.</w:t>
      </w:r>
    </w:p>
    <w:p w14:paraId="758A7267" w14:textId="48F6E648" w:rsidR="00C872E6" w:rsidRDefault="00C872E6">
      <w:r>
        <w:t>Roger Ison</w:t>
      </w:r>
      <w:r>
        <w:br/>
        <w:t>roger@miximum.info</w:t>
      </w:r>
    </w:p>
    <w:p w14:paraId="1F566450" w14:textId="77777777" w:rsidR="00C872E6" w:rsidRDefault="00C872E6">
      <w:pPr>
        <w:rPr>
          <w:b/>
          <w:bCs/>
          <w:caps/>
          <w:color w:val="FFFFFF" w:themeColor="background1"/>
          <w:spacing w:val="15"/>
          <w:szCs w:val="22"/>
        </w:rPr>
      </w:pPr>
      <w:r>
        <w:br w:type="page"/>
      </w:r>
    </w:p>
    <w:p w14:paraId="16DF0BE4" w14:textId="0AAF2CD3" w:rsidR="00AB6536" w:rsidRDefault="00AB6536" w:rsidP="00AB6536">
      <w:pPr>
        <w:pStyle w:val="Heading1"/>
      </w:pPr>
      <w:r>
        <w:lastRenderedPageBreak/>
        <w:t>Some notes about the model</w:t>
      </w:r>
    </w:p>
    <w:p w14:paraId="38A18D0E" w14:textId="268DB3F5" w:rsidR="00AB6536" w:rsidRDefault="00AB6536" w:rsidP="00AB6536">
      <w:pPr>
        <w:rPr>
          <w:szCs w:val="22"/>
        </w:rPr>
      </w:pPr>
      <w:r w:rsidRPr="00AB6536">
        <w:rPr>
          <w:i/>
          <w:iCs/>
          <w:szCs w:val="22"/>
        </w:rPr>
        <w:t>The New Loop</w:t>
      </w:r>
      <w:r w:rsidRPr="00AB6536">
        <w:rPr>
          <w:szCs w:val="22"/>
        </w:rPr>
        <w:t xml:space="preserve"> identifies distinct economic failure channels and policies</w:t>
      </w:r>
      <w:r w:rsidR="005A6B11">
        <w:rPr>
          <w:szCs w:val="22"/>
        </w:rPr>
        <w:t xml:space="preserve"> calculated</w:t>
      </w:r>
      <w:r w:rsidRPr="00AB6536">
        <w:rPr>
          <w:szCs w:val="22"/>
        </w:rPr>
        <w:t xml:space="preserve"> to address </w:t>
      </w:r>
      <w:r w:rsidR="005A6B11">
        <w:rPr>
          <w:szCs w:val="22"/>
        </w:rPr>
        <w:t>each of them</w:t>
      </w:r>
      <w:r w:rsidRPr="00AB6536">
        <w:rPr>
          <w:szCs w:val="22"/>
        </w:rPr>
        <w:t xml:space="preserve">: income </w:t>
      </w:r>
      <w:r w:rsidR="005A6B11">
        <w:rPr>
          <w:szCs w:val="22"/>
        </w:rPr>
        <w:t xml:space="preserve">and tax </w:t>
      </w:r>
      <w:r w:rsidRPr="00AB6536">
        <w:rPr>
          <w:szCs w:val="22"/>
        </w:rPr>
        <w:t>architecture, broad deflation, demand fragility and fixed-term debt, the concentration vs. treadmill trap, and political legitimacy.</w:t>
      </w:r>
      <w:r>
        <w:rPr>
          <w:szCs w:val="22"/>
        </w:rPr>
        <w:t xml:space="preserve"> </w:t>
      </w:r>
      <w:r w:rsidRPr="00AB6536">
        <w:rPr>
          <w:szCs w:val="22"/>
        </w:rPr>
        <w:t>There is substantial academic and professional literature relevant to these themes.</w:t>
      </w:r>
      <w:r>
        <w:rPr>
          <w:szCs w:val="22"/>
        </w:rPr>
        <w:t xml:space="preserve"> See the reading list at the end of this article.</w:t>
      </w:r>
      <w:r w:rsidRPr="00AB6536">
        <w:rPr>
          <w:szCs w:val="22"/>
        </w:rPr>
        <w:t xml:space="preserve"> </w:t>
      </w:r>
    </w:p>
    <w:p w14:paraId="3AF9795E" w14:textId="77777777" w:rsidR="007F620B" w:rsidRDefault="00AB6536" w:rsidP="00AB6536">
      <w:pPr>
        <w:rPr>
          <w:szCs w:val="22"/>
        </w:rPr>
      </w:pPr>
      <w:r w:rsidRPr="00AB6536">
        <w:rPr>
          <w:szCs w:val="22"/>
        </w:rPr>
        <w:t xml:space="preserve">The strongest and most mature </w:t>
      </w:r>
      <w:r w:rsidR="00C10520">
        <w:rPr>
          <w:szCs w:val="22"/>
        </w:rPr>
        <w:t xml:space="preserve">published </w:t>
      </w:r>
      <w:r w:rsidRPr="00AB6536">
        <w:rPr>
          <w:szCs w:val="22"/>
        </w:rPr>
        <w:t xml:space="preserve">work concerns Value-Added Tax. </w:t>
      </w:r>
      <w:r w:rsidR="007F620B">
        <w:rPr>
          <w:szCs w:val="22"/>
        </w:rPr>
        <w:t>Good</w:t>
      </w:r>
      <w:r w:rsidRPr="00AB6536">
        <w:rPr>
          <w:szCs w:val="22"/>
        </w:rPr>
        <w:t xml:space="preserve"> material also exists on sovereign or national wealth funds, labor displacement, debt-deflation dynamics, and the political constraints on durable reform. </w:t>
      </w:r>
    </w:p>
    <w:p w14:paraId="34A755D8" w14:textId="38C3C0E7" w:rsidR="00AB6536" w:rsidRPr="00AB6536" w:rsidRDefault="00AB6536" w:rsidP="00AB6536">
      <w:pPr>
        <w:rPr>
          <w:szCs w:val="22"/>
        </w:rPr>
      </w:pPr>
      <w:r w:rsidRPr="00AB6536">
        <w:rPr>
          <w:szCs w:val="22"/>
        </w:rPr>
        <w:t>Yet the literature remains fragmented. It generally treats these issues in isolation rather than as components of an integrated framework. Still largely missing is a serious effort to design whole-economy policy packages whose elements are explicitly non-redundant, mutually compatible, and interact macroeconomically over time.</w:t>
      </w:r>
      <w:r w:rsidR="00BE66D3">
        <w:rPr>
          <w:szCs w:val="22"/>
        </w:rPr>
        <w:t xml:space="preserve"> The New Loop </w:t>
      </w:r>
      <w:r w:rsidR="005A6B11">
        <w:rPr>
          <w:szCs w:val="22"/>
        </w:rPr>
        <w:t>remedies that with an integrated, interacting package of policies</w:t>
      </w:r>
      <w:r w:rsidR="00BE66D3">
        <w:rPr>
          <w:szCs w:val="22"/>
        </w:rPr>
        <w:t>.</w:t>
      </w:r>
      <w:r w:rsidR="005A6B11">
        <w:rPr>
          <w:szCs w:val="22"/>
        </w:rPr>
        <w:t xml:space="preserve"> The computational model itself is Stock-Flow Consistent: the numbers always add up so net flows across the entire network sum to zero.</w:t>
      </w:r>
    </w:p>
    <w:p w14:paraId="649F84E4" w14:textId="77777777" w:rsidR="003C425C" w:rsidRDefault="00AB6536" w:rsidP="00AB6536">
      <w:pPr>
        <w:rPr>
          <w:szCs w:val="22"/>
        </w:rPr>
      </w:pPr>
      <w:proofErr w:type="spellStart"/>
      <w:r w:rsidRPr="00AB6536">
        <w:rPr>
          <w:szCs w:val="22"/>
        </w:rPr>
        <w:t>Seve</w:t>
      </w:r>
      <w:proofErr w:type="spellEnd"/>
      <w:r w:rsidRPr="00AB6536">
        <w:rPr>
          <w:szCs w:val="22"/>
        </w:rPr>
        <w:t xml:space="preserve">ral New Loop proposals seem to be novel, or are specified in greater detail than existing work. </w:t>
      </w:r>
    </w:p>
    <w:p w14:paraId="56E5B29A" w14:textId="2292A9EB" w:rsidR="007F620B" w:rsidRDefault="00AB6536" w:rsidP="00AB6536">
      <w:pPr>
        <w:rPr>
          <w:szCs w:val="22"/>
        </w:rPr>
      </w:pPr>
      <w:r w:rsidRPr="00AB6536">
        <w:rPr>
          <w:szCs w:val="22"/>
        </w:rPr>
        <w:t xml:space="preserve">The </w:t>
      </w:r>
      <w:r w:rsidR="005A6B11">
        <w:rPr>
          <w:szCs w:val="22"/>
        </w:rPr>
        <w:t>computational model allows choosing between</w:t>
      </w:r>
      <w:r w:rsidRPr="00AB6536">
        <w:rPr>
          <w:szCs w:val="22"/>
        </w:rPr>
        <w:t xml:space="preserve"> two </w:t>
      </w:r>
      <w:r w:rsidR="005A6B11">
        <w:rPr>
          <w:szCs w:val="22"/>
        </w:rPr>
        <w:t>quite different</w:t>
      </w:r>
      <w:r w:rsidRPr="00AB6536">
        <w:rPr>
          <w:szCs w:val="22"/>
        </w:rPr>
        <w:t xml:space="preserve"> household-</w:t>
      </w:r>
      <w:r w:rsidR="005A6B11">
        <w:rPr>
          <w:szCs w:val="22"/>
        </w:rPr>
        <w:t>income</w:t>
      </w:r>
      <w:r w:rsidRPr="00AB6536">
        <w:rPr>
          <w:szCs w:val="22"/>
        </w:rPr>
        <w:t xml:space="preserve"> regimes that serve the same macroeconomic purpose: Universal Income </w:t>
      </w:r>
      <w:r w:rsidR="003C425C">
        <w:rPr>
          <w:szCs w:val="22"/>
        </w:rPr>
        <w:t>Support</w:t>
      </w:r>
      <w:r w:rsidRPr="00AB6536">
        <w:rPr>
          <w:szCs w:val="22"/>
        </w:rPr>
        <w:t xml:space="preserve"> (UIS) </w:t>
      </w:r>
      <w:r w:rsidR="003C425C">
        <w:rPr>
          <w:szCs w:val="22"/>
        </w:rPr>
        <w:t>or</w:t>
      </w:r>
      <w:r w:rsidRPr="00AB6536">
        <w:rPr>
          <w:szCs w:val="22"/>
        </w:rPr>
        <w:t xml:space="preserve"> Universal Basic Income (UBI). </w:t>
      </w:r>
      <w:r w:rsidR="003C425C">
        <w:rPr>
          <w:szCs w:val="22"/>
        </w:rPr>
        <w:t>UIS seems to be a new idea. It supports income via an indexing mechanism that raises support slowly to maintain overall purchasing power. This is much less expensive than traditional UBI designs, but also less stimulative. The</w:t>
      </w:r>
      <w:r w:rsidRPr="00AB6536">
        <w:rPr>
          <w:szCs w:val="22"/>
        </w:rPr>
        <w:t xml:space="preserve"> model uses the same funding hierarchy</w:t>
      </w:r>
      <w:r w:rsidR="003C425C">
        <w:rPr>
          <w:szCs w:val="22"/>
        </w:rPr>
        <w:t xml:space="preserve"> for both UIS and UBI, </w:t>
      </w:r>
      <w:r w:rsidRPr="00AB6536">
        <w:rPr>
          <w:szCs w:val="22"/>
        </w:rPr>
        <w:t xml:space="preserve">drawing first on a configured issuance share, then on Trust Fund distributions, then on government balances, with any remainder covered by additional issuance. The design </w:t>
      </w:r>
      <w:r w:rsidR="003C425C">
        <w:rPr>
          <w:szCs w:val="22"/>
        </w:rPr>
        <w:t>incorporates</w:t>
      </w:r>
      <w:r w:rsidRPr="00AB6536">
        <w:rPr>
          <w:szCs w:val="22"/>
        </w:rPr>
        <w:t xml:space="preserve"> </w:t>
      </w:r>
      <w:r w:rsidR="003C425C">
        <w:rPr>
          <w:szCs w:val="22"/>
        </w:rPr>
        <w:t>a</w:t>
      </w:r>
      <w:r w:rsidRPr="00AB6536">
        <w:rPr>
          <w:szCs w:val="22"/>
        </w:rPr>
        <w:t xml:space="preserve"> non-reducing </w:t>
      </w:r>
      <w:r w:rsidR="005A6B11">
        <w:rPr>
          <w:szCs w:val="22"/>
        </w:rPr>
        <w:t xml:space="preserve">income </w:t>
      </w:r>
      <w:r w:rsidRPr="00AB6536">
        <w:rPr>
          <w:szCs w:val="22"/>
        </w:rPr>
        <w:t>ratchet for political viability and economic stability</w:t>
      </w:r>
      <w:r w:rsidR="003C425C">
        <w:rPr>
          <w:szCs w:val="22"/>
        </w:rPr>
        <w:t>, which can be disabled for comparison scenarios</w:t>
      </w:r>
      <w:r w:rsidRPr="00AB6536">
        <w:rPr>
          <w:szCs w:val="22"/>
        </w:rPr>
        <w:t xml:space="preserve">. </w:t>
      </w:r>
    </w:p>
    <w:p w14:paraId="12951989" w14:textId="7666CB25" w:rsidR="00AB6536" w:rsidRPr="00AB6536" w:rsidRDefault="00AB6536" w:rsidP="00AB6536">
      <w:pPr>
        <w:rPr>
          <w:szCs w:val="22"/>
        </w:rPr>
      </w:pPr>
      <w:r w:rsidRPr="00AB6536">
        <w:rPr>
          <w:szCs w:val="22"/>
        </w:rPr>
        <w:t xml:space="preserve">The hybrid-indexed, automation-responsive corporate tax rate </w:t>
      </w:r>
      <w:r w:rsidR="007F620B">
        <w:rPr>
          <w:szCs w:val="22"/>
        </w:rPr>
        <w:t xml:space="preserve">also </w:t>
      </w:r>
      <w:r w:rsidRPr="00AB6536">
        <w:rPr>
          <w:szCs w:val="22"/>
        </w:rPr>
        <w:t xml:space="preserve">seems to be </w:t>
      </w:r>
      <w:r w:rsidR="00752A7D">
        <w:rPr>
          <w:szCs w:val="22"/>
        </w:rPr>
        <w:t>new</w:t>
      </w:r>
      <w:r w:rsidRPr="00AB6536">
        <w:rPr>
          <w:szCs w:val="22"/>
        </w:rPr>
        <w:t>, and the proposal to index mortgage payments to deflation while making lenders whole is a</w:t>
      </w:r>
      <w:r w:rsidR="007F620B">
        <w:rPr>
          <w:szCs w:val="22"/>
        </w:rPr>
        <w:t>nother</w:t>
      </w:r>
      <w:r w:rsidRPr="00AB6536">
        <w:rPr>
          <w:szCs w:val="22"/>
        </w:rPr>
        <w:t xml:space="preserve"> distinctive contribution.</w:t>
      </w:r>
      <w:r w:rsidR="007F620B">
        <w:rPr>
          <w:szCs w:val="22"/>
        </w:rPr>
        <w:t xml:space="preserve"> These also are implemented in the computational model.</w:t>
      </w:r>
    </w:p>
    <w:p w14:paraId="7D015CFB" w14:textId="502754EE" w:rsidR="00AB6536" w:rsidRPr="00AB6536" w:rsidRDefault="00AB6536" w:rsidP="00AB6536">
      <w:pPr>
        <w:rPr>
          <w:szCs w:val="22"/>
        </w:rPr>
      </w:pPr>
      <w:r w:rsidRPr="00AB6536">
        <w:rPr>
          <w:szCs w:val="22"/>
        </w:rPr>
        <w:t xml:space="preserve">The </w:t>
      </w:r>
      <w:r w:rsidR="007F620B">
        <w:rPr>
          <w:szCs w:val="22"/>
        </w:rPr>
        <w:t>software</w:t>
      </w:r>
      <w:r w:rsidRPr="00AB6536">
        <w:rPr>
          <w:szCs w:val="22"/>
        </w:rPr>
        <w:t xml:space="preserve"> </w:t>
      </w:r>
      <w:r w:rsidR="00C10520">
        <w:rPr>
          <w:szCs w:val="22"/>
        </w:rPr>
        <w:t>creates</w:t>
      </w:r>
      <w:r w:rsidRPr="00AB6536">
        <w:rPr>
          <w:szCs w:val="22"/>
        </w:rPr>
        <w:t xml:space="preserve"> a statistically generated population of 20,000 households whose income, wealth, revolving debt, and mortgage distributions roughly correspond to those in the United States. Household marginal propensities to consume (MPC) are quantized into quintiles. </w:t>
      </w:r>
      <w:r w:rsidR="007F620B">
        <w:rPr>
          <w:szCs w:val="22"/>
        </w:rPr>
        <w:t>T</w:t>
      </w:r>
      <w:r w:rsidR="00C10520">
        <w:rPr>
          <w:szCs w:val="22"/>
        </w:rPr>
        <w:t xml:space="preserve">he </w:t>
      </w:r>
      <w:r w:rsidRPr="00AB6536">
        <w:rPr>
          <w:szCs w:val="22"/>
        </w:rPr>
        <w:t>model could be extended and refined with actual population data</w:t>
      </w:r>
      <w:r w:rsidR="007F620B">
        <w:rPr>
          <w:szCs w:val="22"/>
        </w:rPr>
        <w:t>;</w:t>
      </w:r>
      <w:r w:rsidRPr="00AB6536">
        <w:rPr>
          <w:szCs w:val="22"/>
        </w:rPr>
        <w:t xml:space="preserve"> </w:t>
      </w:r>
      <w:r w:rsidR="007F620B">
        <w:rPr>
          <w:szCs w:val="22"/>
        </w:rPr>
        <w:t xml:space="preserve">but </w:t>
      </w:r>
      <w:r w:rsidRPr="00AB6536">
        <w:rPr>
          <w:szCs w:val="22"/>
        </w:rPr>
        <w:t xml:space="preserve">that was not necessary for its </w:t>
      </w:r>
      <w:r w:rsidR="00C144CC">
        <w:rPr>
          <w:szCs w:val="22"/>
        </w:rPr>
        <w:t xml:space="preserve">original </w:t>
      </w:r>
      <w:r w:rsidRPr="00AB6536">
        <w:rPr>
          <w:szCs w:val="22"/>
        </w:rPr>
        <w:t>design purpose, which is to explore policy designs, interactions and sensitivities in a closed-loop system.</w:t>
      </w:r>
    </w:p>
    <w:p w14:paraId="1809E8EC" w14:textId="2E48DE25" w:rsidR="00AB6536" w:rsidRDefault="00C10520" w:rsidP="00AB6536">
      <w:pPr>
        <w:rPr>
          <w:szCs w:val="22"/>
        </w:rPr>
      </w:pPr>
      <w:r>
        <w:rPr>
          <w:szCs w:val="22"/>
        </w:rPr>
        <w:t>While the</w:t>
      </w:r>
      <w:r w:rsidR="00AB6536" w:rsidRPr="00AB6536">
        <w:rPr>
          <w:szCs w:val="22"/>
        </w:rPr>
        <w:t xml:space="preserve"> New Loop story focuses on deflation, the </w:t>
      </w:r>
      <w:r w:rsidR="007F620B">
        <w:rPr>
          <w:szCs w:val="22"/>
        </w:rPr>
        <w:t xml:space="preserve">computational </w:t>
      </w:r>
      <w:r w:rsidR="00AB6536" w:rsidRPr="00AB6536">
        <w:rPr>
          <w:szCs w:val="22"/>
        </w:rPr>
        <w:t xml:space="preserve">model does not enforce deflation; it arises structurally. </w:t>
      </w:r>
      <w:r>
        <w:rPr>
          <w:szCs w:val="22"/>
        </w:rPr>
        <w:t>There</w:t>
      </w:r>
      <w:r w:rsidR="00AB6536" w:rsidRPr="00AB6536">
        <w:rPr>
          <w:szCs w:val="22"/>
        </w:rPr>
        <w:t xml:space="preserve"> is presently no consensus </w:t>
      </w:r>
      <w:r w:rsidR="00464B00">
        <w:rPr>
          <w:szCs w:val="22"/>
        </w:rPr>
        <w:t>among economists about</w:t>
      </w:r>
      <w:r w:rsidR="00AB6536" w:rsidRPr="00AB6536">
        <w:rPr>
          <w:szCs w:val="22"/>
        </w:rPr>
        <w:t xml:space="preserve"> whether deflation is inevitable, </w:t>
      </w:r>
      <w:r>
        <w:rPr>
          <w:szCs w:val="22"/>
        </w:rPr>
        <w:t xml:space="preserve">but </w:t>
      </w:r>
      <w:r w:rsidR="00AB6536" w:rsidRPr="00AB6536">
        <w:rPr>
          <w:szCs w:val="22"/>
        </w:rPr>
        <w:t xml:space="preserve">the New Loop future history </w:t>
      </w:r>
      <w:r>
        <w:rPr>
          <w:szCs w:val="22"/>
        </w:rPr>
        <w:t xml:space="preserve">paper </w:t>
      </w:r>
      <w:r w:rsidR="00AB6536" w:rsidRPr="00AB6536">
        <w:rPr>
          <w:szCs w:val="22"/>
        </w:rPr>
        <w:t>gives strong arguments why deflation should be anticipated. In any case, the mechanisms that would lead instead to inflation are probably unsustainable; they involve issuing a lot of money, with all the well-understood limits and consequences that entails.</w:t>
      </w:r>
    </w:p>
    <w:p w14:paraId="4E9BAC95" w14:textId="6532BC22" w:rsidR="00B8068B" w:rsidRPr="00AB6536" w:rsidRDefault="00B8068B" w:rsidP="00AB6536">
      <w:pPr>
        <w:rPr>
          <w:szCs w:val="22"/>
        </w:rPr>
      </w:pPr>
      <w:r>
        <w:rPr>
          <w:szCs w:val="22"/>
        </w:rPr>
        <w:lastRenderedPageBreak/>
        <w:t xml:space="preserve">The companion future-history paper speculatively describes how different countries might respond to the AI transition. However, the New Loop simulation </w:t>
      </w:r>
      <w:r w:rsidR="004E6650">
        <w:rPr>
          <w:szCs w:val="22"/>
        </w:rPr>
        <w:t>models a closed economy with no international trade component.</w:t>
      </w:r>
    </w:p>
    <w:p w14:paraId="296BF07C" w14:textId="21DA9A0C" w:rsidR="00AB6536" w:rsidRDefault="00AB6536" w:rsidP="00AB6536">
      <w:r>
        <w:br w:type="page"/>
      </w:r>
    </w:p>
    <w:p w14:paraId="5A547E46" w14:textId="77777777" w:rsidR="00AB6536" w:rsidRDefault="00AB6536" w:rsidP="00AB6536"/>
    <w:p w14:paraId="4779EA4E" w14:textId="37E00D53" w:rsidR="00AC3B05" w:rsidRDefault="00AC3B05" w:rsidP="00AC3B05">
      <w:pPr>
        <w:pStyle w:val="Heading1"/>
        <w:rPr>
          <w:sz w:val="27"/>
        </w:rPr>
      </w:pPr>
      <w:r>
        <w:t xml:space="preserve">1. </w:t>
      </w:r>
      <w:r w:rsidR="0065191B">
        <w:t>Public</w:t>
      </w:r>
      <w:r>
        <w:t xml:space="preserve"> Trust</w:t>
      </w:r>
      <w:r w:rsidR="0065191B">
        <w:t xml:space="preserve"> Fund</w:t>
      </w:r>
    </w:p>
    <w:p w14:paraId="40A784E9" w14:textId="6AF03510" w:rsidR="00AC3B05" w:rsidRDefault="00AC3B05" w:rsidP="00AC3B05">
      <w:r>
        <w:t>The Social Wealth Trust broadens equity ownership. Its purpose is to ensure that as production becomes more automated, households gain an expanding claim on the resulting surplus, rather than relying primarily on wages that no longer rise in proportion to output.</w:t>
      </w:r>
    </w:p>
    <w:p w14:paraId="7DFC852E" w14:textId="7C8DE752" w:rsidR="00AC3B05" w:rsidRDefault="00AC3B05" w:rsidP="00AC3B05">
      <w:r>
        <w:t xml:space="preserve">The Trust activates when household debt-service stress rises to a level indicating that the legacy distribution system is no longer keeping enough </w:t>
      </w:r>
      <w:proofErr w:type="gramStart"/>
      <w:r>
        <w:t>households</w:t>
      </w:r>
      <w:proofErr w:type="gramEnd"/>
      <w:r>
        <w:t xml:space="preserve"> solvent. This trigger ties the Trust to observable strain in the household balance sheet, rather than presenting it as an ideologically motivated or confiscatory institution.</w:t>
      </w:r>
    </w:p>
    <w:p w14:paraId="5B8E43B3" w14:textId="77777777" w:rsidR="00AC3B05" w:rsidRDefault="00AC3B05" w:rsidP="00AC3B05">
      <w:pPr>
        <w:pStyle w:val="Heading2"/>
      </w:pPr>
      <w:r>
        <w:t>1.1 Optional leveraged launch</w:t>
      </w:r>
    </w:p>
    <w:p w14:paraId="447F9F5A" w14:textId="1E55F868" w:rsidR="00AC3B05" w:rsidRDefault="00AC3B05" w:rsidP="00AC3B05">
      <w:r>
        <w:t>At activation, the Trust can begin gradually, or it can be jump-started with bank-created credit. In a jump-start, the Trust acquires an initial block of equity from the household sector, immediately increasing society’s income-bearing claim on productive assets.</w:t>
      </w:r>
    </w:p>
    <w:p w14:paraId="004694D7" w14:textId="63277A5B" w:rsidR="00AC3B05" w:rsidRDefault="00AC3B05" w:rsidP="00AC3B05">
      <w:r>
        <w:t>This borrowing is not intended to create permanent leverage. It is designed to be repaid as quickly as practicable from subsequent Trust income. The purpose is transitional: to accelerate broad ownership at the moment the economy is already showing debt stress.</w:t>
      </w:r>
    </w:p>
    <w:p w14:paraId="2EC8A4CB" w14:textId="77777777" w:rsidR="00AC3B05" w:rsidRDefault="00AC3B05" w:rsidP="00AC3B05">
      <w:pPr>
        <w:pStyle w:val="Heading2"/>
      </w:pPr>
      <w:r>
        <w:t>1.2 Ongoing accumulation with an explicit cap</w:t>
      </w:r>
    </w:p>
    <w:p w14:paraId="6266CB6C" w14:textId="77777777" w:rsidR="00AC3B05" w:rsidRDefault="00AC3B05" w:rsidP="00AC3B05">
      <w:r>
        <w:t>After activation, the Trust can continue to build its position through the issuance of new shares allocated to the Trust. This increases broad ownership through gradual dilution over years, rather than through seizure of existing private holdings.</w:t>
      </w:r>
    </w:p>
    <w:p w14:paraId="1C96E7FF" w14:textId="77777777" w:rsidR="00AC3B05" w:rsidRDefault="00AC3B05" w:rsidP="00AC3B05"/>
    <w:p w14:paraId="644EDB7B" w14:textId="77777777" w:rsidR="00AC3B05" w:rsidRDefault="00AC3B05" w:rsidP="00AC3B05">
      <w:r>
        <w:t>An explicit ownership cap is essential. The cap signals that the system remains a mixed economy rather than a nationalization regime, preserves the incentive and valuation structure of private equity, and gives investors a clear boundary within which private ownership continues to dominate.</w:t>
      </w:r>
    </w:p>
    <w:p w14:paraId="6BFCEB4D" w14:textId="77777777" w:rsidR="00F06D52" w:rsidRDefault="00000000">
      <w:pPr>
        <w:pStyle w:val="Heading2"/>
      </w:pPr>
      <w:r>
        <w:t>1.3 Debt first treatment</w:t>
      </w:r>
    </w:p>
    <w:p w14:paraId="74C52B2D" w14:textId="77777777" w:rsidR="00AC3B05" w:rsidRDefault="00AC3B05" w:rsidP="00AC3B05">
      <w:pPr>
        <w:rPr>
          <w:sz w:val="24"/>
        </w:rPr>
      </w:pPr>
      <w:r>
        <w:t>If the Trust begins with borrowed funds, any cash it receives is applied first to retire that debt before being used for broader transfers. This makes leverage temporary and disciplined. The Trust may borrow to establish itself, but it is not designed to operate as an indefinitely leveraged public holding company.</w:t>
      </w:r>
    </w:p>
    <w:p w14:paraId="6B76E42B" w14:textId="77777777" w:rsidR="00F06D52" w:rsidRDefault="00000000">
      <w:pPr>
        <w:pStyle w:val="Heading2"/>
      </w:pPr>
      <w:r>
        <w:t>1.4 Residual balances</w:t>
      </w:r>
    </w:p>
    <w:p w14:paraId="40AA21FF" w14:textId="77777777" w:rsidR="00AC3B05" w:rsidRDefault="00AC3B05" w:rsidP="00AC3B05">
      <w:pPr>
        <w:rPr>
          <w:sz w:val="24"/>
        </w:rPr>
      </w:pPr>
      <w:r>
        <w:lastRenderedPageBreak/>
        <w:t>Once the Trust is operating, a further design choice concerns the treatment of any residual cash balances. Those balances can be retained within the Trust for the long-term benefit of citizens, or a portion can be made available to the government as an additional fiscal buffer.</w:t>
      </w:r>
    </w:p>
    <w:p w14:paraId="127F5191" w14:textId="77777777" w:rsidR="00F06D52" w:rsidRDefault="00000000">
      <w:pPr>
        <w:pStyle w:val="Heading1"/>
      </w:pPr>
      <w:r>
        <w:t>2. Household Income Support: UIS or UBI</w:t>
      </w:r>
    </w:p>
    <w:p w14:paraId="310D344C" w14:textId="676BDAA7" w:rsidR="00F306B1" w:rsidRDefault="00270C84" w:rsidP="00270C84">
      <w:r>
        <w:t xml:space="preserve">The New Loop now supports two rule-based ways to maintain household purchasing power during the automation transition. In </w:t>
      </w:r>
      <w:r w:rsidR="00F306B1">
        <w:t>Universal Income Support (UIS)</w:t>
      </w:r>
      <w:r>
        <w:t xml:space="preserve"> mode, support is a countercyclical income stabilizer that tops up household income when wage income weakens. In </w:t>
      </w:r>
      <w:r w:rsidR="00F306B1">
        <w:t>Universal Basic Income (UBI)</w:t>
      </w:r>
      <w:r>
        <w:t xml:space="preserve"> mode, support is a fixed per-household transfer that is anchored at baseline and then indexed over time. </w:t>
      </w:r>
    </w:p>
    <w:p w14:paraId="08A70919" w14:textId="31AD5CF2" w:rsidR="00270C84" w:rsidRDefault="00270C84" w:rsidP="00270C84">
      <w:pPr>
        <w:rPr>
          <w:sz w:val="24"/>
        </w:rPr>
      </w:pPr>
      <w:r>
        <w:t xml:space="preserve">These different </w:t>
      </w:r>
      <w:r w:rsidR="00F306B1">
        <w:t>policy</w:t>
      </w:r>
      <w:r>
        <w:t xml:space="preserve"> choices</w:t>
      </w:r>
      <w:r w:rsidR="00F306B1">
        <w:t xml:space="preserve"> </w:t>
      </w:r>
      <w:r>
        <w:t>serve the same macroeconomic purpose: to keep mass purchasing power from collapsing as wage income becomes a less reliable channel for sharing production.</w:t>
      </w:r>
      <w:r w:rsidR="00F306B1">
        <w:t xml:space="preserve"> However, they differ in cost and long-term outcome. The differences are discussed in the app description</w:t>
      </w:r>
      <w:r w:rsidR="00E667C9">
        <w:t>,</w:t>
      </w:r>
      <w:r w:rsidR="00F306B1">
        <w:t xml:space="preserve"> later in this paper.</w:t>
      </w:r>
    </w:p>
    <w:p w14:paraId="06FF9518" w14:textId="77777777" w:rsidR="00F06D52" w:rsidRDefault="00000000">
      <w:pPr>
        <w:pStyle w:val="Heading2"/>
      </w:pPr>
      <w:r>
        <w:t>2.1 UIS mode: wage-gap stabilizer</w:t>
      </w:r>
    </w:p>
    <w:p w14:paraId="4A9F0D39" w14:textId="77777777" w:rsidR="00270C84" w:rsidRDefault="00270C84" w:rsidP="00270C84">
      <w:pPr>
        <w:rPr>
          <w:sz w:val="24"/>
        </w:rPr>
      </w:pPr>
      <w:r>
        <w:t>In UIS mode, the model sets a baseline real income target pool for households and compares that target each quarter with current wage income. When wages fall short, the system pays a per-household top-up to close the gap; when wages recover, the required top-up falls. UIS therefore behaves as an automatic stabilizer rather than as a fixed stipend. It expands when labor income weakens and contracts when labor income strengthens.</w:t>
      </w:r>
    </w:p>
    <w:p w14:paraId="353A113E" w14:textId="5FDEE2C6" w:rsidR="00F06D52" w:rsidRDefault="00000000">
      <w:pPr>
        <w:pStyle w:val="Heading2"/>
      </w:pPr>
      <w:r>
        <w:t>2.2 UBI mode: anchored and indexed transfer</w:t>
      </w:r>
    </w:p>
    <w:p w14:paraId="29314A18" w14:textId="77777777" w:rsidR="00270C84" w:rsidRDefault="00270C84" w:rsidP="00270C84">
      <w:pPr>
        <w:rPr>
          <w:sz w:val="24"/>
        </w:rPr>
      </w:pPr>
      <w:r>
        <w:t>In UBI mode, support is a fixed per-household transfer anchored at baseline and then indexed over time. The initial amount is set from a chosen percentile of household income, using either market income or wages-only income depending on settings, and after that it is updated by the selected price index on either a producer-price or consumer-price basis. This makes the transfer predictable and rule-based. An optional monotonic floor can prevent the nominal per-household payment from falling once it has risen.</w:t>
      </w:r>
    </w:p>
    <w:p w14:paraId="13771066" w14:textId="77777777" w:rsidR="00F06D52" w:rsidRDefault="00000000">
      <w:pPr>
        <w:pStyle w:val="Heading2"/>
      </w:pPr>
      <w:r>
        <w:t>2.3 Common funding rule and optional ratchet</w:t>
      </w:r>
    </w:p>
    <w:p w14:paraId="16FEFA15" w14:textId="776BCBBB" w:rsidR="001A671E" w:rsidRDefault="001A671E" w:rsidP="001A671E">
      <w:r>
        <w:t>Both modes use the same funding order. A configured issuance share is applied first, then available balances from the Social Wealth Trust, then government balances, with any remainder covered by additional issuance. This ordering lets the model distinguish between structural support funded from existing pools and residual support that must be monetarily created.</w:t>
      </w:r>
    </w:p>
    <w:p w14:paraId="3CA48A1D" w14:textId="2EA4E7E5" w:rsidR="00F306B1" w:rsidRDefault="001A671E" w:rsidP="001A671E">
      <w:r>
        <w:t xml:space="preserve">An optional monotonic floor can also be applied in either mode. In UIS mode it prevents support from falling quarter to quarter once it has risen. In UBI mode it prevents the nominal per-household transfer path from declining. The point is institutional credibility: once the system has acknowledged the need </w:t>
      </w:r>
      <w:r>
        <w:lastRenderedPageBreak/>
        <w:t>for a given support level, abrupt reversals become economically destabilizing and politically difficult to sustain.</w:t>
      </w:r>
    </w:p>
    <w:p w14:paraId="3E71C760" w14:textId="7F58D3A7" w:rsidR="00F06D52" w:rsidRDefault="00000000">
      <w:pPr>
        <w:pStyle w:val="Heading1"/>
      </w:pPr>
      <w:r>
        <w:t>3. Value Added Tax and Low</w:t>
      </w:r>
      <w:r w:rsidR="001A671E">
        <w:t>-</w:t>
      </w:r>
      <w:r>
        <w:t>Income Credit</w:t>
      </w:r>
    </w:p>
    <w:p w14:paraId="2DFA8817" w14:textId="530E6786" w:rsidR="00F06D52" w:rsidRDefault="00000000">
      <w:r>
        <w:t>The value</w:t>
      </w:r>
      <w:r w:rsidR="001A671E">
        <w:t>-</w:t>
      </w:r>
      <w:r>
        <w:t>added tax is the broad revenue instrument of the architecture. In an economy where labor compensation may no longer be the main source of taxable income, a tax linked to consumption becomes more important because it captures revenue from economic activity regardless of whether that activity is generated by human labor, capital</w:t>
      </w:r>
      <w:r w:rsidR="001A671E">
        <w:t>-</w:t>
      </w:r>
      <w:r>
        <w:t>intensive production, or highly automated firms.</w:t>
      </w:r>
    </w:p>
    <w:p w14:paraId="7F43A881" w14:textId="77777777" w:rsidR="00F06D52" w:rsidRDefault="00000000">
      <w:pPr>
        <w:pStyle w:val="Heading2"/>
      </w:pPr>
      <w:r>
        <w:t>3.1 Role of the tax</w:t>
      </w:r>
    </w:p>
    <w:p w14:paraId="61A44802" w14:textId="77777777" w:rsidR="00F06D52" w:rsidRDefault="00000000">
      <w:r>
        <w:t>The tax creates a wedge between producer prices and consumer prices. In practical terms, it allows the public sector to reclaim part of the surplus generated in the automated economy at the point of consumption. It therefore complements income and profit taxes rather than replacing them.</w:t>
      </w:r>
    </w:p>
    <w:p w14:paraId="766B6B2F" w14:textId="77777777" w:rsidR="00F06D52" w:rsidRDefault="00000000">
      <w:pPr>
        <w:pStyle w:val="Heading2"/>
      </w:pPr>
      <w:r>
        <w:t>3.2 Low income credit</w:t>
      </w:r>
    </w:p>
    <w:p w14:paraId="11FBF0F3" w14:textId="01D64FBB" w:rsidR="00F06D52" w:rsidRDefault="00000000">
      <w:r>
        <w:t xml:space="preserve">Because a broad consumption tax can be regressive if left on its own, the system pairs it with a targeted credit for lower income households. The credit is </w:t>
      </w:r>
      <w:r w:rsidR="001A671E">
        <w:t>intended</w:t>
      </w:r>
      <w:r>
        <w:t xml:space="preserve"> to offset the burden of the tax on essential consumption at the lower end of the income distribution. This preserves the revenue power of the tax while preventing it from pushing already vulnerable households deeper into distress.</w:t>
      </w:r>
    </w:p>
    <w:p w14:paraId="09574BF5" w14:textId="77777777" w:rsidR="00F06D52" w:rsidRDefault="00000000">
      <w:pPr>
        <w:pStyle w:val="Heading2"/>
      </w:pPr>
      <w:r>
        <w:t>3.3 Funding rule</w:t>
      </w:r>
    </w:p>
    <w:p w14:paraId="7509B9E3" w14:textId="0E8AE98A" w:rsidR="00F06D52" w:rsidRDefault="00000000">
      <w:r>
        <w:t>The low</w:t>
      </w:r>
      <w:r w:rsidR="001A671E">
        <w:t>-</w:t>
      </w:r>
      <w:r>
        <w:t>income credit is treated as guaranteed. When ordinary government balances are sufficient, they fund it directly. When they are not, the remaining amount can be completed through issuance. The point is that compensation for regressivity is not optional once the tax exists. It is part of the tax design itself.</w:t>
      </w:r>
    </w:p>
    <w:p w14:paraId="112D2909" w14:textId="77777777" w:rsidR="00F06D52" w:rsidRDefault="00000000">
      <w:pPr>
        <w:pStyle w:val="Heading1"/>
      </w:pPr>
      <w:r>
        <w:t>4. Income Tax Design</w:t>
      </w:r>
    </w:p>
    <w:p w14:paraId="42CF4F2B" w14:textId="49F93E12" w:rsidR="00F22B41" w:rsidRDefault="00F22B41" w:rsidP="00F22B41">
      <w:pPr>
        <w:rPr>
          <w:sz w:val="24"/>
        </w:rPr>
      </w:pPr>
      <w:r>
        <w:t>The income tax remains part of the architecture, but in simplified form. Its purpose is not to carry the entire fiscal burden of the transition, since the wage-linked tax base may weaken over time. Instead, it continues to perform familiar redistributive and revenue-raising roles while operating alongside broader consumption- and profit-based instruments.</w:t>
      </w:r>
    </w:p>
    <w:p w14:paraId="72721F47" w14:textId="77777777" w:rsidR="00F06D52" w:rsidRDefault="00000000">
      <w:pPr>
        <w:pStyle w:val="Heading2"/>
      </w:pPr>
      <w:r>
        <w:t>4.1 Tax base</w:t>
      </w:r>
    </w:p>
    <w:p w14:paraId="1F436672" w14:textId="77777777" w:rsidR="00F22B41" w:rsidRDefault="00F22B41" w:rsidP="00F22B41">
      <w:pPr>
        <w:rPr>
          <w:sz w:val="24"/>
        </w:rPr>
      </w:pPr>
      <w:r>
        <w:t>The tax applies to market income, such as wages and dividends, but not to household-support transfers under either UIS or UBI mode. The transfer is treated as a social floor rather than as taxable earned income. This prevents the system from clawing back the support mechanism through the ordinary income-tax base.</w:t>
      </w:r>
    </w:p>
    <w:p w14:paraId="2F25BCAA" w14:textId="7E01B229" w:rsidR="00F06D52" w:rsidRDefault="00000000">
      <w:pPr>
        <w:pStyle w:val="Heading2"/>
      </w:pPr>
      <w:r>
        <w:t xml:space="preserve">4.2 </w:t>
      </w:r>
      <w:r w:rsidR="0065191B">
        <w:t xml:space="preserve">Simplified </w:t>
      </w:r>
      <w:r>
        <w:t>Progressive structure</w:t>
      </w:r>
    </w:p>
    <w:p w14:paraId="5EF71ADE" w14:textId="24187EBB" w:rsidR="00F22B41" w:rsidRDefault="00F22B41" w:rsidP="00F22B41">
      <w:r>
        <w:lastRenderedPageBreak/>
        <w:t>The structure is deliberately simple. Income below a moving threshold is untaxed, while income above that threshold faces a flat marginal rate. Because the threshold is defined relative to the income distribution rather than as a fixed nominal figure, the progressivity of the system adjusts as the economy changes.</w:t>
      </w:r>
    </w:p>
    <w:p w14:paraId="0DCB287D" w14:textId="25FCBDD6" w:rsidR="00F22B41" w:rsidRPr="00F22B41" w:rsidRDefault="00F22B41" w:rsidP="00F22B41">
      <w:r>
        <w:t>This design is easy to understand and difficult to evade. It also reflects a minimal and transparent definition of fairness: everyone is treated the same under the rule, but the rule exempts a defined lower portion of the distribution.</w:t>
      </w:r>
    </w:p>
    <w:p w14:paraId="4C9DA474" w14:textId="77777777" w:rsidR="00F06D52" w:rsidRDefault="00000000" w:rsidP="001326E2">
      <w:pPr>
        <w:pStyle w:val="Heading1"/>
      </w:pPr>
      <w:r>
        <w:t xml:space="preserve">5. </w:t>
      </w:r>
      <w:r w:rsidRPr="001326E2">
        <w:t>Corporate</w:t>
      </w:r>
      <w:r>
        <w:t xml:space="preserve"> Income Tax</w:t>
      </w:r>
    </w:p>
    <w:p w14:paraId="56BAC8DC" w14:textId="36CB8EF5" w:rsidR="00F06D52" w:rsidRDefault="00000000">
      <w:r>
        <w:t xml:space="preserve">As automation shifts a larger share of </w:t>
      </w:r>
      <w:r w:rsidR="00F22B41">
        <w:t>revenue</w:t>
      </w:r>
      <w:r>
        <w:t xml:space="preserve"> toward </w:t>
      </w:r>
      <w:r w:rsidR="00F22B41">
        <w:t xml:space="preserve">capital reinvestment and </w:t>
      </w:r>
      <w:r>
        <w:t>profits, the corporate tax becomes a more important stabilizing instrument. It is one of the main channels through which the public sector participates in the surplus generated by highly productive firms.</w:t>
      </w:r>
    </w:p>
    <w:p w14:paraId="56B88E24" w14:textId="77777777" w:rsidR="00F06D52" w:rsidRDefault="00000000">
      <w:pPr>
        <w:pStyle w:val="Heading2"/>
      </w:pPr>
      <w:r>
        <w:t>5.1 Broad profit base</w:t>
      </w:r>
    </w:p>
    <w:p w14:paraId="62D6C05E" w14:textId="3CAE7854" w:rsidR="00EF5BF0" w:rsidRDefault="00EF5BF0" w:rsidP="00EF5BF0">
      <w:r>
        <w:t>Profits distributed to shareholders as dividends are not taxed at the corporate level. This encourages dividend payouts and makes taxation more transparent at the household level.</w:t>
      </w:r>
    </w:p>
    <w:p w14:paraId="639ED05B" w14:textId="77777777" w:rsidR="00EF5BF0" w:rsidRDefault="00EF5BF0" w:rsidP="00EF5BF0">
      <w:r>
        <w:t>Retained earnings are taxed before reinvestment. Capital investment remains deductible through depreciation, taken over a standard ten-year period. The goal is to tax the corporate surplus broadly while still recognizing long-lived investment through predictable depreciation.</w:t>
      </w:r>
    </w:p>
    <w:p w14:paraId="70DEA03D" w14:textId="77777777" w:rsidR="00F06D52" w:rsidRDefault="00000000">
      <w:pPr>
        <w:pStyle w:val="Heading2"/>
      </w:pPr>
      <w:r>
        <w:t>5.2 Automatic adjustment as labor income declines</w:t>
      </w:r>
    </w:p>
    <w:p w14:paraId="0516E5C5" w14:textId="1298F31D" w:rsidR="00EF5BF0" w:rsidRDefault="00EF5BF0" w:rsidP="00EF5BF0">
      <w:r>
        <w:t>The corporate tax rate can rise automatically as wage payments fall relative to a historical baseline. This makes the tax a structural stabilizer: as labor ceases to carry as much of the distributional burden, capital is asked to carry more of it.</w:t>
      </w:r>
    </w:p>
    <w:p w14:paraId="5A797069" w14:textId="40BE03D0" w:rsidR="00EF5BF0" w:rsidRPr="00EF5BF0" w:rsidRDefault="00EF5BF0" w:rsidP="00EF5BF0">
      <w:pPr>
        <w:rPr>
          <w:sz w:val="24"/>
        </w:rPr>
      </w:pPr>
      <w:r>
        <w:t>Boundaries on the adjustment range are important so that firms remain investable and the tax does not become politically or financially erratic. In practice, the corporate tax rate is indexed to the decline of total wages in the economy, but it is also clamped within explicit minimum and maximum rates. This indexing is not punitive. It is an automatic rebalancing as the labor-capital balance shifts, while the clamps help keep the corporate sector investable.</w:t>
      </w:r>
    </w:p>
    <w:p w14:paraId="12B20BCE" w14:textId="77777777" w:rsidR="00F06D52" w:rsidRDefault="00000000">
      <w:pPr>
        <w:pStyle w:val="Heading1"/>
      </w:pPr>
      <w:r>
        <w:t>6. Government Surplus Recycling</w:t>
      </w:r>
    </w:p>
    <w:p w14:paraId="537BA52B" w14:textId="77777777" w:rsidR="00F06D52" w:rsidRDefault="00000000">
      <w:r>
        <w:t>This mechanism prevents the public sector from becoming a passive sink for purchasing power. If the government ends a period with large residual balances after its obligations have been met, it may return part of that surplus to households.</w:t>
      </w:r>
    </w:p>
    <w:p w14:paraId="497C3976" w14:textId="77777777" w:rsidR="00F06D52" w:rsidRDefault="00000000">
      <w:pPr>
        <w:pStyle w:val="Heading2"/>
      </w:pPr>
      <w:r>
        <w:t>6.1 Rebate logic</w:t>
      </w:r>
    </w:p>
    <w:p w14:paraId="3DB551B6" w14:textId="28878BBA" w:rsidR="00F06D52" w:rsidRDefault="00000000">
      <w:r>
        <w:t xml:space="preserve">The rebate can be structured in different ways, but the underlying principle is simple: idle public balances should not accumulate mechanically </w:t>
      </w:r>
      <w:r w:rsidR="00364858">
        <w:t>once</w:t>
      </w:r>
      <w:r>
        <w:t xml:space="preserve"> they are no longer needed for stabilization. </w:t>
      </w:r>
      <w:r>
        <w:lastRenderedPageBreak/>
        <w:t xml:space="preserve">Returning part of that surplus helps sustain circulation and prevents the architecture from becoming contractionary </w:t>
      </w:r>
      <w:r w:rsidR="00364858">
        <w:t>for no designed reason</w:t>
      </w:r>
      <w:r>
        <w:t>.</w:t>
      </w:r>
    </w:p>
    <w:p w14:paraId="700C97E5" w14:textId="77777777" w:rsidR="00F06D52" w:rsidRDefault="00000000">
      <w:pPr>
        <w:pStyle w:val="Heading1"/>
      </w:pPr>
      <w:r>
        <w:t>7. Monetary and Credit Regime</w:t>
      </w:r>
    </w:p>
    <w:p w14:paraId="2E2C11CC" w14:textId="331A409A" w:rsidR="00F06D52" w:rsidRDefault="00000000">
      <w:r>
        <w:t>The architecture assumes a credit regime aimed at preventing temporary liquidity strain from turning into a cumulative collapse of demand. These rules are stylized, but they express an institutional principle: in a transition defined by structural redistribution problems, the system should not magnify ordinary cash</w:t>
      </w:r>
      <w:r w:rsidR="00364858">
        <w:t>-</w:t>
      </w:r>
      <w:r>
        <w:t>flow shortfalls into mass default cascades.</w:t>
      </w:r>
    </w:p>
    <w:p w14:paraId="6BB37E46" w14:textId="77777777" w:rsidR="00F06D52" w:rsidRDefault="00000000">
      <w:pPr>
        <w:pStyle w:val="Heading2"/>
      </w:pPr>
      <w:r>
        <w:t>7.1 Unified loan rate</w:t>
      </w:r>
    </w:p>
    <w:p w14:paraId="600021FD" w14:textId="77777777" w:rsidR="00F06D52" w:rsidRDefault="00000000">
      <w:r>
        <w:t>For simplicity, the model uses a common loan rate across the relevant forms of credit. This is not a literal institutional proposal. It is a simplifying assumption that lets the model focus on the larger transition dynamics rather than on the microstructure of differentiated lending markets.</w:t>
      </w:r>
    </w:p>
    <w:p w14:paraId="0024C998" w14:textId="77777777" w:rsidR="00F06D52" w:rsidRDefault="00000000">
      <w:pPr>
        <w:pStyle w:val="Heading2"/>
      </w:pPr>
      <w:r>
        <w:t>7.2 Household deleveraging order</w:t>
      </w:r>
    </w:p>
    <w:p w14:paraId="1E56882A" w14:textId="0C707323" w:rsidR="00F06D52" w:rsidRDefault="00000000">
      <w:r>
        <w:t>When households have enough cash flow to reduce debt, they do so in a fixed order. Short</w:t>
      </w:r>
      <w:r w:rsidR="00364858">
        <w:t>-</w:t>
      </w:r>
      <w:r>
        <w:t>term revolving debt is paid down before mortgage debt. This reflects the practical reality that high cost short term liabilities usually create the most immediate pressure on household stability.</w:t>
      </w:r>
    </w:p>
    <w:p w14:paraId="78B272B8" w14:textId="77777777" w:rsidR="00F06D52" w:rsidRDefault="00000000">
      <w:pPr>
        <w:pStyle w:val="Heading2"/>
      </w:pPr>
      <w:r>
        <w:t>7.3 No hard default through overdraft conversion</w:t>
      </w:r>
    </w:p>
    <w:p w14:paraId="70E805A9" w14:textId="19923C3F" w:rsidR="00F06D52" w:rsidRDefault="00000000">
      <w:r>
        <w:t>If a household would otherwise fall below zero in deposits, the shortfall is converted into revolving debt rather than triggering immediate default. In other words, temporary cash flow failure is treated first as a credit event rather than as a terminal balance sheet event. This prevents localized liquidity stress from producing a chain reaction of collapsing consumption, forced asset sales, and bank losses.</w:t>
      </w:r>
      <w:r w:rsidR="00364858">
        <w:t xml:space="preserve"> It is, however, a modeling device rather than a literal institutional proposal.</w:t>
      </w:r>
    </w:p>
    <w:p w14:paraId="102E1829" w14:textId="77777777" w:rsidR="00F06D52" w:rsidRDefault="00000000">
      <w:pPr>
        <w:pStyle w:val="Heading2"/>
      </w:pPr>
      <w:r>
        <w:t>7.4 Mortgage indexation as deflation stabilization</w:t>
      </w:r>
    </w:p>
    <w:p w14:paraId="5361A8CC" w14:textId="486FD703" w:rsidR="00F06D52" w:rsidRDefault="00000000">
      <w:r>
        <w:t xml:space="preserve">A highly automated economy is likely to produce structural deflation. For current consumption this can look benign or even welcome, because many goods become cheaper. For long term nominal debt, however, deflation is dangerous. Fixed nominal mortgage payments grow heavier in real terms as prices and wages fall. Households then cut consumption in order to service debts whose burden has effectively risen, and the economy can slide into a classic </w:t>
      </w:r>
      <w:r w:rsidR="00364858">
        <w:t xml:space="preserve">Fisher </w:t>
      </w:r>
      <w:r>
        <w:t>debt</w:t>
      </w:r>
      <w:r w:rsidR="005C622E">
        <w:t>-</w:t>
      </w:r>
      <w:r>
        <w:t>deflation spiral.</w:t>
      </w:r>
    </w:p>
    <w:p w14:paraId="64957405" w14:textId="77777777" w:rsidR="00F06D52" w:rsidRDefault="00000000">
      <w:r>
        <w:t>A second danger is lock in. If home prices fall while mortgage balances remain fixed in nominal terms, households can become trapped underwater. They cannot sell, move, refinance, or adapt to changing labor markets without realizing losses they cannot absorb. That makes the housing system rigid at precisely the moment when flexibility is most needed.</w:t>
      </w:r>
    </w:p>
    <w:p w14:paraId="5490E2D2" w14:textId="77777777" w:rsidR="00F06D52" w:rsidRDefault="00000000">
      <w:pPr>
        <w:pStyle w:val="Heading3"/>
      </w:pPr>
      <w:r>
        <w:t>7.4.1 Hybrid index and lender neutralization</w:t>
      </w:r>
    </w:p>
    <w:p w14:paraId="26463DCC" w14:textId="524E7242" w:rsidR="005C622E" w:rsidRDefault="005C622E" w:rsidP="005C622E">
      <w:r>
        <w:lastRenderedPageBreak/>
        <w:t>The proposed response adjusts required mortgage payments downward in line with a blended index of prices and household income. The index is hybrid because debt distress depends on both the general price level and the actual income flow available to households. Tying payments to this blended index strips out the deflationary penalty that would otherwise be embedded in legacy nominal contracts.</w:t>
      </w:r>
    </w:p>
    <w:p w14:paraId="6FBD7DCB" w14:textId="77777777" w:rsidR="005C622E" w:rsidRDefault="005C622E" w:rsidP="005C622E">
      <w:r>
        <w:t>At the same time, the model does not simply force lenders to absorb the full gap between the original contractual payment and the indexed payment. That gap is treated as a macroeconomic stabilization cost. The public sector covers it directly, using monetary issuance if necessary. This neutralization step allows the household side of the contract to be eased without damaging bank balance sheets or the fixed-income asset base on which much of the financial system rests.</w:t>
      </w:r>
    </w:p>
    <w:p w14:paraId="267F9475" w14:textId="77777777" w:rsidR="00F06D52" w:rsidRDefault="00000000">
      <w:pPr>
        <w:pStyle w:val="Heading3"/>
      </w:pPr>
      <w:r>
        <w:t>7.4.2 Why this mechanism matters</w:t>
      </w:r>
    </w:p>
    <w:p w14:paraId="713FAD74" w14:textId="08BFB191" w:rsidR="005C622E" w:rsidRDefault="005C622E" w:rsidP="005C622E">
      <w:r>
        <w:t>In ordinary political language, support for lenders is often framed as a bailout of capital at the expense of labor. Here the logic is different. In a successful automation transition, preserving the financial system is part of preserving the productive and credit infrastructure through which the new economy must still operate. If households are crushed by legacy debt, demand collapses. If banks are crushed by forced write-downs, credit collapses.</w:t>
      </w:r>
    </w:p>
    <w:p w14:paraId="310B0A56" w14:textId="3D0BC56B" w:rsidR="005C622E" w:rsidRDefault="005C622E" w:rsidP="005C622E">
      <w:r>
        <w:t>Mortgage indexation with lender neutralization is designed to prevent both failures at once while remaining politically and economically fair to both sides of the lending contract. The public sector stabilizes the system; it does not “bail out” banks or households.</w:t>
      </w:r>
    </w:p>
    <w:p w14:paraId="48F48B21" w14:textId="77777777" w:rsidR="00F06D52" w:rsidRDefault="00000000">
      <w:pPr>
        <w:pStyle w:val="Heading3"/>
      </w:pPr>
      <w:r>
        <w:t>7.4.3 Construction of the index</w:t>
      </w:r>
    </w:p>
    <w:p w14:paraId="167C0A1C" w14:textId="57A63ACE" w:rsidR="00C073AC" w:rsidRDefault="00C073AC" w:rsidP="00C073AC">
      <w:r>
        <w:t>The index is updated regularly as a geometric blend of two movements: the change in the price level and the change in nominal household income. The relative weight placed on each component determines whether the system emphasizes macroeconomic prices, household cash flow, or a compromise between the two.</w:t>
      </w:r>
    </w:p>
    <w:p w14:paraId="2F9C8600" w14:textId="6BE0259B" w:rsidR="00C073AC" w:rsidRDefault="00C073AC" w:rsidP="00C073AC">
      <w:r>
        <w:t>A pure price index would not fully capture distributional change. A pure income index could become too contingent on short-run labor-market noise. The blended approach is more robust across both dimensions.</w:t>
      </w:r>
    </w:p>
    <w:p w14:paraId="1EB59E0C" w14:textId="77777777" w:rsidR="00F06D52" w:rsidRDefault="00000000">
      <w:pPr>
        <w:pStyle w:val="Heading3"/>
      </w:pPr>
      <w:r>
        <w:t>7.4.4 Payment rule</w:t>
      </w:r>
    </w:p>
    <w:p w14:paraId="223A58BB" w14:textId="3F5BE4E7" w:rsidR="00AF7674" w:rsidRPr="00AF7674" w:rsidRDefault="00AF7674" w:rsidP="00AF7674">
      <w:r>
        <w:t>When the policy is active, required mortgage payments move with the index. The economically sensible implementation is to apply the index to the current contractual payment path rather than to rewrite the entire stock of mortgage principal in a single step. That preserves contractual continuity while still removing the destabilizing effect of deflation on the household cash-flow burden.</w:t>
      </w:r>
    </w:p>
    <w:p w14:paraId="2F7ADB83" w14:textId="77777777" w:rsidR="00F06D52" w:rsidRDefault="00000000">
      <w:pPr>
        <w:pStyle w:val="Heading3"/>
      </w:pPr>
      <w:r>
        <w:t>7.4.5 Neutralization funding</w:t>
      </w:r>
    </w:p>
    <w:p w14:paraId="676A9603" w14:textId="77777777" w:rsidR="00C06B81" w:rsidRDefault="00C06B81" w:rsidP="00C06B81">
      <w:pPr>
        <w:rPr>
          <w:sz w:val="24"/>
        </w:rPr>
      </w:pPr>
      <w:r>
        <w:lastRenderedPageBreak/>
        <w:t>Whenever indexed payments fall below original contractual payments, the difference is recognized as a stabilization gap. That gap is covered from government resources, including money issuance as a last resort. This preserves the solvency of the credit system while the New Loop is being established.</w:t>
      </w:r>
    </w:p>
    <w:p w14:paraId="26B8C200" w14:textId="77777777" w:rsidR="00F06D52" w:rsidRDefault="00000000">
      <w:pPr>
        <w:pStyle w:val="Heading3"/>
      </w:pPr>
      <w:r>
        <w:t>7.4.6 Accounting treatment</w:t>
      </w:r>
    </w:p>
    <w:p w14:paraId="18F736C5" w14:textId="68C0542C" w:rsidR="00F06D52" w:rsidRDefault="00000000">
      <w:r>
        <w:t xml:space="preserve">Households continue to make required mortgage payments together with any interest due on revolving balances. Mortgage payments still flow first to interest and then to principal. Lenders receive the indexed household payment plus any neutralization transfer. </w:t>
      </w:r>
      <w:r w:rsidR="00C06B81">
        <w:t>The model records government “make-whole”</w:t>
      </w:r>
      <w:r>
        <w:t xml:space="preserve"> support transparently as a stabilization outlay.</w:t>
      </w:r>
    </w:p>
    <w:p w14:paraId="5EFCE2F4" w14:textId="77777777" w:rsidR="00F06D52" w:rsidRDefault="00000000">
      <w:pPr>
        <w:pStyle w:val="Heading1"/>
      </w:pPr>
      <w:r>
        <w:t>8. Wage Structure Under Automation</w:t>
      </w:r>
    </w:p>
    <w:p w14:paraId="269B9E1B" w14:textId="65B531FC" w:rsidR="00F06D52" w:rsidRDefault="00000000">
      <w:r>
        <w:t>The model treats wages as a share of sectoral revenue that falls as automation becomes more effective. This is not a policy in the ordinary sense</w:t>
      </w:r>
      <w:r w:rsidR="00C06B81">
        <w:t>. I</w:t>
      </w:r>
      <w:r>
        <w:t>t is the structural fact that makes the rest of the architecture necessary. Without a weakening wage channel, many of the stabilizers above would be far less urgent.</w:t>
      </w:r>
    </w:p>
    <w:p w14:paraId="3B0D4820" w14:textId="77777777" w:rsidR="00F06D52" w:rsidRDefault="00000000">
      <w:pPr>
        <w:pStyle w:val="Heading1"/>
      </w:pPr>
      <w:r>
        <w:t>9. Price Formation Under Automation</w:t>
      </w:r>
    </w:p>
    <w:p w14:paraId="1D4D6D85" w14:textId="77777777" w:rsidR="00C06B81" w:rsidRDefault="00C06B81" w:rsidP="00C06B81">
      <w:pPr>
        <w:rPr>
          <w:sz w:val="24"/>
        </w:rPr>
      </w:pPr>
      <w:r>
        <w:t>Prices are shaped by two opposing forces. Productivity improvements push prices downward by lowering the real cost of production, while increased market power or markup capture can push them upward. The model therefore allows automation to generate either stronger disinflation or stronger profit capture, depending on institutional conditions. That matters because the required scale of stabilization depends not only on how much labor is displaced and how much capital is reinvested, but also on how much of the productivity gain is passed through to society in lower prices.</w:t>
      </w:r>
    </w:p>
    <w:p w14:paraId="740B0F59" w14:textId="77777777" w:rsidR="00F06D52" w:rsidRDefault="00000000">
      <w:pPr>
        <w:pStyle w:val="Heading1"/>
      </w:pPr>
      <w:r>
        <w:t>Closing Perspective</w:t>
      </w:r>
    </w:p>
    <w:p w14:paraId="3E7E7296" w14:textId="5443CB63" w:rsidR="00E7277E" w:rsidRDefault="00E7277E" w:rsidP="00E7277E">
      <w:r>
        <w:t>Taken together, these policies form an integrated transition architecture rather than a menu of unrelated programs. The Social Wealth Trust broadens ownership. Household income support, whether implemented as UIS or UBI, maintains a floor under mass purchasing power. The value-added tax and indexed corporate tax reclaim part of the surplus generated in the automated economy. The low-income credit prevents the consumption tax from becoming regressive. Surplus recycling keeps public balances from becoming inert. The credit regime prevents temporary cash-flow failures from cascading into systemic collapse. Mortgage indexation prevents legacy nominal debt from turning structural deflation into social and financial breakdown.</w:t>
      </w:r>
    </w:p>
    <w:p w14:paraId="2E9C3745" w14:textId="1CA07F63" w:rsidR="00E7277E" w:rsidRDefault="00E7277E" w:rsidP="00E7277E">
      <w:r>
        <w:t>It is also important to note that this architecture is strongly pro-investment and pro-capital. Corporations remain able, and are positively encouraged, to grow through rising productivity, while demand can grow alongside them. Society becomes wealthier under such a system, and the Social Wealth Trust grows with it.</w:t>
      </w:r>
    </w:p>
    <w:p w14:paraId="3A010EE9" w14:textId="77777777" w:rsidR="00E7277E" w:rsidRDefault="00E7277E" w:rsidP="00E7277E">
      <w:r>
        <w:t xml:space="preserve">The larger purpose is neither to replace capitalism with command allocation nor to preserve the existing wage-centered order unchanged. It is to keep a market economy investable, solvent, and politically legitimate under conditions in which the old distribution loop no longer performs enough of </w:t>
      </w:r>
      <w:r>
        <w:lastRenderedPageBreak/>
        <w:t>that work on its own. In that sense, the architecture is best understood as a set of institutional bridges from one form of capitalism to another.</w:t>
      </w:r>
    </w:p>
    <w:p w14:paraId="4FD750F4" w14:textId="15C9DFB9" w:rsidR="0095212B" w:rsidRDefault="0095212B">
      <w:r>
        <w:br w:type="page"/>
      </w:r>
    </w:p>
    <w:p w14:paraId="42507835" w14:textId="40593170" w:rsidR="0095212B" w:rsidRDefault="0095212B" w:rsidP="0095212B">
      <w:pPr>
        <w:pStyle w:val="Title"/>
        <w:jc w:val="center"/>
      </w:pPr>
      <w:r>
        <w:lastRenderedPageBreak/>
        <w:t>New Loop Simulator and Outputs</w:t>
      </w:r>
    </w:p>
    <w:p w14:paraId="733D9D24" w14:textId="674B72A2" w:rsidR="00C144CC" w:rsidRDefault="00C144CC" w:rsidP="0095212B">
      <w:r>
        <w:t xml:space="preserve">A public version of the New Loop computational model is available here:  </w:t>
      </w:r>
      <w:r>
        <w:br/>
      </w:r>
      <w:hyperlink r:id="rId8" w:history="1">
        <w:r w:rsidRPr="0029541B">
          <w:rPr>
            <w:rStyle w:val="Hyperlink"/>
          </w:rPr>
          <w:t>https://newloop.streamlit.app</w:t>
        </w:r>
      </w:hyperlink>
    </w:p>
    <w:p w14:paraId="2420650B" w14:textId="31030DDE" w:rsidR="0095212B" w:rsidRDefault="0095212B" w:rsidP="0095212B">
      <w:r>
        <w:rPr>
          <w:noProof/>
        </w:rPr>
        <w:t>New Loop is written in Python, and is therefore reasonably easy to inspect. It is complex though, consisting of more than 6,300 lines of code, with many parameters that can be changed to observe their consequences. The purpose here is to illustrate what can be learned by running the model, and to emphasize that the code implements the same mechanisms described in the policy discussion above, including the option to run household support as either UIS or UBI.</w:t>
      </w:r>
    </w:p>
    <w:p w14:paraId="09D11E08" w14:textId="4371AB8D" w:rsidR="0095212B" w:rsidRDefault="0095212B" w:rsidP="0095212B">
      <w:r>
        <w:t>The partial screen capture at right illustrates that the app offers drop-down lists in a sidebar so users can change the default parameter values for a simulated run. The parameters are categorized into policy groups, including Trust, Taxes, household income support, Automation, Price &amp; Capital, and Population. In the Trust parameters, for instance, it might be interesting to change the size of the Launch Loan, or eliminate it altogether. In addition to many data plots, the entire quarterly stream of data generated by a simulation run is captured for inspection in a scrollable table.</w:t>
      </w:r>
    </w:p>
    <w:p w14:paraId="3679D3E0" w14:textId="77777777" w:rsidR="0095212B" w:rsidRDefault="0095212B" w:rsidP="0095212B">
      <w:r>
        <w:t>New Loop is a stock-flow-consistent model. “Stocks” in this context are reservoirs of money or value connected by cash flows. Money flowing out of one reservoir must flow into another, with corresponding debits and credits, and reservoirs can become temporarily negative, representing debt or deficits.</w:t>
      </w:r>
    </w:p>
    <w:p w14:paraId="3E282A02" w14:textId="1AB0450C" w:rsidR="00752A7D" w:rsidRDefault="0095212B" w:rsidP="0095212B">
      <w:r>
        <w:t>Because the story told here is about the production-wages-consumption</w:t>
      </w:r>
      <w:r w:rsidR="00752A7D">
        <w:t>-reinvestment</w:t>
      </w:r>
      <w:r>
        <w:t xml:space="preserve"> loop, it is essential that all cash flows into and out of the model’s nodes add up. For readers with an engineering background, this is directly analogous to Kirchhoff’s law governing electrical current flows. New Loop does not have any hidden or gratuitous cash flows to bias the results. The code is instrumented to verify that these flows remain fully consistent.</w:t>
      </w:r>
    </w:p>
    <w:p w14:paraId="01F9BCE4" w14:textId="77777777" w:rsidR="0095212B" w:rsidRDefault="0095212B" w:rsidP="0095212B">
      <w:r>
        <w:t>New Loop creates an initial population of 20,000 households whose incomes, invested wealth, revolving debts, and mortgages roughly parallel the proportions of those in the current United States population. Lower-income households, for example, carry more revolving debt relative to net worth. A marginal-propensity-to-consume structure is discretized over five quintiles of the population. Households are generated from a statistical distribution rather than imported from raw microdata, though that part of the code could readily be replaced with a module that reads actual household data.</w:t>
      </w:r>
    </w:p>
    <w:p w14:paraId="64D01DDD" w14:textId="77777777" w:rsidR="0095212B" w:rsidRDefault="0095212B" w:rsidP="0095212B">
      <w:r>
        <w:t xml:space="preserve">Mortgages and revolving debt are the only debt instruments modeled in New Loop. Bonds are not included. That is a limitation, but probably a less serious one than it might first appear. In a real economy, bonds and equity are both reservoirs of value, though with different characteristic behaviors, and investors shift capital between them as the risk environment changes. Real estate, for example, is largely representable as either mortgage debt in the household sector or bond-financed structures in the commercial sector. Apart from the special effect of deflation on debt contracts, bonds are probably not central to the present model; and the treatment of mortgage debt demonstrates the relevant policy logic. In a persistently deflationary environment, it is likely that much commercial debt </w:t>
      </w:r>
      <w:r>
        <w:lastRenderedPageBreak/>
        <w:t>would be renegotiated rather than simply defaulted. Gold is also a surprisingly large store of value, but it is unproductive and therefore not important for the purposes of this model.</w:t>
      </w:r>
    </w:p>
    <w:p w14:paraId="1F16997B" w14:textId="77777777" w:rsidR="0095212B" w:rsidRDefault="0095212B" w:rsidP="0095212B">
      <w:r>
        <w:t>The model contains a single Bank. Corporations are represented by an Information-sector company, which adopts automation earlier, faster, and more completely, and a Physical-sector company, which adopts more slowly and ultimately less completely. These adoption paths are represented by longitudinal S-curves spanning the full eighty quarters of simulated time. Government receives taxes and issues money only as the model requires.</w:t>
      </w:r>
    </w:p>
    <w:p w14:paraId="410AC745" w14:textId="77777777" w:rsidR="0095212B" w:rsidRDefault="0095212B" w:rsidP="0095212B">
      <w:r>
        <w:t>The model aims to be realistic where realism matters most. As automation rises, corporate productivity increases and costs decline. New Loop’s parameters govern how much of that gain is captured and reinvested or distributed to shareholders, and how much is passed through into lower prices under competitive pressure.</w:t>
      </w:r>
    </w:p>
    <w:p w14:paraId="558B75C3" w14:textId="77777777" w:rsidR="0095212B" w:rsidRDefault="0095212B" w:rsidP="0095212B">
      <w:r>
        <w:t>Mortgage payments are indexed exactly as described in the policy discussion above. The Bank receives the indexed payments, and the Government makes make-whole payments according to the terms of each household’s mortgage.</w:t>
      </w:r>
    </w:p>
    <w:p w14:paraId="62318F8E" w14:textId="77777777" w:rsidR="0095212B" w:rsidRPr="00C1608D" w:rsidRDefault="0095212B" w:rsidP="0095212B">
      <w:r>
        <w:t>New Loop is easy to explore through the Streamlit version, which presents the model’s outputs in a web browser. A user can vary parameters and immediately see a collection of graphs showing the economic trajectory of many variables over eighty consecutive quarters. The graphs below illustrate the outputs displayed for a baseline set of parameters.</w:t>
      </w:r>
    </w:p>
    <w:p w14:paraId="225D32FF" w14:textId="77777777" w:rsidR="0095212B" w:rsidRDefault="0095212B" w:rsidP="0095212B">
      <w:pPr>
        <w:pStyle w:val="Heading2"/>
      </w:pPr>
      <w:bookmarkStart w:id="0" w:name="header"/>
      <w:bookmarkEnd w:id="0"/>
      <w:r>
        <w:t>Automation curves</w:t>
      </w:r>
    </w:p>
    <w:p w14:paraId="6C7A3681" w14:textId="77777777" w:rsidR="0095212B" w:rsidRDefault="0095212B" w:rsidP="0095212B">
      <w:r>
        <w:rPr>
          <w:noProof/>
        </w:rPr>
        <w:drawing>
          <wp:anchor distT="0" distB="0" distL="114300" distR="114300" simplePos="0" relativeHeight="251659264" behindDoc="0" locked="0" layoutInCell="1" allowOverlap="1" wp14:anchorId="3AA08D2D" wp14:editId="3C54C08E">
            <wp:simplePos x="0" y="0"/>
            <wp:positionH relativeFrom="column">
              <wp:posOffset>2684780</wp:posOffset>
            </wp:positionH>
            <wp:positionV relativeFrom="paragraph">
              <wp:posOffset>245956</wp:posOffset>
            </wp:positionV>
            <wp:extent cx="3030220" cy="1794510"/>
            <wp:effectExtent l="0" t="0" r="5080" b="0"/>
            <wp:wrapSquare wrapText="bothSides"/>
            <wp:docPr id="156759792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97920" name="Picture 1" descr="A graph of different colored lines&#10;&#10;AI-generated content may be incorrect."/>
                    <pic:cNvPicPr/>
                  </pic:nvPicPr>
                  <pic:blipFill>
                    <a:blip r:embed="rId9"/>
                    <a:stretch>
                      <a:fillRect/>
                    </a:stretch>
                  </pic:blipFill>
                  <pic:spPr>
                    <a:xfrm>
                      <a:off x="0" y="0"/>
                      <a:ext cx="3030220" cy="1794510"/>
                    </a:xfrm>
                    <a:prstGeom prst="rect">
                      <a:avLst/>
                    </a:prstGeom>
                  </pic:spPr>
                </pic:pic>
              </a:graphicData>
            </a:graphic>
            <wp14:sizeRelH relativeFrom="page">
              <wp14:pctWidth>0</wp14:pctWidth>
            </wp14:sizeRelH>
            <wp14:sizeRelV relativeFrom="page">
              <wp14:pctHeight>0</wp14:pctHeight>
            </wp14:sizeRelV>
          </wp:anchor>
        </w:drawing>
      </w:r>
      <w:r>
        <w:t xml:space="preserve">These curves depict intelligent automation adoption in the Information and Physical sectors of the economy over 80 quarters of time. The solid lines show total penetration of labor replacement. Information automation is faster and more complete, stabilizing at about 75% after ten years. Physical sector automation is slower, because it requires developing machinery, training intelligent robots, and so on. It also stabilizes below 60% total penetration after 20 years. </w:t>
      </w:r>
    </w:p>
    <w:p w14:paraId="2789D2D9" w14:textId="64E1FDBE" w:rsidR="0095212B" w:rsidRDefault="0095212B" w:rsidP="0095212B">
      <w:r>
        <w:t>The dotted lines show the derivatives of the automation curves, illustrat</w:t>
      </w:r>
      <w:r w:rsidR="00925996">
        <w:t>ing</w:t>
      </w:r>
      <w:r>
        <w:t xml:space="preserve"> the different rates of change in these two sectors.</w:t>
      </w:r>
    </w:p>
    <w:p w14:paraId="687098BC" w14:textId="50652420" w:rsidR="00612BBF" w:rsidRDefault="00612BBF" w:rsidP="00612BBF">
      <w:pPr>
        <w:pStyle w:val="Heading2"/>
      </w:pPr>
      <w:r>
        <w:t>UIS or UBI income support with Cumulative cost over time</w:t>
      </w:r>
    </w:p>
    <w:p w14:paraId="42A0464E" w14:textId="77777777" w:rsidR="00612BBF" w:rsidRDefault="00612BBF" w:rsidP="00612BBF">
      <w:r>
        <w:t xml:space="preserve">The funding mix for household support ought to show substantial contributions from tax take, trust fund distributions, and government issuance, and it does. In UIS mode the transfer path responds directly to quarter-by-quarter wage shortfalls rather than following a fixed indexed payment path. The </w:t>
      </w:r>
      <w:r>
        <w:lastRenderedPageBreak/>
        <w:t>two most important characteristics of UIS mode are that income support kicks in slowly and gradually, and the total cost over time is much lower than UBI mode.</w:t>
      </w:r>
    </w:p>
    <w:p w14:paraId="19B5E84B" w14:textId="77777777" w:rsidR="00612BBF" w:rsidRPr="00665140" w:rsidRDefault="00612BBF" w:rsidP="00612BBF">
      <w:r>
        <w:t xml:space="preserve">The left-hand UIS plot shows issued support as a small but slowly growing amount of real dollars. This reflects two intentional policy choices in the model. First, the support commitment can be backstopped by issuance if other funding sources are insufficient. Second, when the optional monotonic floor is enabled, support is not allowed to decline once it has risen. Trust-fund support grows until Q50, when the equity cap is reached. </w:t>
      </w:r>
    </w:p>
    <w:p w14:paraId="729D436F" w14:textId="77777777" w:rsidR="00612BBF" w:rsidRDefault="00612BBF" w:rsidP="00612BBF">
      <w:pPr>
        <w:jc w:val="center"/>
      </w:pPr>
      <w:r>
        <w:rPr>
          <w:noProof/>
        </w:rPr>
        <w:drawing>
          <wp:inline distT="0" distB="0" distL="0" distR="0" wp14:anchorId="6240C463" wp14:editId="69BB0419">
            <wp:extent cx="6126480" cy="1899920"/>
            <wp:effectExtent l="0" t="0" r="0" b="5080"/>
            <wp:docPr id="151250622" name="Picture 2"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0622" name="Picture 2" descr="A close-up of a graph&#10;&#10;AI-generated content may be incorrect."/>
                    <pic:cNvPicPr/>
                  </pic:nvPicPr>
                  <pic:blipFill>
                    <a:blip r:embed="rId10"/>
                    <a:stretch>
                      <a:fillRect/>
                    </a:stretch>
                  </pic:blipFill>
                  <pic:spPr>
                    <a:xfrm>
                      <a:off x="0" y="0"/>
                      <a:ext cx="6126480" cy="1899920"/>
                    </a:xfrm>
                    <a:prstGeom prst="rect">
                      <a:avLst/>
                    </a:prstGeom>
                  </pic:spPr>
                </pic:pic>
              </a:graphicData>
            </a:graphic>
          </wp:inline>
        </w:drawing>
      </w:r>
    </w:p>
    <w:p w14:paraId="1630F063" w14:textId="77777777" w:rsidR="00612BBF" w:rsidRDefault="00612BBF" w:rsidP="00612BBF">
      <w:r>
        <w:t>The left-hand plot also shows monetary issuance support as a small but slowly growing amount of real dollars. This reflects two intentional policy choices in the model. First, the support commitment can be backstopped by issuance if other funding sources are insufficient. Second, when the optional monotonic floor is enabled, support is not allowed to decline once it has risen. A small amount of issuance is inflation-safe and lubricates the system because the economy is in a persistent deflationary state.</w:t>
      </w:r>
    </w:p>
    <w:p w14:paraId="6E82D191" w14:textId="77777777" w:rsidR="00612BBF" w:rsidRDefault="00612BBF" w:rsidP="00612BBF">
      <w:r>
        <w:t>In UBI mode, next charts below, the left-hand plot per-household UBI distributions immediately start high and are flat for about 20 quarters. Then they climb more slowly than the UIS curves. Tax contribution is fairly stable, and there is about twice as much money issuance in UBI support.</w:t>
      </w:r>
    </w:p>
    <w:p w14:paraId="2BAE8C15" w14:textId="77777777" w:rsidR="00612BBF" w:rsidRDefault="00612BBF" w:rsidP="00612BBF">
      <w:pPr>
        <w:jc w:val="center"/>
      </w:pPr>
      <w:r>
        <w:rPr>
          <w:noProof/>
        </w:rPr>
        <w:drawing>
          <wp:inline distT="0" distB="0" distL="0" distR="0" wp14:anchorId="46990FC5" wp14:editId="78FEC67D">
            <wp:extent cx="6126480" cy="1907540"/>
            <wp:effectExtent l="0" t="0" r="0" b="0"/>
            <wp:docPr id="1894386152" name="Picture 3"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86152" name="Picture 3" descr="A comparison of a graph&#10;&#10;AI-generated content may be incorrect."/>
                    <pic:cNvPicPr/>
                  </pic:nvPicPr>
                  <pic:blipFill>
                    <a:blip r:embed="rId11"/>
                    <a:stretch>
                      <a:fillRect/>
                    </a:stretch>
                  </pic:blipFill>
                  <pic:spPr>
                    <a:xfrm>
                      <a:off x="0" y="0"/>
                      <a:ext cx="6126480" cy="1907540"/>
                    </a:xfrm>
                    <a:prstGeom prst="rect">
                      <a:avLst/>
                    </a:prstGeom>
                  </pic:spPr>
                </pic:pic>
              </a:graphicData>
            </a:graphic>
          </wp:inline>
        </w:drawing>
      </w:r>
    </w:p>
    <w:p w14:paraId="36B7F3C1" w14:textId="1594530C" w:rsidR="00612BBF" w:rsidRDefault="00612BBF" w:rsidP="00612BBF">
      <w:pPr>
        <w:pStyle w:val="Heading2"/>
        <w:keepNext/>
      </w:pPr>
      <w:r>
        <w:lastRenderedPageBreak/>
        <w:t>Real Household outcomes Under UIS or UBI</w:t>
      </w:r>
    </w:p>
    <w:p w14:paraId="1ACD4565" w14:textId="1089067C" w:rsidR="00412C25" w:rsidRDefault="001E549C" w:rsidP="00612BBF">
      <w:r>
        <w:t xml:space="preserve">As you might expect, household consumption and average income </w:t>
      </w:r>
      <w:r w:rsidR="00412C25">
        <w:t xml:space="preserve">differ considerably between UIS and UBI policies. In both cases consumption falls for quite a while, 15 quarters under UIS and 20 quarters under UBI. However, UBI kicks in </w:t>
      </w:r>
      <w:proofErr w:type="gramStart"/>
      <w:r w:rsidR="00412C25">
        <w:t>full-power</w:t>
      </w:r>
      <w:proofErr w:type="gramEnd"/>
      <w:r w:rsidR="00412C25">
        <w:t xml:space="preserve"> when instituted, whereas UIS builds slowly. This shows as a higher initial level of consumption under UBI, and the lower limit of consumption is higher with UBI than UIS. </w:t>
      </w:r>
    </w:p>
    <w:p w14:paraId="5D8C351B" w14:textId="1BBE99CE" w:rsidR="001E549C" w:rsidRDefault="001E549C" w:rsidP="00612BBF">
      <w:r>
        <w:rPr>
          <w:noProof/>
        </w:rPr>
        <w:drawing>
          <wp:inline distT="0" distB="0" distL="0" distR="0" wp14:anchorId="7A1F401C" wp14:editId="74F6EC60">
            <wp:extent cx="6126480" cy="2141855"/>
            <wp:effectExtent l="0" t="0" r="0" b="4445"/>
            <wp:docPr id="443436418" name="Picture 5"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36418" name="Picture 5" descr="A comparison of a graph&#10;&#10;AI-generated content may be incorrect."/>
                    <pic:cNvPicPr/>
                  </pic:nvPicPr>
                  <pic:blipFill>
                    <a:blip r:embed="rId12"/>
                    <a:stretch>
                      <a:fillRect/>
                    </a:stretch>
                  </pic:blipFill>
                  <pic:spPr>
                    <a:xfrm>
                      <a:off x="0" y="0"/>
                      <a:ext cx="6126480" cy="2141855"/>
                    </a:xfrm>
                    <a:prstGeom prst="rect">
                      <a:avLst/>
                    </a:prstGeom>
                  </pic:spPr>
                </pic:pic>
              </a:graphicData>
            </a:graphic>
          </wp:inline>
        </w:drawing>
      </w:r>
    </w:p>
    <w:p w14:paraId="37943942" w14:textId="37715887" w:rsidR="001E549C" w:rsidRDefault="00412C25" w:rsidP="00612BBF">
      <w:r>
        <w:t>You can also see that UIS maintains a flat level of consumption until quarter 50, then climbs to about the same level as UBI. This shows that you get what you pay for. The higher total spending under UBI definitely pays off, but it’s expensive. Cumulative issuance and cumulative total tax take are much larger under UBI.</w:t>
      </w:r>
    </w:p>
    <w:p w14:paraId="13760B29" w14:textId="2DCB8102" w:rsidR="001E549C" w:rsidRDefault="001E549C" w:rsidP="001E549C">
      <w:pPr>
        <w:jc w:val="center"/>
      </w:pPr>
      <w:r>
        <w:rPr>
          <w:noProof/>
        </w:rPr>
        <w:drawing>
          <wp:inline distT="0" distB="0" distL="0" distR="0" wp14:anchorId="7320E97D" wp14:editId="21618EDF">
            <wp:extent cx="6126480" cy="2123440"/>
            <wp:effectExtent l="0" t="0" r="0" b="0"/>
            <wp:docPr id="16281735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73596" name="Picture 1628173596"/>
                    <pic:cNvPicPr/>
                  </pic:nvPicPr>
                  <pic:blipFill>
                    <a:blip r:embed="rId13"/>
                    <a:stretch>
                      <a:fillRect/>
                    </a:stretch>
                  </pic:blipFill>
                  <pic:spPr>
                    <a:xfrm>
                      <a:off x="0" y="0"/>
                      <a:ext cx="6126480" cy="2123440"/>
                    </a:xfrm>
                    <a:prstGeom prst="rect">
                      <a:avLst/>
                    </a:prstGeom>
                  </pic:spPr>
                </pic:pic>
              </a:graphicData>
            </a:graphic>
          </wp:inline>
        </w:drawing>
      </w:r>
    </w:p>
    <w:p w14:paraId="0415CACE" w14:textId="77777777" w:rsidR="001E549C" w:rsidRDefault="001E549C" w:rsidP="001E549C">
      <w:pPr>
        <w:jc w:val="center"/>
      </w:pPr>
    </w:p>
    <w:p w14:paraId="73F0260F" w14:textId="77777777" w:rsidR="001E549C" w:rsidRDefault="001E549C" w:rsidP="001E549C"/>
    <w:p w14:paraId="6024856E" w14:textId="77777777" w:rsidR="001E549C" w:rsidRPr="00612BBF" w:rsidRDefault="001E549C" w:rsidP="00612BBF"/>
    <w:p w14:paraId="6D6A9C88" w14:textId="5327BE2F" w:rsidR="0095212B" w:rsidRDefault="0095212B" w:rsidP="00612BBF">
      <w:pPr>
        <w:pStyle w:val="Heading2"/>
        <w:keepNext/>
      </w:pPr>
      <w:r>
        <w:lastRenderedPageBreak/>
        <w:t>Population distributions</w:t>
      </w:r>
    </w:p>
    <w:p w14:paraId="2E03F51C" w14:textId="0DD233CA" w:rsidR="0095212B" w:rsidRDefault="0095212B" w:rsidP="00612BBF">
      <w:pPr>
        <w:keepNext/>
      </w:pPr>
      <w:r>
        <w:t xml:space="preserve">The next plots </w:t>
      </w:r>
      <w:r w:rsidR="00925996">
        <w:t>present</w:t>
      </w:r>
      <w:r>
        <w:t xml:space="preserve"> the </w:t>
      </w:r>
      <w:r w:rsidR="00A02513">
        <w:t>UIS and UBI i</w:t>
      </w:r>
      <w:r>
        <w:t xml:space="preserve">ncome and wealth distributions before the new system is instituted, and </w:t>
      </w:r>
      <w:r w:rsidR="00A02513">
        <w:t>after 80 quarters</w:t>
      </w:r>
      <w:r>
        <w:t>. These</w:t>
      </w:r>
      <w:r w:rsidR="00752A7D">
        <w:t xml:space="preserve"> plots </w:t>
      </w:r>
      <w:r>
        <w:t>represent real, not nominal, dollars.</w:t>
      </w:r>
      <w:r w:rsidR="00752A7D">
        <w:t xml:space="preserve"> The model updates a price deflator as it runs.</w:t>
      </w:r>
    </w:p>
    <w:p w14:paraId="6D15BBB8" w14:textId="0B60A3E0" w:rsidR="00A02513" w:rsidRDefault="00752A7D" w:rsidP="0095212B">
      <w:r>
        <w:t xml:space="preserve">Both income distributions show a spike at the left, because there is </w:t>
      </w:r>
      <w:r w:rsidR="00A02513">
        <w:t xml:space="preserve">always </w:t>
      </w:r>
      <w:r>
        <w:t>a proportion of unemployed households with no income. The “before” state of the model does not reflect existing Social Security protections.</w:t>
      </w:r>
      <w:r w:rsidR="00A02513">
        <w:t xml:space="preserve"> If a lot of people lose their jobs, Social Security as we know it will be a huge problem.</w:t>
      </w:r>
    </w:p>
    <w:p w14:paraId="68DEF5A2" w14:textId="2A5B4061" w:rsidR="0095212B" w:rsidRDefault="00752A7D" w:rsidP="0095212B">
      <w:r>
        <w:t>The income distributions show that after 20 years, the minimum support for completely unemployed households is substantial</w:t>
      </w:r>
      <w:r w:rsidR="00A02513">
        <w:t>ly better in real dollars</w:t>
      </w:r>
      <w:r>
        <w:t xml:space="preserve">, and the entire population has much higher </w:t>
      </w:r>
      <w:r w:rsidR="00A02513">
        <w:t xml:space="preserve">real </w:t>
      </w:r>
      <w:r>
        <w:t xml:space="preserve">incomes than before. This reflects the </w:t>
      </w:r>
      <w:r w:rsidR="00A02513">
        <w:t>income support</w:t>
      </w:r>
      <w:r>
        <w:t xml:space="preserve">, whether UIS or UBI, together with the increase in corporate production from automation, since a portion of that is distributed as dividends. </w:t>
      </w:r>
    </w:p>
    <w:p w14:paraId="4C82261C" w14:textId="6576F5EF" w:rsidR="0095212B" w:rsidRDefault="00A02513" w:rsidP="0095212B">
      <w:r>
        <w:rPr>
          <w:noProof/>
        </w:rPr>
        <w:drawing>
          <wp:inline distT="0" distB="0" distL="0" distR="0" wp14:anchorId="1FC5B329" wp14:editId="631A0230">
            <wp:extent cx="6126480" cy="2137410"/>
            <wp:effectExtent l="0" t="0" r="0" b="0"/>
            <wp:docPr id="1956186176" name="Picture 6"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86176" name="Picture 6" descr="A graph of different sizes and colors&#10;&#10;AI-generated content may be incorrect."/>
                    <pic:cNvPicPr/>
                  </pic:nvPicPr>
                  <pic:blipFill>
                    <a:blip r:embed="rId14"/>
                    <a:stretch>
                      <a:fillRect/>
                    </a:stretch>
                  </pic:blipFill>
                  <pic:spPr>
                    <a:xfrm>
                      <a:off x="0" y="0"/>
                      <a:ext cx="6126480" cy="2137410"/>
                    </a:xfrm>
                    <a:prstGeom prst="rect">
                      <a:avLst/>
                    </a:prstGeom>
                  </pic:spPr>
                </pic:pic>
              </a:graphicData>
            </a:graphic>
          </wp:inline>
        </w:drawing>
      </w:r>
    </w:p>
    <w:p w14:paraId="6D067988" w14:textId="77777777" w:rsidR="00A02513" w:rsidRDefault="00A02513" w:rsidP="0095212B"/>
    <w:p w14:paraId="1068700B" w14:textId="68126820" w:rsidR="00A02513" w:rsidRDefault="00A02513" w:rsidP="0095212B">
      <w:r>
        <w:rPr>
          <w:noProof/>
        </w:rPr>
        <w:drawing>
          <wp:inline distT="0" distB="0" distL="0" distR="0" wp14:anchorId="253177F5" wp14:editId="3C96B0F7">
            <wp:extent cx="6126480" cy="2120265"/>
            <wp:effectExtent l="0" t="0" r="0" b="635"/>
            <wp:docPr id="232287096" name="Picture 7"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87096" name="Picture 7" descr="A graph of different colored lines&#10;&#10;AI-generated content may be incorrect."/>
                    <pic:cNvPicPr/>
                  </pic:nvPicPr>
                  <pic:blipFill>
                    <a:blip r:embed="rId15"/>
                    <a:stretch>
                      <a:fillRect/>
                    </a:stretch>
                  </pic:blipFill>
                  <pic:spPr>
                    <a:xfrm>
                      <a:off x="0" y="0"/>
                      <a:ext cx="6126480" cy="2120265"/>
                    </a:xfrm>
                    <a:prstGeom prst="rect">
                      <a:avLst/>
                    </a:prstGeom>
                  </pic:spPr>
                </pic:pic>
              </a:graphicData>
            </a:graphic>
          </wp:inline>
        </w:drawing>
      </w:r>
    </w:p>
    <w:p w14:paraId="057949C6" w14:textId="77777777" w:rsidR="00A02513" w:rsidRDefault="00A02513" w:rsidP="0095212B"/>
    <w:p w14:paraId="7190BE63" w14:textId="4008FFC6" w:rsidR="00752A7D" w:rsidRDefault="0095212B" w:rsidP="0095212B">
      <w:r>
        <w:lastRenderedPageBreak/>
        <w:t>In this model run the trust equity was capped at 30%, which is reached after about 50 quarters. The wealth distributions show that at the 50</w:t>
      </w:r>
      <w:r w:rsidRPr="002D6D89">
        <w:rPr>
          <w:vertAlign w:val="superscript"/>
        </w:rPr>
        <w:t>th</w:t>
      </w:r>
      <w:r>
        <w:t xml:space="preserve"> percentile (right-hand dotted line) of the right-hand chart </w:t>
      </w:r>
      <w:r w:rsidR="00A02513">
        <w:t>above</w:t>
      </w:r>
      <w:r>
        <w:t xml:space="preserve">, households are considerably wealthier, in real terms, than they were before. </w:t>
      </w:r>
    </w:p>
    <w:p w14:paraId="37FCED58" w14:textId="16166A95" w:rsidR="0095212B" w:rsidRDefault="0095212B" w:rsidP="0095212B">
      <w:r>
        <w:t>Among the wealthiest household</w:t>
      </w:r>
      <w:r w:rsidR="00434684">
        <w:t>s</w:t>
      </w:r>
      <w:r>
        <w:t>, total wealth is somewhat reduced but not dramatically. This represents two effects: equity dilution, which is a slow</w:t>
      </w:r>
      <w:r w:rsidR="009D4247">
        <w:t xml:space="preserve">, </w:t>
      </w:r>
      <w:r>
        <w:t>capped wealth tax, but also gain in total wealth over time due to continuing productivity improvements and greater total output</w:t>
      </w:r>
      <w:r w:rsidR="001748C8">
        <w:t>.</w:t>
      </w:r>
      <w:r w:rsidR="009D4247">
        <w:t xml:space="preserve"> Wealth gain gradually overcomes equity dilution.</w:t>
      </w:r>
    </w:p>
    <w:p w14:paraId="1FD1AA0D" w14:textId="1010E06A" w:rsidR="0095212B" w:rsidRDefault="0095212B" w:rsidP="0095212B">
      <w:r>
        <w:t>Although not illustrated here, there is nothing magic about the 30% equity cap. The numbers work out acceptably well at 25%, or at 35%. The policies working together have a broad range of stability.</w:t>
      </w:r>
    </w:p>
    <w:p w14:paraId="49756D38" w14:textId="77777777" w:rsidR="0095212B" w:rsidRDefault="0095212B" w:rsidP="0095212B">
      <w:pPr>
        <w:pStyle w:val="Heading2"/>
      </w:pPr>
      <w:r>
        <w:t>Inequality (Gini metrics)</w:t>
      </w:r>
    </w:p>
    <w:p w14:paraId="38EBD589" w14:textId="0BC0A4FB" w:rsidR="0095212B" w:rsidRDefault="00434684" w:rsidP="0095212B">
      <w:r>
        <w:rPr>
          <w:noProof/>
        </w:rPr>
        <w:drawing>
          <wp:anchor distT="0" distB="0" distL="114300" distR="114300" simplePos="0" relativeHeight="251660288" behindDoc="0" locked="0" layoutInCell="1" allowOverlap="1" wp14:anchorId="012E68C1" wp14:editId="7CA71981">
            <wp:simplePos x="0" y="0"/>
            <wp:positionH relativeFrom="column">
              <wp:posOffset>3098800</wp:posOffset>
            </wp:positionH>
            <wp:positionV relativeFrom="paragraph">
              <wp:posOffset>211243</wp:posOffset>
            </wp:positionV>
            <wp:extent cx="3039533" cy="1928062"/>
            <wp:effectExtent l="0" t="0" r="0" b="2540"/>
            <wp:wrapSquare wrapText="bothSides"/>
            <wp:docPr id="512815176" name="Picture 8"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15176" name="Picture 8" descr="A graph with different colored lines&#10;&#10;AI-generated content may be incorrect."/>
                    <pic:cNvPicPr/>
                  </pic:nvPicPr>
                  <pic:blipFill>
                    <a:blip r:embed="rId16"/>
                    <a:stretch>
                      <a:fillRect/>
                    </a:stretch>
                  </pic:blipFill>
                  <pic:spPr>
                    <a:xfrm>
                      <a:off x="0" y="0"/>
                      <a:ext cx="3039533" cy="1928062"/>
                    </a:xfrm>
                    <a:prstGeom prst="rect">
                      <a:avLst/>
                    </a:prstGeom>
                  </pic:spPr>
                </pic:pic>
              </a:graphicData>
            </a:graphic>
            <wp14:sizeRelH relativeFrom="page">
              <wp14:pctWidth>0</wp14:pctWidth>
            </wp14:sizeRelH>
            <wp14:sizeRelV relativeFrom="page">
              <wp14:pctHeight>0</wp14:pctHeight>
            </wp14:sizeRelV>
          </wp:anchor>
        </w:drawing>
      </w:r>
      <w:r>
        <w:rPr>
          <w:noProof/>
        </w:rPr>
        <w:t>The wealth outcomes can also be reviewed via</w:t>
      </w:r>
      <w:r w:rsidR="0095212B">
        <w:t xml:space="preserve"> Gini metrics. New Loop plots three measures of inequality throughout the simulation run. In the </w:t>
      </w:r>
      <w:r>
        <w:t>UIS Gini plot</w:t>
      </w:r>
      <w:r w:rsidR="0095212B">
        <w:t xml:space="preserve">, the green line shows wealth inequality among the 20,000 households. The blue line shows household inequality of income before income tax, VAT credit, household support, and debt service. It is </w:t>
      </w:r>
      <w:r>
        <w:t xml:space="preserve">unchanged in </w:t>
      </w:r>
      <w:r w:rsidR="0095212B">
        <w:t xml:space="preserve">real terms over 80 quarters. The orange line shows disposable income inequality after all tax and support transfers. </w:t>
      </w:r>
      <w:r>
        <w:t>The results for UBI are very similar.</w:t>
      </w:r>
    </w:p>
    <w:p w14:paraId="4A6BBA97" w14:textId="059FE117" w:rsidR="0095212B" w:rsidRDefault="00434684" w:rsidP="0095212B">
      <w:r>
        <w:t>These Gini traces</w:t>
      </w:r>
      <w:r w:rsidR="0095212B">
        <w:t xml:space="preserve"> reveal two things. First, the transition policies</w:t>
      </w:r>
      <w:r>
        <w:t xml:space="preserve"> together,</w:t>
      </w:r>
      <w:r w:rsidR="0095212B">
        <w:t xml:space="preserve"> </w:t>
      </w:r>
      <w:r>
        <w:t>as a package, i</w:t>
      </w:r>
      <w:r w:rsidR="0095212B">
        <w:t xml:space="preserve">mprove inequality of disposable income. The whole population can actively consume and support the new macroeconomic production - consumption loop. </w:t>
      </w:r>
    </w:p>
    <w:p w14:paraId="279D1BEF" w14:textId="1D7F6874" w:rsidR="001748C8" w:rsidRDefault="0095212B" w:rsidP="0095212B">
      <w:r>
        <w:t xml:space="preserve">Second, the green wealth line shows that households that were wealthy before the automation transition remain so after it. There has been some shift, </w:t>
      </w:r>
      <w:r w:rsidR="00434684">
        <w:t>but</w:t>
      </w:r>
      <w:r>
        <w:t xml:space="preserve"> the hierarchy of wealth in the population has not changed very much. The wealthy have not really been hurt. </w:t>
      </w:r>
    </w:p>
    <w:p w14:paraId="7A13430E" w14:textId="19FB46C0" w:rsidR="0095212B" w:rsidRDefault="001748C8" w:rsidP="0095212B">
      <w:r w:rsidRPr="009D4247">
        <w:rPr>
          <w:b/>
          <w:bCs/>
        </w:rPr>
        <w:t>This outcome reveals a very important result that deserves to be emphasized: the proposed policies demonstrably do not play out as a socialist or confiscatory regime. The New Loop remains a capitalist society. Entrepreneurs and investors can still reap big rewards. In fact, household support in either UIS or UBI form, together with the other policies, should make it safer to take entrepreneurial risks and create innovations.</w:t>
      </w:r>
    </w:p>
    <w:p w14:paraId="221907C2" w14:textId="77777777" w:rsidR="00612BBF" w:rsidRDefault="00612BBF" w:rsidP="00612BBF"/>
    <w:p w14:paraId="0C0C938A" w14:textId="00A2280C" w:rsidR="0095212B" w:rsidRDefault="0095212B" w:rsidP="00434684">
      <w:pPr>
        <w:pStyle w:val="Heading2"/>
        <w:keepNext/>
      </w:pPr>
      <w:r>
        <w:lastRenderedPageBreak/>
        <w:t xml:space="preserve">The </w:t>
      </w:r>
      <w:r w:rsidR="00D234B4">
        <w:t>Policies</w:t>
      </w:r>
      <w:r>
        <w:t xml:space="preserve"> </w:t>
      </w:r>
      <w:r w:rsidR="00D234B4">
        <w:t>Neutralize</w:t>
      </w:r>
      <w:r>
        <w:t xml:space="preserve"> </w:t>
      </w:r>
      <w:r w:rsidR="00D234B4">
        <w:t xml:space="preserve">Key </w:t>
      </w:r>
      <w:r>
        <w:t>stresses during the transition</w:t>
      </w:r>
    </w:p>
    <w:p w14:paraId="55CEBD51" w14:textId="11103C90" w:rsidR="0095212B" w:rsidRDefault="00D234B4" w:rsidP="00D234B4">
      <w:pPr>
        <w:keepNext/>
      </w:pPr>
      <w:r>
        <w:rPr>
          <w:noProof/>
        </w:rPr>
        <w:drawing>
          <wp:anchor distT="0" distB="0" distL="114300" distR="114300" simplePos="0" relativeHeight="251661312" behindDoc="0" locked="0" layoutInCell="1" allowOverlap="1" wp14:anchorId="59103774" wp14:editId="1FF12A48">
            <wp:simplePos x="0" y="0"/>
            <wp:positionH relativeFrom="column">
              <wp:posOffset>2334895</wp:posOffset>
            </wp:positionH>
            <wp:positionV relativeFrom="paragraph">
              <wp:posOffset>705908</wp:posOffset>
            </wp:positionV>
            <wp:extent cx="3801533" cy="1886188"/>
            <wp:effectExtent l="0" t="0" r="0" b="6350"/>
            <wp:wrapSquare wrapText="bothSides"/>
            <wp:docPr id="1098645824" name="Picture 9"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45824" name="Picture 9" descr="A graph with blue lines&#10;&#10;AI-generated content may be incorrect."/>
                    <pic:cNvPicPr/>
                  </pic:nvPicPr>
                  <pic:blipFill>
                    <a:blip r:embed="rId17"/>
                    <a:stretch>
                      <a:fillRect/>
                    </a:stretch>
                  </pic:blipFill>
                  <pic:spPr>
                    <a:xfrm>
                      <a:off x="0" y="0"/>
                      <a:ext cx="3801533" cy="1886188"/>
                    </a:xfrm>
                    <a:prstGeom prst="rect">
                      <a:avLst/>
                    </a:prstGeom>
                  </pic:spPr>
                </pic:pic>
              </a:graphicData>
            </a:graphic>
            <wp14:sizeRelH relativeFrom="page">
              <wp14:pctWidth>0</wp14:pctWidth>
            </wp14:sizeRelH>
            <wp14:sizeRelV relativeFrom="page">
              <wp14:pctHeight>0</wp14:pctHeight>
            </wp14:sizeRelV>
          </wp:anchor>
        </w:drawing>
      </w:r>
      <w:r w:rsidR="0095212B">
        <w:t xml:space="preserve">Despite policy backstops, this transition will not be painless. </w:t>
      </w:r>
      <w:r w:rsidR="00464B00">
        <w:t>Severe wage/employment contraction would inescapably induce an extended period of reduced consumption. But a</w:t>
      </w:r>
      <w:r w:rsidR="0095212B">
        <w:t xml:space="preserve">n advantage of modeling is that </w:t>
      </w:r>
      <w:r w:rsidR="00464B00">
        <w:t>anyone</w:t>
      </w:r>
      <w:r w:rsidR="002B7C0D">
        <w:t xml:space="preserve"> who is interested </w:t>
      </w:r>
      <w:r w:rsidR="0095212B">
        <w:t xml:space="preserve">can </w:t>
      </w:r>
      <w:r w:rsidR="002B7C0D">
        <w:t>have a sense of</w:t>
      </w:r>
      <w:r w:rsidR="0095212B">
        <w:t xml:space="preserve"> what</w:t>
      </w:r>
      <w:r w:rsidR="002B7C0D">
        <w:t xml:space="preserve"> might be </w:t>
      </w:r>
      <w:r w:rsidR="0095212B">
        <w:t>coming, and plan for it or perhaps adapt the policies a bit. For instance</w:t>
      </w:r>
      <w:r w:rsidR="00464B00">
        <w:t>,</w:t>
      </w:r>
      <w:r>
        <w:t xml:space="preserve"> this plot:</w:t>
      </w:r>
    </w:p>
    <w:p w14:paraId="7741B7DF" w14:textId="0F44301E" w:rsidR="0095212B" w:rsidRDefault="0095212B" w:rsidP="0095212B">
      <w:r>
        <w:t>The solid line traces the deflation process, with (negative) inflation on the right-hand Y-axis. Prices fall steeply as automation adoption plays out, but after Q25 things turn around. After 20 years, deflation has pretty much ended.</w:t>
      </w:r>
    </w:p>
    <w:p w14:paraId="093AC944" w14:textId="7D4FC071" w:rsidR="00D234B4" w:rsidRDefault="001748C8" w:rsidP="0095212B">
      <w:r>
        <w:t xml:space="preserve">When the optional monotonic floor is enabled, household support </w:t>
      </w:r>
      <w:r w:rsidR="00C716D5">
        <w:t xml:space="preserve">under UIS </w:t>
      </w:r>
      <w:r>
        <w:t xml:space="preserve">is not allowed to decline even if other conditions improve. At the same time, indexed mortgage payments shrink with deflation, and government makes up the difference to the bank. </w:t>
      </w:r>
      <w:r w:rsidR="00D234B4">
        <w:t xml:space="preserve">As a result, the debt-service-to-income ratio (DTI) actually improves </w:t>
      </w:r>
      <w:r w:rsidR="00464B00">
        <w:t xml:space="preserve">a bit </w:t>
      </w:r>
      <w:r w:rsidR="00D234B4">
        <w:t xml:space="preserve">during the worst deflation. </w:t>
      </w:r>
      <w:r w:rsidR="00C716D5">
        <w:t>Something similar happens under UBI but for a different reason</w:t>
      </w:r>
      <w:r w:rsidR="00464B00">
        <w:t xml:space="preserve">: if </w:t>
      </w:r>
      <w:r w:rsidR="00C716D5">
        <w:t xml:space="preserve">UBI is not allowed to fall in nominal terms, </w:t>
      </w:r>
      <w:r w:rsidR="00464B00">
        <w:t>it</w:t>
      </w:r>
      <w:r w:rsidR="00C716D5">
        <w:t xml:space="preserve"> worth more in real terms as deflation proceeds.</w:t>
      </w:r>
    </w:p>
    <w:p w14:paraId="2F37D1FC" w14:textId="691B49E7" w:rsidR="0095212B" w:rsidRDefault="001748C8" w:rsidP="0095212B">
      <w:r>
        <w:t xml:space="preserve">Because mortgage payments are indexed to deflation, debt service rises as a fraction of income when deflation starts working itself out of the system and consumption grows. After 20 years, deflation is </w:t>
      </w:r>
      <w:r w:rsidR="00464B00">
        <w:t>turning around</w:t>
      </w:r>
      <w:r>
        <w:t>, real incomes are rising, and DTI begins to fall</w:t>
      </w:r>
      <w:r w:rsidR="00D234B4">
        <w:t xml:space="preserve"> naturally</w:t>
      </w:r>
      <w:r>
        <w:t>. It would continue falling if we ran the simulation for more than 80 quarters.</w:t>
      </w:r>
    </w:p>
    <w:p w14:paraId="371CBFF5" w14:textId="5E56E0D6" w:rsidR="00A07C58" w:rsidRDefault="00A07C58" w:rsidP="00A07C58">
      <w:pPr>
        <w:pStyle w:val="Heading2"/>
      </w:pPr>
      <w:r>
        <w:t>Other Graphical Outputs</w:t>
      </w:r>
    </w:p>
    <w:p w14:paraId="7C5C543E" w14:textId="1EF40BEB" w:rsidR="00A07C58" w:rsidRDefault="00A07C58" w:rsidP="0095212B">
      <w:r>
        <w:t>The simulator captures a broad array of data points at each calendar quarter step. Many of them are not illustrated here. However, one of the plot canvasses allows the user to select two data series and show both of them in a single, longitudinal plot over time.</w:t>
      </w:r>
    </w:p>
    <w:p w14:paraId="5CA68640" w14:textId="77777777" w:rsidR="00A07C58" w:rsidRDefault="00A07C58" w:rsidP="0095212B"/>
    <w:p w14:paraId="7C9879CB" w14:textId="397E1AD8" w:rsidR="001326E2" w:rsidRDefault="001326E2">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br w:type="page"/>
      </w:r>
    </w:p>
    <w:p w14:paraId="2CD7D0F2" w14:textId="77777777" w:rsidR="001326E2" w:rsidRDefault="001326E2" w:rsidP="001326E2">
      <w:pPr>
        <w:pStyle w:val="Heading1"/>
      </w:pPr>
      <w:r>
        <w:lastRenderedPageBreak/>
        <w:t>Further Reading</w:t>
      </w:r>
    </w:p>
    <w:p w14:paraId="5EA3D1B9" w14:textId="4DB17C13" w:rsidR="00580182" w:rsidRDefault="00580182" w:rsidP="00580182">
      <w:r w:rsidRPr="00580182">
        <w:t xml:space="preserve">The New Loop did not arise in an intellectual vacuum. Its nearest antecedents lie less in conventional redistribution than in the older argument that a stable capitalist society requires broader ownership of capital itself. James Meade, writing on the unequal ownership of property and the need for a property-owning democracy, argued over many years for institutional arrangements that would spread claims on capital income more widely, including through a social dividend. </w:t>
      </w:r>
    </w:p>
    <w:p w14:paraId="3BB47613" w14:textId="77777777" w:rsidR="00580182" w:rsidRDefault="00580182" w:rsidP="00580182">
      <w:r w:rsidRPr="00580182">
        <w:t xml:space="preserve">A practical precedent of a different kind is the Alaska Permanent Fund Dividend, which demonstrated that a universal citizen payment backed by a collectively owned asset pool could become politically durable, and that the visible accumulation of such a fund could help sustain public support. </w:t>
      </w:r>
    </w:p>
    <w:p w14:paraId="44D7D81A" w14:textId="1522813C" w:rsidR="008E7E22" w:rsidRPr="00580182" w:rsidRDefault="00580182" w:rsidP="00580182">
      <w:r w:rsidRPr="00580182">
        <w:t>The New Loop belongs to that broad family of ideas, but does not replicate any close antecedent. Its distinctive feature is the integration of that ownership logic into a larger rule-based macroeconomic architecture, one designed to preserve reinvestment, sustain demand, reduce household fragility, and stabilize the transition against debt-deflation</w:t>
      </w:r>
    </w:p>
    <w:p w14:paraId="7BA6D8AF" w14:textId="77777777" w:rsidR="00580182" w:rsidRDefault="00580182" w:rsidP="00580182">
      <w:pPr>
        <w:rPr>
          <w:szCs w:val="22"/>
        </w:rPr>
      </w:pPr>
    </w:p>
    <w:p w14:paraId="66D343DB" w14:textId="24B719DC" w:rsidR="001326E2" w:rsidRDefault="00F777C6" w:rsidP="00580182">
      <w:pPr>
        <w:rPr>
          <w:szCs w:val="22"/>
        </w:rPr>
      </w:pPr>
      <w:r>
        <w:rPr>
          <w:szCs w:val="22"/>
        </w:rPr>
        <w:t>Many</w:t>
      </w:r>
      <w:r w:rsidR="001326E2">
        <w:rPr>
          <w:szCs w:val="22"/>
        </w:rPr>
        <w:t xml:space="preserve"> of the publications listed below are available online </w:t>
      </w:r>
      <w:r w:rsidR="008E7E22">
        <w:rPr>
          <w:szCs w:val="22"/>
        </w:rPr>
        <w:t>with no</w:t>
      </w:r>
      <w:r w:rsidR="001326E2">
        <w:rPr>
          <w:szCs w:val="22"/>
        </w:rPr>
        <w:t xml:space="preserve"> paywall.</w:t>
      </w:r>
    </w:p>
    <w:p w14:paraId="6789DC64" w14:textId="71DA51E1" w:rsidR="001326E2" w:rsidRPr="00F777C6" w:rsidRDefault="00F777C6" w:rsidP="00F777C6">
      <w:pPr>
        <w:pStyle w:val="Heading2"/>
      </w:pPr>
      <w:r w:rsidRPr="00F777C6">
        <w:t>Artificial intelligence, labor markets, and technology</w:t>
      </w:r>
    </w:p>
    <w:p w14:paraId="7C1BC78E" w14:textId="77777777" w:rsidR="00F777C6" w:rsidRDefault="00F777C6" w:rsidP="00F777C6">
      <w:r>
        <w:t>[1] Acemoglu, Daron, and Pascual Restrepo. “Automation and New Tasks: How Technology Displaces and Reinstates Labor.” Journal of Economic Perspectives 33, no. 2 (2019): 3-30. DOI: 10.1257/jep.33.2.3. URL: https://www.aeaweb.org/articles?id=10.1257/jep.33.2.3</w:t>
      </w:r>
    </w:p>
    <w:p w14:paraId="50C38A8C" w14:textId="77777777" w:rsidR="00F777C6" w:rsidRDefault="00F777C6" w:rsidP="00F777C6">
      <w:r>
        <w:t xml:space="preserve">[2] Cazzaniga, Mauro, Florence </w:t>
      </w:r>
      <w:proofErr w:type="spellStart"/>
      <w:r>
        <w:t>Jaumotte</w:t>
      </w:r>
      <w:proofErr w:type="spellEnd"/>
      <w:r>
        <w:t xml:space="preserve">, </w:t>
      </w:r>
      <w:proofErr w:type="spellStart"/>
      <w:r>
        <w:t>Longji</w:t>
      </w:r>
      <w:proofErr w:type="spellEnd"/>
      <w:r>
        <w:t xml:space="preserve"> Li, Giovanni Melina, Adrian J. Panton, Carolina Pizzinelli, Esteban Rockall, and Marina M. Tavares. “Gen-AI: Artificial Intelligence and the Future of Work.” IMF Staff Discussion Note SDN/2024/001 (2024). URL: https://www.imf.org/en/publications/staff-discussion-notes/issues/2024/01/14/gen-ai-artificial-intelligence-and-the-future-of-work-542379</w:t>
      </w:r>
    </w:p>
    <w:p w14:paraId="78A6EF5A" w14:textId="77777777" w:rsidR="00F777C6" w:rsidRDefault="00F777C6" w:rsidP="00F777C6">
      <w:r>
        <w:t>[3] Melina, Giovanni, and Stefania Villa. “From Servers to Rates: AI, ICT Capital, and the Natural Rate.” IMF Working Paper WP/25/224 (2025). URL: https://www.imf.org/-/media/files/publications/wp/2025/english/wpiea2025224-source-pdf.pdf</w:t>
      </w:r>
    </w:p>
    <w:p w14:paraId="37394F60" w14:textId="77777777" w:rsidR="00F777C6" w:rsidRDefault="00F777C6" w:rsidP="00F777C6">
      <w:r>
        <w:t>[4] Gimbel, Martha, Molly Kinder, Joshua Kendall, and Maddie Lee. “Evaluating the Impact of AI on the Labor Market: Current State of Affairs.” The Budget Lab at Yale (October 1, 2025). URL: https://budgetlab.yale.edu/research/evaluating-impact-ai-labor-market-current-state-affairs</w:t>
      </w:r>
    </w:p>
    <w:p w14:paraId="2CA6DD22" w14:textId="77777777" w:rsidR="00F777C6" w:rsidRDefault="00F777C6" w:rsidP="00F777C6">
      <w:r>
        <w:t>[5] Abel, Jaison R., Richard Deitz, Natalia Emanuel, Ben Hyman, and Nick Montalbano. “Are Businesses Scaling Back Hiring Due to AI?” Liberty Street Economics, Federal Reserve Bank of New York (September 4, 2025). URL: https://libertystreeteconomics.newyorkfed.org/2025/09/are-businesses-scaling-back-hiring-due-to-ai/</w:t>
      </w:r>
    </w:p>
    <w:p w14:paraId="187E313A" w14:textId="77777777" w:rsidR="00F777C6" w:rsidRDefault="00F777C6" w:rsidP="00F777C6">
      <w:r>
        <w:lastRenderedPageBreak/>
        <w:t>[6] Barr, Michael S. “What Will Artificial Intelligence Mean for the Labor Market and the Economy?” Speech at the New York Association for Business Economics, Board of Governors of the Federal Reserve System (February 17, 2026). URL: https://www.federalreserve.gov/newsevents/speech/barr20260217a.htm</w:t>
      </w:r>
    </w:p>
    <w:p w14:paraId="3C3349AC" w14:textId="77777777" w:rsidR="00F777C6" w:rsidRDefault="00F777C6" w:rsidP="00F777C6">
      <w:pPr>
        <w:pStyle w:val="Heading2"/>
      </w:pPr>
      <w:r>
        <w:t>INEQUALITY, WELFARE STATES, TAXATION, TRANSFERS, AND BASIC INCOME</w:t>
      </w:r>
    </w:p>
    <w:p w14:paraId="169E2FE4" w14:textId="77777777" w:rsidR="00F777C6" w:rsidRDefault="00F777C6" w:rsidP="00F777C6">
      <w:r>
        <w:t>[7] Esping-Andersen, Gosta. The Three Worlds of Welfare Capitalism. Cambridge: Polity Press, 1990. URL: https://www.wiley.com/en-gb/The%2BThree%2BWorlds%2Bof%2BWelfare%2BCapitalism-p-9780745666754</w:t>
      </w:r>
    </w:p>
    <w:p w14:paraId="4DA00097" w14:textId="77777777" w:rsidR="00F777C6" w:rsidRDefault="00F777C6" w:rsidP="00F777C6">
      <w:r>
        <w:t>[8] Pierson, Paul. Dismantling the Welfare State? Reagan, Thatcher and the Politics of Retrenchment. Cambridge: Cambridge University Press, 1994. URL: https://www.cambridge.org/core/books/dismantling-the-welfare-state/1EF58A90413CCE29F65E0E99F9138DC2</w:t>
      </w:r>
    </w:p>
    <w:p w14:paraId="0E4374A1" w14:textId="77777777" w:rsidR="00F777C6" w:rsidRDefault="00F777C6" w:rsidP="00F777C6">
      <w:r>
        <w:t>[9] Pierson, Paul. “The New Politics of the Welfare State.” World Politics 48, no. 2 (1996): 143-179. URL: https://www.cambridge.org/core/journals/world-politics/article/abs/new-politics-of-the-welfare-state/4183EDE18ABA5FCD2B963F5FD4E405A4</w:t>
      </w:r>
    </w:p>
    <w:p w14:paraId="4CDDFAD0" w14:textId="77777777" w:rsidR="00F777C6" w:rsidRDefault="00F777C6" w:rsidP="00F777C6">
      <w:r>
        <w:t>[10] OECD. “Income and Wealth Inequalities.” In Society at a Glance 2024 (2024). URL: https://www.oecd.org/en/publications/society-at-a-glance-2024_918d8db3-en/full-report/income-and-wealth-inequalities_7ac4178f.html</w:t>
      </w:r>
    </w:p>
    <w:p w14:paraId="7AEBCB7C" w14:textId="77777777" w:rsidR="00F777C6" w:rsidRDefault="00F777C6" w:rsidP="00F777C6">
      <w:r>
        <w:t>[11] OECD. Consumption Tax Trends 2024: VAT/GST and Excise, Core Design Features and Trends. OECD Publishing, 2024. URL: https://www.oecd.org/en/publications/consumption-tax-trends-2024_dcd4dd36-en.html</w:t>
      </w:r>
    </w:p>
    <w:p w14:paraId="42EA50A7" w14:textId="77777777" w:rsidR="00F777C6" w:rsidRDefault="00F777C6" w:rsidP="00F777C6">
      <w:r>
        <w:t>[12] de la Feria, Rita, and Artur Swistak. “Designing a Progressive VAT.” IMF Working Paper WP/24/78 (2024). URL: https://www.imf.org/en/publications/wp/issues/2024/04/05/designing-a-progressive-vat-546923</w:t>
      </w:r>
    </w:p>
    <w:p w14:paraId="3224F335" w14:textId="77777777" w:rsidR="00F777C6" w:rsidRDefault="00F777C6" w:rsidP="00F777C6">
      <w:r>
        <w:t>[13] Jones, Damon, and Ioana Marinescu. “The Labor Market Impacts of Universal and Permanent Cash Transfers: Evidence from the Alaska Permanent Fund.” American Economic Journal: Economic Policy 14, no. 2 (2022): 315-340. DOI: 10.1257/pol.20190299. URL: https://www.aeaweb.org/articles?id=10.1257/pol.20190299</w:t>
      </w:r>
    </w:p>
    <w:p w14:paraId="4E92F83E" w14:textId="77777777" w:rsidR="00F777C6" w:rsidRDefault="00F777C6" w:rsidP="00F777C6">
      <w:r>
        <w:t xml:space="preserve">[14] </w:t>
      </w:r>
      <w:proofErr w:type="spellStart"/>
      <w:r>
        <w:t>Vivalt</w:t>
      </w:r>
      <w:proofErr w:type="spellEnd"/>
      <w:r>
        <w:t xml:space="preserve">, Eva, Elizabeth Rhodes, Alexander W. Bartik, David E. </w:t>
      </w:r>
      <w:proofErr w:type="spellStart"/>
      <w:r>
        <w:t>Broockman</w:t>
      </w:r>
      <w:proofErr w:type="spellEnd"/>
      <w:r>
        <w:t>, Patrick Krause, and Sarah Miller. “The Employment Effects of a Guaranteed Income: Experimental Evidence from Two U.S. States.” NBER Working Paper 32719 (July 2024, revised January 2025). URL: https://www.nber.org/papers/w32719</w:t>
      </w:r>
    </w:p>
    <w:p w14:paraId="774A4101" w14:textId="77777777" w:rsidR="00F777C6" w:rsidRDefault="00F777C6" w:rsidP="00F777C6">
      <w:r>
        <w:t xml:space="preserve">[15] Browne, James, and Herwig </w:t>
      </w:r>
      <w:proofErr w:type="spellStart"/>
      <w:r>
        <w:t>Immervoll</w:t>
      </w:r>
      <w:proofErr w:type="spellEnd"/>
      <w:r>
        <w:t>. “Mechanics of Replacing Benefit Systems with a Basic Income.” OECD Social, Employment and Migration Working Papers No. 193 (2017). URL: https://www.oecd.org/en/publications/mechanics-of-replacing-benefits-systems-with-a-basic-income_ec38a279-en.html</w:t>
      </w:r>
    </w:p>
    <w:p w14:paraId="76ACC570" w14:textId="77777777" w:rsidR="00F777C6" w:rsidRDefault="00F777C6" w:rsidP="00F777C6">
      <w:r>
        <w:lastRenderedPageBreak/>
        <w:t>[16] Meade, James E. Efficiency, Equality and the Ownership of Property. London: George Allen &amp; Unwin, 1964. URL: https://www.routledge.com/Efficiency-Equality-and-the-Ownership-of-Property-Routledge-Revivals/Meade/p/book/9780415621731</w:t>
      </w:r>
    </w:p>
    <w:p w14:paraId="5D1F401D" w14:textId="77777777" w:rsidR="00F777C6" w:rsidRDefault="00F777C6" w:rsidP="00F777C6">
      <w:r>
        <w:t xml:space="preserve">[17] Van Trier, Walter. “From James Meade’s ‘Social Dividend’ to ‘State Bonus’: An Intriguing Chapter in the History of a Concept.” </w:t>
      </w:r>
      <w:proofErr w:type="spellStart"/>
      <w:r>
        <w:t>Œconomia</w:t>
      </w:r>
      <w:proofErr w:type="spellEnd"/>
      <w:r>
        <w:t xml:space="preserve"> - History, Methodology, Philosophy 8, no. 4 (2018): 439-474. URL: https://biblio.ugent.be/publication/8610812/file/8610994.pdf</w:t>
      </w:r>
    </w:p>
    <w:p w14:paraId="12EB7E11" w14:textId="77777777" w:rsidR="00F777C6" w:rsidRDefault="00F777C6" w:rsidP="00F777C6">
      <w:pPr>
        <w:pStyle w:val="Heading2"/>
      </w:pPr>
      <w:r>
        <w:t>FINANCIAL FRAGILITY, INVESTMENT, AND BROAD-BASED ASSET OWNERSHIP</w:t>
      </w:r>
    </w:p>
    <w:p w14:paraId="6F500A5F" w14:textId="77777777" w:rsidR="00F777C6" w:rsidRDefault="00F777C6" w:rsidP="00F777C6">
      <w:r>
        <w:t xml:space="preserve">[18] </w:t>
      </w:r>
      <w:proofErr w:type="spellStart"/>
      <w:r>
        <w:t>Bounader</w:t>
      </w:r>
      <w:proofErr w:type="spellEnd"/>
      <w:r>
        <w:t>, Lahcen, and Selim Elekdag. “The Diagnostic Financial Accelerator.” IMF Working Paper WP/24/132 (2024). URL: https://www.imf.org/-/media/files/publications/wp/2024/english/wpiea2024132-print-pdf.pdf</w:t>
      </w:r>
    </w:p>
    <w:p w14:paraId="6CAAC131" w14:textId="77777777" w:rsidR="00F777C6" w:rsidRDefault="00F777C6" w:rsidP="00F777C6">
      <w:r>
        <w:t>[19] OECD. “Reigniting Investment for More Resilient Growth.” In OECD Economic Outlook, Volume 2025 Issue 1: Tackling Uncertainty, Reviving Growth (2025). URL: https://www.oecd.org/en/publications/2025/06/oecd-economic-outlook-volume-2025-issue-1_1fd979a8/full-report/reigniting-investment-for-more-resilient-growth_99b36090.html</w:t>
      </w:r>
    </w:p>
    <w:p w14:paraId="6DC2572E" w14:textId="77777777" w:rsidR="00F777C6" w:rsidRDefault="00F777C6" w:rsidP="00F777C6">
      <w:r>
        <w:t>[20] Blyth, Mark, and Eric Lonergan. “A Citizen’s Wealth Fund: Broadening Asset Ownership, Reducing Inequality and Stabilizing the System.” In The Future of Wealth (2021). URL: https://futureofwealth.org/wp-content/uploads/2021/12/Sec8-Ch-63-Blyth-Lonergan.pdf</w:t>
      </w:r>
    </w:p>
    <w:p w14:paraId="53976C95" w14:textId="77777777" w:rsidR="00F777C6" w:rsidRDefault="00F777C6" w:rsidP="00F777C6">
      <w:pPr>
        <w:pStyle w:val="Heading2"/>
      </w:pPr>
      <w:r>
        <w:t>STOCK-FLOW CONSISTENT MODELING, PUBLIC FUNDS, SOVEREIGN WEALTH FUNDS</w:t>
      </w:r>
    </w:p>
    <w:p w14:paraId="732D671E" w14:textId="77777777" w:rsidR="00F777C6" w:rsidRDefault="00F777C6" w:rsidP="00F777C6">
      <w:r>
        <w:t>[21] Byrialsen, M. R., and N. Raza. “An Empirical Stock-Flow Consistent Macroeconomic Model for Denmark.” Levy Economics Institute Working Paper No. 942 (2020). URL: https://www.levyinstitute.org/publications/an-empirical-stock-flow-consistent-macroeconomic-model-for-denmark</w:t>
      </w:r>
    </w:p>
    <w:p w14:paraId="2FD9E5AE" w14:textId="77777777" w:rsidR="00F777C6" w:rsidRDefault="00F777C6" w:rsidP="00F777C6">
      <w:r>
        <w:t>[22] Ruggeri, Francesco, Riccardo Pariboni, and Giuliano Toshiro Yajima. “A Stock-Flow Consistent Model of Emulation, Debt, and Personal Income Inequality.” Levy Economics Institute Working Paper No. 1099 (October 2025). URL: https://www.levyinstitute.org/publications/a-stock-flow-consistent-model-of-emulation-debt-and-personal-income-inequality</w:t>
      </w:r>
    </w:p>
    <w:p w14:paraId="554D20BF" w14:textId="77777777" w:rsidR="00F777C6" w:rsidRDefault="00F777C6" w:rsidP="00F777C6">
      <w:r>
        <w:t>[23] Cuervo-</w:t>
      </w:r>
      <w:proofErr w:type="spellStart"/>
      <w:r>
        <w:t>Cazurra</w:t>
      </w:r>
      <w:proofErr w:type="spellEnd"/>
      <w:r>
        <w:t>, Alvaro, Anna Grosman, and Geoffrey T. Wood. “Cross-country Variations in Sovereign Wealth Funds’ Transparency.” Journal of International Business Policy 6, no. 3 (2023): 447-468. DOI: 10.1057/s42214-023-00149-0. URL: https://pmc.ncbi.nlm.nih.gov/articles/PMC10009841/</w:t>
      </w:r>
    </w:p>
    <w:p w14:paraId="0AEE25BE" w14:textId="77777777" w:rsidR="00F777C6" w:rsidRDefault="00F777C6" w:rsidP="00F777C6">
      <w:r>
        <w:t>[24] Avendaño, Rolando, and Javier Santiso. “Are Sovereign Wealth Funds’ Investments Politically Biased? A Comparison with Mutual Funds.” OECD Development Centre Working Paper No. 283 (2009). URL: https://www.oecd.org/en/publications/are-sovereign-wealth-funds-investments-politically-biased_218475437211.html</w:t>
      </w:r>
    </w:p>
    <w:p w14:paraId="6D2AA224" w14:textId="77777777" w:rsidR="00F777C6" w:rsidRDefault="00F777C6" w:rsidP="00F777C6">
      <w:r>
        <w:t>[25] Alaska Permanent Fund Corporation. “History of the Alaska Permanent Fund and APFC.” URL: https://apfc.org/history/</w:t>
      </w:r>
    </w:p>
    <w:p w14:paraId="179B4128" w14:textId="77777777" w:rsidR="00F777C6" w:rsidRDefault="00F777C6" w:rsidP="00F777C6">
      <w:r>
        <w:lastRenderedPageBreak/>
        <w:t>[26] Alaska Department of Revenue, Permanent Fund Dividend Division. “Historical Timeline.” URL: https://pfd.alaska.gov/division-info/historical-timeline</w:t>
      </w:r>
    </w:p>
    <w:p w14:paraId="3A1F5B98" w14:textId="77777777" w:rsidR="00F777C6" w:rsidRDefault="00F777C6" w:rsidP="00F777C6">
      <w:pPr>
        <w:pStyle w:val="Heading2"/>
      </w:pPr>
      <w:r>
        <w:t>DEMAND FRAGILITY, HOUSEHOLD DEBT, AND DEBT DEFLATION</w:t>
      </w:r>
    </w:p>
    <w:p w14:paraId="6009BBAC" w14:textId="77777777" w:rsidR="00F777C6" w:rsidRDefault="00F777C6" w:rsidP="00F777C6">
      <w:r>
        <w:t>[27] Mian, Atif, and Amir Sufi. “Household Leverage and the Recession of 2007 to 2009.” IMF Economic Review 58, no. 1 (2010): 74-117. URL: https://atif.scholar.princeton.edu/publications/household-leverage-and-recession-2007-2009</w:t>
      </w:r>
    </w:p>
    <w:p w14:paraId="70718D13" w14:textId="77777777" w:rsidR="00F777C6" w:rsidRDefault="00F777C6" w:rsidP="00F777C6">
      <w:r>
        <w:t>[28] Mian, Atif, and Amir Sufi. “House Prices, Home Equity-Based Borrowing, and the U.S. Household Leverage Crisis.” American Economic Review 101, no. 5 (2011): 2132-2156. URL: https://atif.scholar.princeton.edu/publications/house-prices-home-equity-based-borrowing-and-us-household-leverage-crisis</w:t>
      </w:r>
    </w:p>
    <w:p w14:paraId="4F3DF8B4" w14:textId="77777777" w:rsidR="00F777C6" w:rsidRDefault="00F777C6" w:rsidP="00F777C6">
      <w:r>
        <w:t>[29] Mian, Atif, Amir Sufi, and Emil Verner. “Household Debt and Business Cycles Worldwide.” The Quarterly Journal of Economics 132, no. 4 (2017): 1755-1817. DOI: 10.1093/</w:t>
      </w:r>
      <w:proofErr w:type="spellStart"/>
      <w:r>
        <w:t>qje</w:t>
      </w:r>
      <w:proofErr w:type="spellEnd"/>
      <w:r>
        <w:t>/qjx017. URL: https://academic.oup.com/qje/article-abstract/132/4/1755/3854928</w:t>
      </w:r>
    </w:p>
    <w:p w14:paraId="177AF353" w14:textId="77777777" w:rsidR="00F777C6" w:rsidRDefault="00F777C6" w:rsidP="00F777C6">
      <w:r>
        <w:t>[30] Mian, Atif, and Amir Sufi. “Finance and Business Cycles: The Credit-Driven Household Demand Channel.” Journal of Economic Perspectives 32, no. 3 (2018): 31-58. URL: https://www.nber.org/papers/w24322</w:t>
      </w:r>
    </w:p>
    <w:p w14:paraId="62D57A23" w14:textId="77777777" w:rsidR="00F777C6" w:rsidRDefault="00F777C6" w:rsidP="00F777C6">
      <w:r>
        <w:t xml:space="preserve">[31] Fisher, Irving. “The Debt-Deflation Theory of Great Depressions.” </w:t>
      </w:r>
      <w:proofErr w:type="spellStart"/>
      <w:r>
        <w:t>Econometrica</w:t>
      </w:r>
      <w:proofErr w:type="spellEnd"/>
      <w:r>
        <w:t xml:space="preserve"> 1, no. 4 (1933): 337-357. URL: https://fraser.stlouisfed.org/files/docs/meltzer/fisdeb33.pdf</w:t>
      </w:r>
    </w:p>
    <w:p w14:paraId="35D8A2BE" w14:textId="77777777" w:rsidR="003157E9" w:rsidRDefault="003157E9" w:rsidP="00F777C6">
      <w:pPr>
        <w:rPr>
          <w:rFonts w:asciiTheme="majorHAnsi" w:eastAsiaTheme="majorEastAsia" w:hAnsiTheme="majorHAnsi" w:cstheme="majorBidi"/>
          <w:b/>
          <w:bCs/>
          <w:color w:val="365F91" w:themeColor="accent1" w:themeShade="BF"/>
          <w:sz w:val="28"/>
          <w:szCs w:val="28"/>
        </w:rPr>
      </w:pPr>
    </w:p>
    <w:sectPr w:rsidR="003157E9" w:rsidSect="00034616">
      <w:footerReference w:type="even" r:id="rId18"/>
      <w:footerReference w:type="default" r:id="rId19"/>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FC48E" w14:textId="77777777" w:rsidR="00594862" w:rsidRDefault="00594862" w:rsidP="0095212B">
      <w:pPr>
        <w:spacing w:after="0" w:line="240" w:lineRule="auto"/>
      </w:pPr>
      <w:r>
        <w:separator/>
      </w:r>
    </w:p>
  </w:endnote>
  <w:endnote w:type="continuationSeparator" w:id="0">
    <w:p w14:paraId="51C2B00C" w14:textId="77777777" w:rsidR="00594862" w:rsidRDefault="00594862" w:rsidP="00952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58109656"/>
      <w:docPartObj>
        <w:docPartGallery w:val="Page Numbers (Bottom of Page)"/>
        <w:docPartUnique/>
      </w:docPartObj>
    </w:sdtPr>
    <w:sdtContent>
      <w:p w14:paraId="60C7B4ED" w14:textId="658DFFD6" w:rsidR="00ED5929" w:rsidRDefault="00ED5929" w:rsidP="008E61B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123B7BF" w14:textId="77777777" w:rsidR="00ED5929" w:rsidRDefault="00ED5929" w:rsidP="00ED592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1FEC4" w14:textId="77777777" w:rsidR="008C2D57" w:rsidRDefault="008C2D57" w:rsidP="00102E57">
    <w:pPr>
      <w:pStyle w:val="Footer"/>
      <w:ind w:right="360"/>
    </w:pPr>
  </w:p>
  <w:p w14:paraId="34658A1F" w14:textId="73491940" w:rsidR="00ED5929" w:rsidRDefault="008C2D57" w:rsidP="00102E57">
    <w:pPr>
      <w:pStyle w:val="Footer"/>
      <w:ind w:right="360"/>
      <w:rPr>
        <w:rStyle w:val="PageNumber"/>
      </w:rPr>
    </w:pPr>
    <w:r>
      <w:t xml:space="preserve">New Loop </w:t>
    </w:r>
    <w:r w:rsidR="00102E57">
      <w:t>Policy Architecture</w:t>
    </w:r>
    <w:r>
      <w:t xml:space="preserve"> </w:t>
    </w:r>
    <w:r w:rsidR="00102E57">
      <w:ptab w:relativeTo="margin" w:alignment="center" w:leader="none"/>
    </w:r>
    <w:r w:rsidR="00102E57">
      <w:t>© 2026 Roger E. Ison. All rights reserved.  Draft 2026-03-</w:t>
    </w:r>
    <w:r w:rsidR="00AC40ED">
      <w:t>11</w:t>
    </w:r>
    <w:r w:rsidR="00102E57">
      <w:tab/>
    </w:r>
    <w:sdt>
      <w:sdtPr>
        <w:rPr>
          <w:rStyle w:val="PageNumber"/>
        </w:rPr>
        <w:id w:val="-79217906"/>
        <w:docPartObj>
          <w:docPartGallery w:val="Page Numbers (Bottom of Page)"/>
          <w:docPartUnique/>
        </w:docPartObj>
      </w:sdtPr>
      <w:sdtContent>
        <w:r w:rsidR="00ED5929">
          <w:rPr>
            <w:rStyle w:val="PageNumber"/>
          </w:rPr>
          <w:fldChar w:fldCharType="begin"/>
        </w:r>
        <w:r w:rsidR="00ED5929">
          <w:rPr>
            <w:rStyle w:val="PageNumber"/>
          </w:rPr>
          <w:instrText xml:space="preserve"> PAGE </w:instrText>
        </w:r>
        <w:r w:rsidR="00ED5929">
          <w:rPr>
            <w:rStyle w:val="PageNumber"/>
          </w:rPr>
          <w:fldChar w:fldCharType="separate"/>
        </w:r>
        <w:r w:rsidR="00ED5929">
          <w:rPr>
            <w:rStyle w:val="PageNumber"/>
            <w:noProof/>
          </w:rPr>
          <w:t>6</w:t>
        </w:r>
        <w:r w:rsidR="00ED5929">
          <w:rPr>
            <w:rStyle w:val="PageNumber"/>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3535C" w14:textId="77777777" w:rsidR="00594862" w:rsidRDefault="00594862" w:rsidP="0095212B">
      <w:pPr>
        <w:spacing w:after="0" w:line="240" w:lineRule="auto"/>
      </w:pPr>
      <w:r>
        <w:separator/>
      </w:r>
    </w:p>
  </w:footnote>
  <w:footnote w:type="continuationSeparator" w:id="0">
    <w:p w14:paraId="74C6BF90" w14:textId="77777777" w:rsidR="00594862" w:rsidRDefault="00594862" w:rsidP="009521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6119777">
    <w:abstractNumId w:val="8"/>
  </w:num>
  <w:num w:numId="2" w16cid:durableId="1703480366">
    <w:abstractNumId w:val="6"/>
  </w:num>
  <w:num w:numId="3" w16cid:durableId="1892426673">
    <w:abstractNumId w:val="5"/>
  </w:num>
  <w:num w:numId="4" w16cid:durableId="351415644">
    <w:abstractNumId w:val="4"/>
  </w:num>
  <w:num w:numId="5" w16cid:durableId="1277444562">
    <w:abstractNumId w:val="7"/>
  </w:num>
  <w:num w:numId="6" w16cid:durableId="248851139">
    <w:abstractNumId w:val="3"/>
  </w:num>
  <w:num w:numId="7" w16cid:durableId="2121291645">
    <w:abstractNumId w:val="2"/>
  </w:num>
  <w:num w:numId="8" w16cid:durableId="1038624765">
    <w:abstractNumId w:val="1"/>
  </w:num>
  <w:num w:numId="9" w16cid:durableId="796217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85F"/>
    <w:rsid w:val="00034616"/>
    <w:rsid w:val="00053FDE"/>
    <w:rsid w:val="0006063C"/>
    <w:rsid w:val="000D5941"/>
    <w:rsid w:val="000F6883"/>
    <w:rsid w:val="00102E57"/>
    <w:rsid w:val="001326E2"/>
    <w:rsid w:val="00134CE0"/>
    <w:rsid w:val="0015074B"/>
    <w:rsid w:val="001748C8"/>
    <w:rsid w:val="001A671E"/>
    <w:rsid w:val="001A6AEB"/>
    <w:rsid w:val="001C59D4"/>
    <w:rsid w:val="001E549C"/>
    <w:rsid w:val="001F27C1"/>
    <w:rsid w:val="00270C84"/>
    <w:rsid w:val="0029639D"/>
    <w:rsid w:val="002B7C0D"/>
    <w:rsid w:val="002F62CF"/>
    <w:rsid w:val="0031566B"/>
    <w:rsid w:val="003157E9"/>
    <w:rsid w:val="00326F90"/>
    <w:rsid w:val="00364858"/>
    <w:rsid w:val="003A3BA4"/>
    <w:rsid w:val="003A79A5"/>
    <w:rsid w:val="003C425C"/>
    <w:rsid w:val="003D4C46"/>
    <w:rsid w:val="00412C25"/>
    <w:rsid w:val="00415F95"/>
    <w:rsid w:val="00434684"/>
    <w:rsid w:val="0045166E"/>
    <w:rsid w:val="00464B00"/>
    <w:rsid w:val="00464CBB"/>
    <w:rsid w:val="004D0294"/>
    <w:rsid w:val="004E6650"/>
    <w:rsid w:val="004F6256"/>
    <w:rsid w:val="00514FDD"/>
    <w:rsid w:val="00580182"/>
    <w:rsid w:val="00594862"/>
    <w:rsid w:val="005A6B11"/>
    <w:rsid w:val="005B56F6"/>
    <w:rsid w:val="005C622E"/>
    <w:rsid w:val="005F55E0"/>
    <w:rsid w:val="00612BBF"/>
    <w:rsid w:val="00620252"/>
    <w:rsid w:val="00646C33"/>
    <w:rsid w:val="0065191B"/>
    <w:rsid w:val="006722C3"/>
    <w:rsid w:val="0074277D"/>
    <w:rsid w:val="00752A7D"/>
    <w:rsid w:val="00767AEA"/>
    <w:rsid w:val="00774CDA"/>
    <w:rsid w:val="007750FE"/>
    <w:rsid w:val="0079207D"/>
    <w:rsid w:val="007B082F"/>
    <w:rsid w:val="007B1A93"/>
    <w:rsid w:val="007C6132"/>
    <w:rsid w:val="007D44AB"/>
    <w:rsid w:val="007E28A2"/>
    <w:rsid w:val="007F620B"/>
    <w:rsid w:val="008C2D57"/>
    <w:rsid w:val="008D12DC"/>
    <w:rsid w:val="008E7E22"/>
    <w:rsid w:val="008F01AF"/>
    <w:rsid w:val="008F7888"/>
    <w:rsid w:val="00925996"/>
    <w:rsid w:val="0095212B"/>
    <w:rsid w:val="009B50E7"/>
    <w:rsid w:val="009D4247"/>
    <w:rsid w:val="00A02513"/>
    <w:rsid w:val="00A07C58"/>
    <w:rsid w:val="00A2045F"/>
    <w:rsid w:val="00AA1AC0"/>
    <w:rsid w:val="00AA1D8D"/>
    <w:rsid w:val="00AB6536"/>
    <w:rsid w:val="00AB6BD9"/>
    <w:rsid w:val="00AC3B05"/>
    <w:rsid w:val="00AC3BCC"/>
    <w:rsid w:val="00AC40ED"/>
    <w:rsid w:val="00AE3512"/>
    <w:rsid w:val="00AE4A1A"/>
    <w:rsid w:val="00AF7674"/>
    <w:rsid w:val="00B12606"/>
    <w:rsid w:val="00B47730"/>
    <w:rsid w:val="00B8068B"/>
    <w:rsid w:val="00BA6850"/>
    <w:rsid w:val="00BE66D3"/>
    <w:rsid w:val="00C06B81"/>
    <w:rsid w:val="00C073AC"/>
    <w:rsid w:val="00C10520"/>
    <w:rsid w:val="00C144CC"/>
    <w:rsid w:val="00C716D5"/>
    <w:rsid w:val="00C73DBD"/>
    <w:rsid w:val="00C872E6"/>
    <w:rsid w:val="00CB0664"/>
    <w:rsid w:val="00D234B4"/>
    <w:rsid w:val="00DA4A5C"/>
    <w:rsid w:val="00E667C9"/>
    <w:rsid w:val="00E70D7E"/>
    <w:rsid w:val="00E7277E"/>
    <w:rsid w:val="00ED5929"/>
    <w:rsid w:val="00EF0750"/>
    <w:rsid w:val="00EF5BF0"/>
    <w:rsid w:val="00F06D52"/>
    <w:rsid w:val="00F22B41"/>
    <w:rsid w:val="00F306B1"/>
    <w:rsid w:val="00F314BF"/>
    <w:rsid w:val="00F777C6"/>
    <w:rsid w:val="00F8454A"/>
    <w:rsid w:val="00FB762D"/>
    <w:rsid w:val="00FC693F"/>
    <w:rsid w:val="00FF67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D840EB2"/>
  <w14:defaultImageDpi w14:val="300"/>
  <w15:docId w15:val="{B2F0BFFF-5518-BD43-9980-12538E160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536"/>
    <w:rPr>
      <w:szCs w:val="20"/>
    </w:rPr>
  </w:style>
  <w:style w:type="paragraph" w:styleId="Heading1">
    <w:name w:val="heading 1"/>
    <w:basedOn w:val="Normal"/>
    <w:next w:val="Normal"/>
    <w:link w:val="Heading1Char"/>
    <w:uiPriority w:val="9"/>
    <w:qFormat/>
    <w:rsid w:val="001326E2"/>
    <w:pPr>
      <w:keepNext/>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Cs w:val="22"/>
    </w:rPr>
  </w:style>
  <w:style w:type="paragraph" w:styleId="Heading2">
    <w:name w:val="heading 2"/>
    <w:basedOn w:val="Normal"/>
    <w:next w:val="Normal"/>
    <w:link w:val="Heading2Char"/>
    <w:uiPriority w:val="9"/>
    <w:unhideWhenUsed/>
    <w:qFormat/>
    <w:rsid w:val="00B12606"/>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Cs w:val="22"/>
    </w:rPr>
  </w:style>
  <w:style w:type="paragraph" w:styleId="Heading3">
    <w:name w:val="heading 3"/>
    <w:basedOn w:val="Normal"/>
    <w:next w:val="Normal"/>
    <w:link w:val="Heading3Char"/>
    <w:uiPriority w:val="9"/>
    <w:unhideWhenUsed/>
    <w:qFormat/>
    <w:rsid w:val="00B12606"/>
    <w:pPr>
      <w:pBdr>
        <w:top w:val="single" w:sz="6" w:space="2" w:color="4F81BD" w:themeColor="accent1"/>
        <w:left w:val="single" w:sz="6" w:space="2" w:color="4F81BD" w:themeColor="accent1"/>
      </w:pBdr>
      <w:spacing w:before="300" w:after="0"/>
      <w:outlineLvl w:val="2"/>
    </w:pPr>
    <w:rPr>
      <w:caps/>
      <w:color w:val="243F60" w:themeColor="accent1" w:themeShade="7F"/>
      <w:spacing w:val="15"/>
      <w:szCs w:val="22"/>
    </w:rPr>
  </w:style>
  <w:style w:type="paragraph" w:styleId="Heading4">
    <w:name w:val="heading 4"/>
    <w:basedOn w:val="Normal"/>
    <w:next w:val="Normal"/>
    <w:link w:val="Heading4Char"/>
    <w:uiPriority w:val="9"/>
    <w:semiHidden/>
    <w:unhideWhenUsed/>
    <w:qFormat/>
    <w:rsid w:val="00B12606"/>
    <w:pPr>
      <w:pBdr>
        <w:top w:val="dotted" w:sz="6" w:space="2" w:color="4F81BD" w:themeColor="accent1"/>
        <w:left w:val="dotted" w:sz="6" w:space="2" w:color="4F81BD" w:themeColor="accent1"/>
      </w:pBdr>
      <w:spacing w:before="300" w:after="0"/>
      <w:outlineLvl w:val="3"/>
    </w:pPr>
    <w:rPr>
      <w:caps/>
      <w:color w:val="365F91" w:themeColor="accent1" w:themeShade="BF"/>
      <w:spacing w:val="10"/>
      <w:szCs w:val="22"/>
    </w:rPr>
  </w:style>
  <w:style w:type="paragraph" w:styleId="Heading5">
    <w:name w:val="heading 5"/>
    <w:basedOn w:val="Normal"/>
    <w:next w:val="Normal"/>
    <w:link w:val="Heading5Char"/>
    <w:uiPriority w:val="9"/>
    <w:semiHidden/>
    <w:unhideWhenUsed/>
    <w:qFormat/>
    <w:rsid w:val="00B12606"/>
    <w:pPr>
      <w:pBdr>
        <w:bottom w:val="single" w:sz="6" w:space="1" w:color="4F81BD" w:themeColor="accent1"/>
      </w:pBdr>
      <w:spacing w:before="300" w:after="0"/>
      <w:outlineLvl w:val="4"/>
    </w:pPr>
    <w:rPr>
      <w:caps/>
      <w:color w:val="365F91" w:themeColor="accent1" w:themeShade="BF"/>
      <w:spacing w:val="10"/>
      <w:szCs w:val="22"/>
    </w:rPr>
  </w:style>
  <w:style w:type="paragraph" w:styleId="Heading6">
    <w:name w:val="heading 6"/>
    <w:basedOn w:val="Normal"/>
    <w:next w:val="Normal"/>
    <w:link w:val="Heading6Char"/>
    <w:uiPriority w:val="9"/>
    <w:semiHidden/>
    <w:unhideWhenUsed/>
    <w:qFormat/>
    <w:rsid w:val="00B12606"/>
    <w:pPr>
      <w:pBdr>
        <w:bottom w:val="dotted" w:sz="6" w:space="1" w:color="4F81BD" w:themeColor="accent1"/>
      </w:pBdr>
      <w:spacing w:before="300" w:after="0"/>
      <w:outlineLvl w:val="5"/>
    </w:pPr>
    <w:rPr>
      <w:caps/>
      <w:color w:val="365F91" w:themeColor="accent1" w:themeShade="BF"/>
      <w:spacing w:val="10"/>
      <w:szCs w:val="22"/>
    </w:rPr>
  </w:style>
  <w:style w:type="paragraph" w:styleId="Heading7">
    <w:name w:val="heading 7"/>
    <w:basedOn w:val="Normal"/>
    <w:next w:val="Normal"/>
    <w:link w:val="Heading7Char"/>
    <w:uiPriority w:val="9"/>
    <w:semiHidden/>
    <w:unhideWhenUsed/>
    <w:qFormat/>
    <w:rsid w:val="00B12606"/>
    <w:pPr>
      <w:spacing w:before="300" w:after="0"/>
      <w:outlineLvl w:val="6"/>
    </w:pPr>
    <w:rPr>
      <w:caps/>
      <w:color w:val="365F91" w:themeColor="accent1" w:themeShade="BF"/>
      <w:spacing w:val="10"/>
      <w:szCs w:val="22"/>
    </w:rPr>
  </w:style>
  <w:style w:type="paragraph" w:styleId="Heading8">
    <w:name w:val="heading 8"/>
    <w:basedOn w:val="Normal"/>
    <w:next w:val="Normal"/>
    <w:link w:val="Heading8Char"/>
    <w:uiPriority w:val="9"/>
    <w:semiHidden/>
    <w:unhideWhenUsed/>
    <w:qFormat/>
    <w:rsid w:val="00B12606"/>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12606"/>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B12606"/>
    <w:pPr>
      <w:spacing w:before="0" w:after="0" w:line="240" w:lineRule="auto"/>
    </w:pPr>
  </w:style>
  <w:style w:type="character" w:customStyle="1" w:styleId="Heading1Char">
    <w:name w:val="Heading 1 Char"/>
    <w:basedOn w:val="DefaultParagraphFont"/>
    <w:link w:val="Heading1"/>
    <w:uiPriority w:val="9"/>
    <w:rsid w:val="001326E2"/>
    <w:rPr>
      <w:b/>
      <w:bCs/>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B12606"/>
    <w:rPr>
      <w:caps/>
      <w:spacing w:val="15"/>
      <w:shd w:val="clear" w:color="auto" w:fill="DBE5F1" w:themeFill="accent1" w:themeFillTint="33"/>
    </w:rPr>
  </w:style>
  <w:style w:type="character" w:customStyle="1" w:styleId="Heading3Char">
    <w:name w:val="Heading 3 Char"/>
    <w:basedOn w:val="DefaultParagraphFont"/>
    <w:link w:val="Heading3"/>
    <w:uiPriority w:val="9"/>
    <w:rsid w:val="00B12606"/>
    <w:rPr>
      <w:caps/>
      <w:color w:val="243F60" w:themeColor="accent1" w:themeShade="7F"/>
      <w:spacing w:val="15"/>
    </w:rPr>
  </w:style>
  <w:style w:type="paragraph" w:styleId="Title">
    <w:name w:val="Title"/>
    <w:basedOn w:val="Normal"/>
    <w:next w:val="Normal"/>
    <w:link w:val="TitleChar"/>
    <w:uiPriority w:val="10"/>
    <w:qFormat/>
    <w:rsid w:val="00B12606"/>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B12606"/>
    <w:rPr>
      <w:caps/>
      <w:color w:val="4F81BD" w:themeColor="accent1"/>
      <w:spacing w:val="10"/>
      <w:kern w:val="28"/>
      <w:sz w:val="52"/>
      <w:szCs w:val="52"/>
    </w:rPr>
  </w:style>
  <w:style w:type="paragraph" w:styleId="Subtitle">
    <w:name w:val="Subtitle"/>
    <w:basedOn w:val="Normal"/>
    <w:next w:val="Normal"/>
    <w:link w:val="SubtitleChar"/>
    <w:uiPriority w:val="11"/>
    <w:qFormat/>
    <w:rsid w:val="00B12606"/>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B12606"/>
    <w:rPr>
      <w:caps/>
      <w:color w:val="595959" w:themeColor="text1" w:themeTint="A6"/>
      <w:spacing w:val="10"/>
      <w:sz w:val="24"/>
      <w:szCs w:val="24"/>
    </w:rPr>
  </w:style>
  <w:style w:type="paragraph" w:styleId="ListParagraph">
    <w:name w:val="List Paragraph"/>
    <w:basedOn w:val="Normal"/>
    <w:uiPriority w:val="34"/>
    <w:qFormat/>
    <w:rsid w:val="00B12606"/>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B12606"/>
    <w:rPr>
      <w:i/>
      <w:iCs/>
    </w:rPr>
  </w:style>
  <w:style w:type="character" w:customStyle="1" w:styleId="QuoteChar">
    <w:name w:val="Quote Char"/>
    <w:basedOn w:val="DefaultParagraphFont"/>
    <w:link w:val="Quote"/>
    <w:uiPriority w:val="29"/>
    <w:rsid w:val="00B12606"/>
    <w:rPr>
      <w:i/>
      <w:iCs/>
      <w:sz w:val="20"/>
      <w:szCs w:val="20"/>
    </w:rPr>
  </w:style>
  <w:style w:type="character" w:customStyle="1" w:styleId="Heading4Char">
    <w:name w:val="Heading 4 Char"/>
    <w:basedOn w:val="DefaultParagraphFont"/>
    <w:link w:val="Heading4"/>
    <w:uiPriority w:val="9"/>
    <w:semiHidden/>
    <w:rsid w:val="00B12606"/>
    <w:rPr>
      <w:caps/>
      <w:color w:val="365F91" w:themeColor="accent1" w:themeShade="BF"/>
      <w:spacing w:val="10"/>
    </w:rPr>
  </w:style>
  <w:style w:type="character" w:customStyle="1" w:styleId="Heading5Char">
    <w:name w:val="Heading 5 Char"/>
    <w:basedOn w:val="DefaultParagraphFont"/>
    <w:link w:val="Heading5"/>
    <w:uiPriority w:val="9"/>
    <w:semiHidden/>
    <w:rsid w:val="00B12606"/>
    <w:rPr>
      <w:caps/>
      <w:color w:val="365F91" w:themeColor="accent1" w:themeShade="BF"/>
      <w:spacing w:val="10"/>
    </w:rPr>
  </w:style>
  <w:style w:type="character" w:customStyle="1" w:styleId="Heading6Char">
    <w:name w:val="Heading 6 Char"/>
    <w:basedOn w:val="DefaultParagraphFont"/>
    <w:link w:val="Heading6"/>
    <w:uiPriority w:val="9"/>
    <w:semiHidden/>
    <w:rsid w:val="00B12606"/>
    <w:rPr>
      <w:caps/>
      <w:color w:val="365F91" w:themeColor="accent1" w:themeShade="BF"/>
      <w:spacing w:val="10"/>
    </w:rPr>
  </w:style>
  <w:style w:type="character" w:customStyle="1" w:styleId="Heading7Char">
    <w:name w:val="Heading 7 Char"/>
    <w:basedOn w:val="DefaultParagraphFont"/>
    <w:link w:val="Heading7"/>
    <w:uiPriority w:val="9"/>
    <w:semiHidden/>
    <w:rsid w:val="00B12606"/>
    <w:rPr>
      <w:caps/>
      <w:color w:val="365F91" w:themeColor="accent1" w:themeShade="BF"/>
      <w:spacing w:val="10"/>
    </w:rPr>
  </w:style>
  <w:style w:type="character" w:customStyle="1" w:styleId="Heading8Char">
    <w:name w:val="Heading 8 Char"/>
    <w:basedOn w:val="DefaultParagraphFont"/>
    <w:link w:val="Heading8"/>
    <w:uiPriority w:val="9"/>
    <w:semiHidden/>
    <w:rsid w:val="00B12606"/>
    <w:rPr>
      <w:caps/>
      <w:spacing w:val="10"/>
      <w:sz w:val="18"/>
      <w:szCs w:val="18"/>
    </w:rPr>
  </w:style>
  <w:style w:type="character" w:customStyle="1" w:styleId="Heading9Char">
    <w:name w:val="Heading 9 Char"/>
    <w:basedOn w:val="DefaultParagraphFont"/>
    <w:link w:val="Heading9"/>
    <w:uiPriority w:val="9"/>
    <w:semiHidden/>
    <w:rsid w:val="00B12606"/>
    <w:rPr>
      <w:i/>
      <w:caps/>
      <w:spacing w:val="10"/>
      <w:sz w:val="18"/>
      <w:szCs w:val="18"/>
    </w:rPr>
  </w:style>
  <w:style w:type="paragraph" w:styleId="Caption">
    <w:name w:val="caption"/>
    <w:basedOn w:val="Normal"/>
    <w:next w:val="Normal"/>
    <w:uiPriority w:val="35"/>
    <w:semiHidden/>
    <w:unhideWhenUsed/>
    <w:qFormat/>
    <w:rsid w:val="00B12606"/>
    <w:rPr>
      <w:b/>
      <w:bCs/>
      <w:color w:val="365F91" w:themeColor="accent1" w:themeShade="BF"/>
      <w:sz w:val="16"/>
      <w:szCs w:val="16"/>
    </w:rPr>
  </w:style>
  <w:style w:type="character" w:styleId="Strong">
    <w:name w:val="Strong"/>
    <w:uiPriority w:val="22"/>
    <w:qFormat/>
    <w:rsid w:val="00B12606"/>
    <w:rPr>
      <w:b/>
      <w:bCs/>
    </w:rPr>
  </w:style>
  <w:style w:type="character" w:styleId="Emphasis">
    <w:name w:val="Emphasis"/>
    <w:uiPriority w:val="20"/>
    <w:qFormat/>
    <w:rsid w:val="00B12606"/>
    <w:rPr>
      <w:caps/>
      <w:color w:val="243F60" w:themeColor="accent1" w:themeShade="7F"/>
      <w:spacing w:val="5"/>
    </w:rPr>
  </w:style>
  <w:style w:type="paragraph" w:styleId="IntenseQuote">
    <w:name w:val="Intense Quote"/>
    <w:basedOn w:val="Normal"/>
    <w:next w:val="Normal"/>
    <w:link w:val="IntenseQuoteChar"/>
    <w:uiPriority w:val="30"/>
    <w:qFormat/>
    <w:rsid w:val="00B12606"/>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B12606"/>
    <w:rPr>
      <w:i/>
      <w:iCs/>
      <w:color w:val="4F81BD" w:themeColor="accent1"/>
      <w:sz w:val="20"/>
      <w:szCs w:val="20"/>
    </w:rPr>
  </w:style>
  <w:style w:type="character" w:styleId="SubtleEmphasis">
    <w:name w:val="Subtle Emphasis"/>
    <w:uiPriority w:val="19"/>
    <w:qFormat/>
    <w:rsid w:val="00B12606"/>
    <w:rPr>
      <w:i/>
      <w:iCs/>
      <w:color w:val="243F60" w:themeColor="accent1" w:themeShade="7F"/>
    </w:rPr>
  </w:style>
  <w:style w:type="character" w:styleId="IntenseEmphasis">
    <w:name w:val="Intense Emphasis"/>
    <w:uiPriority w:val="21"/>
    <w:qFormat/>
    <w:rsid w:val="00B12606"/>
    <w:rPr>
      <w:b/>
      <w:bCs/>
      <w:caps/>
      <w:color w:val="243F60" w:themeColor="accent1" w:themeShade="7F"/>
      <w:spacing w:val="10"/>
    </w:rPr>
  </w:style>
  <w:style w:type="character" w:styleId="SubtleReference">
    <w:name w:val="Subtle Reference"/>
    <w:uiPriority w:val="31"/>
    <w:qFormat/>
    <w:rsid w:val="00B12606"/>
    <w:rPr>
      <w:b/>
      <w:bCs/>
      <w:color w:val="4F81BD" w:themeColor="accent1"/>
    </w:rPr>
  </w:style>
  <w:style w:type="character" w:styleId="IntenseReference">
    <w:name w:val="Intense Reference"/>
    <w:uiPriority w:val="32"/>
    <w:qFormat/>
    <w:rsid w:val="00B12606"/>
    <w:rPr>
      <w:b/>
      <w:bCs/>
      <w:i/>
      <w:iCs/>
      <w:caps/>
      <w:color w:val="4F81BD" w:themeColor="accent1"/>
    </w:rPr>
  </w:style>
  <w:style w:type="character" w:styleId="BookTitle">
    <w:name w:val="Book Title"/>
    <w:uiPriority w:val="33"/>
    <w:qFormat/>
    <w:rsid w:val="00B12606"/>
    <w:rPr>
      <w:b/>
      <w:bCs/>
      <w:i/>
      <w:iCs/>
      <w:spacing w:val="9"/>
    </w:rPr>
  </w:style>
  <w:style w:type="paragraph" w:styleId="TOCHeading">
    <w:name w:val="TOC Heading"/>
    <w:basedOn w:val="Heading1"/>
    <w:next w:val="Normal"/>
    <w:uiPriority w:val="39"/>
    <w:semiHidden/>
    <w:unhideWhenUsed/>
    <w:qFormat/>
    <w:rsid w:val="00B12606"/>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2">
    <w:name w:val="p2"/>
    <w:basedOn w:val="Normal"/>
    <w:rsid w:val="00AC3B05"/>
    <w:pPr>
      <w:spacing w:before="100" w:beforeAutospacing="1" w:after="100" w:afterAutospacing="1" w:line="240" w:lineRule="auto"/>
    </w:pPr>
    <w:rPr>
      <w:rFonts w:cs="Times New Roman"/>
      <w:sz w:val="24"/>
      <w:szCs w:val="24"/>
    </w:rPr>
  </w:style>
  <w:style w:type="paragraph" w:customStyle="1" w:styleId="p3">
    <w:name w:val="p3"/>
    <w:basedOn w:val="Normal"/>
    <w:rsid w:val="00AC3B05"/>
    <w:pPr>
      <w:spacing w:before="100" w:beforeAutospacing="1" w:after="100" w:afterAutospacing="1" w:line="240" w:lineRule="auto"/>
    </w:pPr>
    <w:rPr>
      <w:rFonts w:cs="Times New Roman"/>
      <w:sz w:val="24"/>
      <w:szCs w:val="24"/>
    </w:rPr>
  </w:style>
  <w:style w:type="paragraph" w:customStyle="1" w:styleId="p1">
    <w:name w:val="p1"/>
    <w:basedOn w:val="Normal"/>
    <w:rsid w:val="00AC3B05"/>
    <w:pPr>
      <w:spacing w:before="100" w:beforeAutospacing="1" w:after="100" w:afterAutospacing="1" w:line="240" w:lineRule="auto"/>
    </w:pPr>
    <w:rPr>
      <w:rFonts w:cs="Times New Roman"/>
      <w:sz w:val="24"/>
      <w:szCs w:val="24"/>
    </w:rPr>
  </w:style>
  <w:style w:type="paragraph" w:styleId="FootnoteText">
    <w:name w:val="footnote text"/>
    <w:basedOn w:val="Normal"/>
    <w:link w:val="FootnoteTextChar"/>
    <w:uiPriority w:val="99"/>
    <w:semiHidden/>
    <w:unhideWhenUsed/>
    <w:rsid w:val="0095212B"/>
    <w:pPr>
      <w:spacing w:after="0" w:line="240" w:lineRule="auto"/>
    </w:pPr>
  </w:style>
  <w:style w:type="character" w:customStyle="1" w:styleId="FootnoteTextChar">
    <w:name w:val="Footnote Text Char"/>
    <w:basedOn w:val="DefaultParagraphFont"/>
    <w:link w:val="FootnoteText"/>
    <w:uiPriority w:val="99"/>
    <w:semiHidden/>
    <w:rsid w:val="0095212B"/>
    <w:rPr>
      <w:sz w:val="20"/>
      <w:szCs w:val="20"/>
    </w:rPr>
  </w:style>
  <w:style w:type="character" w:styleId="FootnoteReference">
    <w:name w:val="footnote reference"/>
    <w:basedOn w:val="DefaultParagraphFont"/>
    <w:uiPriority w:val="99"/>
    <w:semiHidden/>
    <w:unhideWhenUsed/>
    <w:rsid w:val="0095212B"/>
    <w:rPr>
      <w:vertAlign w:val="superscript"/>
    </w:rPr>
  </w:style>
  <w:style w:type="character" w:styleId="PageNumber">
    <w:name w:val="page number"/>
    <w:basedOn w:val="DefaultParagraphFont"/>
    <w:uiPriority w:val="99"/>
    <w:semiHidden/>
    <w:unhideWhenUsed/>
    <w:rsid w:val="00ED5929"/>
  </w:style>
  <w:style w:type="character" w:customStyle="1" w:styleId="NoSpacingChar">
    <w:name w:val="No Spacing Char"/>
    <w:basedOn w:val="DefaultParagraphFont"/>
    <w:link w:val="NoSpacing"/>
    <w:uiPriority w:val="1"/>
    <w:rsid w:val="00B12606"/>
    <w:rPr>
      <w:sz w:val="20"/>
      <w:szCs w:val="20"/>
    </w:rPr>
  </w:style>
  <w:style w:type="paragraph" w:customStyle="1" w:styleId="RefEntry">
    <w:name w:val="RefEntry"/>
    <w:basedOn w:val="Normal"/>
    <w:rsid w:val="003157E9"/>
    <w:pPr>
      <w:spacing w:before="0" w:after="120" w:line="269" w:lineRule="auto"/>
      <w:ind w:left="504" w:hanging="317"/>
    </w:pPr>
    <w:rPr>
      <w:rFonts w:ascii="Calibri" w:hAnsi="Calibri"/>
      <w:sz w:val="21"/>
      <w:szCs w:val="22"/>
    </w:rPr>
  </w:style>
  <w:style w:type="paragraph" w:customStyle="1" w:styleId="SectionHeadCustom">
    <w:name w:val="SectionHeadCustom"/>
    <w:basedOn w:val="Heading1"/>
    <w:rsid w:val="003157E9"/>
    <w:pPr>
      <w:keepLines/>
      <w:pBdr>
        <w:top w:val="none" w:sz="0" w:space="0" w:color="auto"/>
        <w:left w:val="none" w:sz="0" w:space="0" w:color="auto"/>
        <w:bottom w:val="none" w:sz="0" w:space="0" w:color="auto"/>
        <w:right w:val="none" w:sz="0" w:space="0" w:color="auto"/>
      </w:pBdr>
      <w:shd w:val="clear" w:color="auto" w:fill="auto"/>
      <w:spacing w:after="80"/>
    </w:pPr>
    <w:rPr>
      <w:rFonts w:ascii="Calibri" w:eastAsiaTheme="majorEastAsia" w:hAnsi="Calibri" w:cstheme="majorBidi"/>
      <w:caps w:val="0"/>
      <w:color w:val="1F4E79"/>
      <w:spacing w:val="0"/>
      <w:sz w:val="26"/>
      <w:szCs w:val="28"/>
    </w:rPr>
  </w:style>
  <w:style w:type="character" w:styleId="Hyperlink">
    <w:name w:val="Hyperlink"/>
    <w:basedOn w:val="DefaultParagraphFont"/>
    <w:uiPriority w:val="99"/>
    <w:unhideWhenUsed/>
    <w:rsid w:val="00C144CC"/>
    <w:rPr>
      <w:color w:val="0000FF" w:themeColor="hyperlink"/>
      <w:u w:val="single"/>
    </w:rPr>
  </w:style>
  <w:style w:type="character" w:styleId="UnresolvedMention">
    <w:name w:val="Unresolved Mention"/>
    <w:basedOn w:val="DefaultParagraphFont"/>
    <w:uiPriority w:val="99"/>
    <w:semiHidden/>
    <w:unhideWhenUsed/>
    <w:rsid w:val="00C144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loop.streamlit.app"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6611</Words>
  <Characters>39470</Characters>
  <Application>Microsoft Office Word</Application>
  <DocSecurity>0</DocSecurity>
  <Lines>598</Lines>
  <Paragraphs>216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Ison</cp:lastModifiedBy>
  <cp:revision>3</cp:revision>
  <cp:lastPrinted>2026-03-11T16:22:00Z</cp:lastPrinted>
  <dcterms:created xsi:type="dcterms:W3CDTF">2026-03-11T16:22:00Z</dcterms:created>
  <dcterms:modified xsi:type="dcterms:W3CDTF">2026-03-11T16:22:00Z</dcterms:modified>
  <cp:category/>
</cp:coreProperties>
</file>