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4EDD3" w14:textId="77777777" w:rsidR="00284261" w:rsidRPr="006C73F3" w:rsidRDefault="00284261" w:rsidP="00284261">
      <w:pPr>
        <w:rPr>
          <w:rFonts w:ascii="Cambria" w:hAnsi="Cambria"/>
        </w:rPr>
      </w:pPr>
      <w:r w:rsidRPr="006C73F3">
        <w:rPr>
          <w:rFonts w:ascii="Cambria" w:hAnsi="Cambria"/>
        </w:rPr>
        <w:t>BRIEF: THE NEW LOOP</w:t>
      </w:r>
    </w:p>
    <w:p w14:paraId="77704167" w14:textId="77777777" w:rsidR="00284261" w:rsidRPr="006C73F3" w:rsidRDefault="00284261" w:rsidP="00284261">
      <w:pPr>
        <w:rPr>
          <w:rFonts w:ascii="Cambria" w:hAnsi="Cambria"/>
        </w:rPr>
      </w:pPr>
      <w:r w:rsidRPr="006C73F3">
        <w:rPr>
          <w:rFonts w:ascii="Cambria" w:hAnsi="Cambria"/>
        </w:rPr>
        <w:t>The New Loop is a macroeconomic redesign for an age of intelligent automation. Its purpose is simple: keep income, consumption, capital formation, and political legitimacy functioning as labor income becomes a smaller share of the economy.</w:t>
      </w:r>
    </w:p>
    <w:p w14:paraId="5443B3CD" w14:textId="77777777" w:rsidR="00284261" w:rsidRPr="006C73F3" w:rsidRDefault="00284261" w:rsidP="00284261">
      <w:pPr>
        <w:rPr>
          <w:rFonts w:ascii="Cambria" w:hAnsi="Cambria"/>
        </w:rPr>
      </w:pPr>
      <w:r w:rsidRPr="006C73F3">
        <w:rPr>
          <w:rFonts w:ascii="Cambria" w:hAnsi="Cambria"/>
        </w:rPr>
        <w:t>Advanced automation threatens to break the old capitalist loop. As machines and software substitute for labor, less income flows through wages and more flows to capital. Productive capacity can keep rising even as mass purchasing power weakens. The economy becomes less able to buy what it can produce. That is not a problem any single policy can solve.</w:t>
      </w:r>
    </w:p>
    <w:p w14:paraId="21A85217" w14:textId="77777777" w:rsidR="00284261" w:rsidRPr="006C73F3" w:rsidRDefault="00284261" w:rsidP="00284261">
      <w:pPr>
        <w:rPr>
          <w:rFonts w:ascii="Cambria" w:hAnsi="Cambria"/>
        </w:rPr>
      </w:pPr>
      <w:r w:rsidRPr="006C73F3">
        <w:rPr>
          <w:rFonts w:ascii="Cambria" w:hAnsi="Cambria"/>
        </w:rPr>
        <w:t>Yet most discussion of automation’s economic effects remains fragmented. Universal Basic Income is debated in isolation. Wealth taxes are debated in isolation. Retraining is debated in isolation. But the transition will not arrive one policy at a time. It will arrive as a system-wide stress on household income, demand, debt, fiscal capacity, and political legitimacy.</w:t>
      </w:r>
    </w:p>
    <w:p w14:paraId="3A78F3A8" w14:textId="77777777" w:rsidR="00284261" w:rsidRPr="006C73F3" w:rsidRDefault="00284261" w:rsidP="00284261">
      <w:pPr>
        <w:rPr>
          <w:rFonts w:ascii="Cambria" w:hAnsi="Cambria"/>
        </w:rPr>
      </w:pPr>
      <w:r w:rsidRPr="006C73F3">
        <w:rPr>
          <w:rFonts w:ascii="Cambria" w:hAnsi="Cambria"/>
        </w:rPr>
        <w:t>The New Loop answers with a system, not a slogan.</w:t>
      </w:r>
    </w:p>
    <w:p w14:paraId="1D3AA174" w14:textId="1DB5263F" w:rsidR="00284261" w:rsidRPr="006C73F3" w:rsidRDefault="00284261" w:rsidP="00284261">
      <w:pPr>
        <w:rPr>
          <w:rFonts w:ascii="Cambria" w:hAnsi="Cambria"/>
        </w:rPr>
      </w:pPr>
      <w:r w:rsidRPr="006C73F3">
        <w:rPr>
          <w:rFonts w:ascii="Cambria" w:hAnsi="Cambria"/>
        </w:rPr>
        <w:t xml:space="preserve">Five mechanisms work </w:t>
      </w:r>
      <w:proofErr w:type="gramStart"/>
      <w:r w:rsidRPr="006C73F3">
        <w:rPr>
          <w:rFonts w:ascii="Cambria" w:hAnsi="Cambria"/>
        </w:rPr>
        <w:t>together,</w:t>
      </w:r>
      <w:proofErr w:type="gramEnd"/>
      <w:r w:rsidRPr="006C73F3">
        <w:rPr>
          <w:rFonts w:ascii="Cambria" w:hAnsi="Cambria"/>
        </w:rPr>
        <w:t xml:space="preserve"> each aimed at a distinct failure mode. A Public Trust Fund gradually broadens equity ownership without nationalizing industry. </w:t>
      </w:r>
      <w:r w:rsidR="00FB3502">
        <w:rPr>
          <w:rFonts w:ascii="Cambria" w:hAnsi="Cambria"/>
        </w:rPr>
        <w:t xml:space="preserve">Income support </w:t>
      </w:r>
      <w:r w:rsidRPr="006C73F3">
        <w:rPr>
          <w:rFonts w:ascii="Cambria" w:hAnsi="Cambria"/>
        </w:rPr>
        <w:t>restores an income floor as wages become less reliable. A VAT with a low-income rebate captures revenue in an economy where labor income is no longer the main taxable base. A corporate tax that rises automatically as the wage share falls helps rebalance the system as automation advances. Mortgage indexation, paired with government make-whole payments, prevents structural deflation from crushing households with legacy fixed debt while keeping banks whole.</w:t>
      </w:r>
    </w:p>
    <w:p w14:paraId="4B797681" w14:textId="70F84D9A" w:rsidR="00284261" w:rsidRPr="006C73F3" w:rsidRDefault="00284261" w:rsidP="00284261">
      <w:pPr>
        <w:rPr>
          <w:rFonts w:ascii="Cambria" w:hAnsi="Cambria"/>
        </w:rPr>
      </w:pPr>
      <w:r w:rsidRPr="006C73F3">
        <w:rPr>
          <w:rFonts w:ascii="Cambria" w:hAnsi="Cambria"/>
        </w:rPr>
        <w:t xml:space="preserve">These mechanisms reinforce one another. The Trust Fund helps finance </w:t>
      </w:r>
      <w:r w:rsidR="00FB3502">
        <w:rPr>
          <w:rFonts w:ascii="Cambria" w:hAnsi="Cambria"/>
        </w:rPr>
        <w:t>income support</w:t>
      </w:r>
      <w:r w:rsidRPr="006C73F3">
        <w:rPr>
          <w:rFonts w:ascii="Cambria" w:hAnsi="Cambria"/>
        </w:rPr>
        <w:t>. VAT provides a tax base that does not depend on wage growth. Mortgage indexation blocks a debt-deflation spiral that could otherwise destabilize the entire transition. Together, they form a new loop linking production, income, consumption, and investment.</w:t>
      </w:r>
    </w:p>
    <w:p w14:paraId="4AC8EEDC" w14:textId="1B0F5A3D" w:rsidR="00284261" w:rsidRPr="006C73F3" w:rsidRDefault="00284261" w:rsidP="00284261">
      <w:pPr>
        <w:rPr>
          <w:rFonts w:ascii="Cambria" w:hAnsi="Cambria"/>
        </w:rPr>
      </w:pPr>
      <w:r w:rsidRPr="006C73F3">
        <w:rPr>
          <w:rFonts w:ascii="Cambria" w:hAnsi="Cambria"/>
        </w:rPr>
        <w:t>The framework is implemented in a public stock-flow consistent computational model. It is</w:t>
      </w:r>
      <w:r w:rsidR="00FB3502">
        <w:rPr>
          <w:rFonts w:ascii="Cambria" w:hAnsi="Cambria"/>
        </w:rPr>
        <w:t xml:space="preserve"> </w:t>
      </w:r>
      <w:r w:rsidRPr="006C73F3">
        <w:rPr>
          <w:rFonts w:ascii="Cambria" w:hAnsi="Cambria"/>
        </w:rPr>
        <w:t>parameterized</w:t>
      </w:r>
      <w:r w:rsidR="00FB3502">
        <w:rPr>
          <w:rFonts w:ascii="Cambria" w:hAnsi="Cambria"/>
        </w:rPr>
        <w:t xml:space="preserve"> </w:t>
      </w:r>
      <w:r w:rsidRPr="006C73F3">
        <w:rPr>
          <w:rFonts w:ascii="Cambria" w:hAnsi="Cambria"/>
        </w:rPr>
        <w:t>and interactive. Users can change assumptions and observe the results over a twenty-year transition. In the model, the full package allows real incomes and consumption to recover after an initial deflationary shock, improves disposable-income inequality substantially, and does so without dramatically confiscating existing wealth</w:t>
      </w:r>
    </w:p>
    <w:p w14:paraId="673A0D6F" w14:textId="07AA27DB" w:rsidR="00284261" w:rsidRPr="006C73F3" w:rsidRDefault="00284261" w:rsidP="00284261">
      <w:pPr>
        <w:rPr>
          <w:rFonts w:ascii="Cambria" w:hAnsi="Cambria"/>
        </w:rPr>
      </w:pPr>
      <w:r w:rsidRPr="006C73F3">
        <w:rPr>
          <w:rFonts w:ascii="Cambria" w:hAnsi="Cambria"/>
        </w:rPr>
        <w:t>This is not post-capitalism. It is capitalism with a redesigned loop.</w:t>
      </w:r>
    </w:p>
    <w:p w14:paraId="0B7040EB" w14:textId="44A4196D" w:rsidR="00F1012B" w:rsidRPr="006C73F3" w:rsidRDefault="00284261" w:rsidP="00284261">
      <w:pPr>
        <w:rPr>
          <w:rFonts w:ascii="Cambria" w:hAnsi="Cambria"/>
        </w:rPr>
      </w:pPr>
      <w:r w:rsidRPr="006C73F3">
        <w:rPr>
          <w:rFonts w:ascii="Cambria" w:hAnsi="Cambria"/>
        </w:rPr>
        <w:t xml:space="preserve">The transition will be politically difficult. But the failure modes of doing nothing are already visible on the horizon: weak demand, deflation, and instability. </w:t>
      </w:r>
      <w:r w:rsidR="006C73F3">
        <w:rPr>
          <w:rFonts w:ascii="Cambria" w:hAnsi="Cambria"/>
        </w:rPr>
        <w:t>Do</w:t>
      </w:r>
      <w:r w:rsidRPr="006C73F3">
        <w:rPr>
          <w:rFonts w:ascii="Cambria" w:hAnsi="Cambria"/>
        </w:rPr>
        <w:t xml:space="preserve"> we design</w:t>
      </w:r>
      <w:r w:rsidR="006C73F3">
        <w:rPr>
          <w:rFonts w:ascii="Cambria" w:hAnsi="Cambria"/>
        </w:rPr>
        <w:t xml:space="preserve"> and plan</w:t>
      </w:r>
      <w:r w:rsidRPr="006C73F3">
        <w:rPr>
          <w:rFonts w:ascii="Cambria" w:hAnsi="Cambria"/>
        </w:rPr>
        <w:t xml:space="preserve"> for the transition, or </w:t>
      </w:r>
      <w:r w:rsidR="006C73F3">
        <w:rPr>
          <w:rFonts w:ascii="Cambria" w:hAnsi="Cambria"/>
        </w:rPr>
        <w:t>just</w:t>
      </w:r>
      <w:r w:rsidRPr="006C73F3">
        <w:rPr>
          <w:rFonts w:ascii="Cambria" w:hAnsi="Cambria"/>
        </w:rPr>
        <w:t xml:space="preserve"> react to it</w:t>
      </w:r>
      <w:r w:rsidR="006C73F3">
        <w:rPr>
          <w:rFonts w:ascii="Cambria" w:hAnsi="Cambria"/>
        </w:rPr>
        <w:t>?</w:t>
      </w:r>
    </w:p>
    <w:sectPr w:rsidR="00F1012B" w:rsidRPr="006C7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232"/>
    <w:rsid w:val="00085DA2"/>
    <w:rsid w:val="0021203D"/>
    <w:rsid w:val="00284261"/>
    <w:rsid w:val="002F494E"/>
    <w:rsid w:val="0033716B"/>
    <w:rsid w:val="00382C6F"/>
    <w:rsid w:val="00473B93"/>
    <w:rsid w:val="004D0294"/>
    <w:rsid w:val="0053784C"/>
    <w:rsid w:val="006722C3"/>
    <w:rsid w:val="006C73F3"/>
    <w:rsid w:val="00735232"/>
    <w:rsid w:val="0074544F"/>
    <w:rsid w:val="00836B76"/>
    <w:rsid w:val="009F2EDB"/>
    <w:rsid w:val="00A0051A"/>
    <w:rsid w:val="00A1038A"/>
    <w:rsid w:val="00AA798E"/>
    <w:rsid w:val="00BC1A25"/>
    <w:rsid w:val="00CE0E9A"/>
    <w:rsid w:val="00D129E1"/>
    <w:rsid w:val="00EC331E"/>
    <w:rsid w:val="00F1012B"/>
    <w:rsid w:val="00F6167C"/>
    <w:rsid w:val="00FB3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237964"/>
  <w15:chartTrackingRefBased/>
  <w15:docId w15:val="{D9907B7E-B27F-9B47-AC31-E7953CF4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232"/>
    <w:rPr>
      <w:rFonts w:eastAsiaTheme="majorEastAsia" w:cstheme="majorBidi"/>
      <w:color w:val="272727" w:themeColor="text1" w:themeTint="D8"/>
    </w:rPr>
  </w:style>
  <w:style w:type="paragraph" w:styleId="Title">
    <w:name w:val="Title"/>
    <w:basedOn w:val="Normal"/>
    <w:next w:val="Normal"/>
    <w:link w:val="TitleChar"/>
    <w:uiPriority w:val="10"/>
    <w:qFormat/>
    <w:rsid w:val="00735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232"/>
    <w:pPr>
      <w:spacing w:before="160"/>
      <w:jc w:val="center"/>
    </w:pPr>
    <w:rPr>
      <w:i/>
      <w:iCs/>
      <w:color w:val="404040" w:themeColor="text1" w:themeTint="BF"/>
    </w:rPr>
  </w:style>
  <w:style w:type="character" w:customStyle="1" w:styleId="QuoteChar">
    <w:name w:val="Quote Char"/>
    <w:basedOn w:val="DefaultParagraphFont"/>
    <w:link w:val="Quote"/>
    <w:uiPriority w:val="29"/>
    <w:rsid w:val="00735232"/>
    <w:rPr>
      <w:i/>
      <w:iCs/>
      <w:color w:val="404040" w:themeColor="text1" w:themeTint="BF"/>
    </w:rPr>
  </w:style>
  <w:style w:type="paragraph" w:styleId="ListParagraph">
    <w:name w:val="List Paragraph"/>
    <w:basedOn w:val="Normal"/>
    <w:uiPriority w:val="34"/>
    <w:qFormat/>
    <w:rsid w:val="00735232"/>
    <w:pPr>
      <w:ind w:left="720"/>
      <w:contextualSpacing/>
    </w:pPr>
  </w:style>
  <w:style w:type="character" w:styleId="IntenseEmphasis">
    <w:name w:val="Intense Emphasis"/>
    <w:basedOn w:val="DefaultParagraphFont"/>
    <w:uiPriority w:val="21"/>
    <w:qFormat/>
    <w:rsid w:val="00735232"/>
    <w:rPr>
      <w:i/>
      <w:iCs/>
      <w:color w:val="0F4761" w:themeColor="accent1" w:themeShade="BF"/>
    </w:rPr>
  </w:style>
  <w:style w:type="paragraph" w:styleId="IntenseQuote">
    <w:name w:val="Intense Quote"/>
    <w:basedOn w:val="Normal"/>
    <w:next w:val="Normal"/>
    <w:link w:val="IntenseQuoteChar"/>
    <w:uiPriority w:val="30"/>
    <w:qFormat/>
    <w:rsid w:val="00735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232"/>
    <w:rPr>
      <w:i/>
      <w:iCs/>
      <w:color w:val="0F4761" w:themeColor="accent1" w:themeShade="BF"/>
    </w:rPr>
  </w:style>
  <w:style w:type="character" w:styleId="IntenseReference">
    <w:name w:val="Intense Reference"/>
    <w:basedOn w:val="DefaultParagraphFont"/>
    <w:uiPriority w:val="32"/>
    <w:qFormat/>
    <w:rsid w:val="00735232"/>
    <w:rPr>
      <w:b/>
      <w:bCs/>
      <w:smallCaps/>
      <w:color w:val="0F4761" w:themeColor="accent1" w:themeShade="BF"/>
      <w:spacing w:val="5"/>
    </w:rPr>
  </w:style>
  <w:style w:type="paragraph" w:customStyle="1" w:styleId="p1">
    <w:name w:val="p1"/>
    <w:basedOn w:val="Normal"/>
    <w:rsid w:val="0028426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28426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28426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410</Words>
  <Characters>2327</Characters>
  <Application>Microsoft Office Word</Application>
  <DocSecurity>0</DocSecurity>
  <Lines>35</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Ison</dc:creator>
  <cp:keywords/>
  <dc:description/>
  <cp:lastModifiedBy>Roger Ison</cp:lastModifiedBy>
  <cp:revision>16</cp:revision>
  <dcterms:created xsi:type="dcterms:W3CDTF">2026-03-09T05:00:00Z</dcterms:created>
  <dcterms:modified xsi:type="dcterms:W3CDTF">2026-03-12T17:45:00Z</dcterms:modified>
</cp:coreProperties>
</file>