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7B60F9C3" w14:textId="77777777" w:rsidR="000A0349" w:rsidRDefault="00000000">
      <w:pPr>
        <w:pStyle w:val="Heading1"/>
      </w:pPr>
      <w:r>
        <w:t>Abstract</w:t>
      </w:r>
    </w:p>
    <w:p w14:paraId="525A9B9C" w14:textId="18A30029" w:rsidR="000A0349" w:rsidRDefault="006D7154">
      <w:r>
        <w:t>New Loop</w:t>
      </w:r>
      <w:r w:rsidR="009E253D">
        <w:t xml:space="preserve"> is a stock-flow-consistent macroeconomic simulation of an economy transitioning toward advanced</w:t>
      </w:r>
      <w:r w:rsidR="00885BB5">
        <w:t>, machine-intelligence driven</w:t>
      </w:r>
      <w:r w:rsidR="009E253D">
        <w:t xml:space="preserve"> automation. This document </w:t>
      </w:r>
      <w:r w:rsidR="007D08D5">
        <w:t>explains</w:t>
      </w:r>
      <w:r w:rsidR="009E253D">
        <w:t xml:space="preserve"> the model’s conceptual policy layer </w:t>
      </w:r>
      <w:r w:rsidR="000B7C76">
        <w:t>(</w:t>
      </w:r>
      <w:r w:rsidR="009E253D">
        <w:t>taxes, transfers, social ownership rules, and automatic stabilizers</w:t>
      </w:r>
      <w:r w:rsidR="000B7C76">
        <w:t>)</w:t>
      </w:r>
      <w:r w:rsidR="0035143B">
        <w:t xml:space="preserve"> </w:t>
      </w:r>
      <w:r w:rsidR="009E253D">
        <w:t xml:space="preserve">and </w:t>
      </w:r>
      <w:r w:rsidR="007D08D5">
        <w:t>describes</w:t>
      </w:r>
      <w:r w:rsidR="009E253D">
        <w:t xml:space="preserve"> each mechanism in plain terms so non-modelers can understand what institutional choices are being assumed.</w:t>
      </w:r>
    </w:p>
    <w:p w14:paraId="79108D8E" w14:textId="77777777" w:rsidR="000A0349" w:rsidRDefault="00000000">
      <w:r>
        <w:t>The core policy package includes:</w:t>
      </w:r>
    </w:p>
    <w:p w14:paraId="0B137148" w14:textId="5F60B5CC" w:rsidR="000A0349" w:rsidRDefault="00000000">
      <w:pPr>
        <w:pStyle w:val="ListBullet"/>
      </w:pPr>
      <w:r>
        <w:t xml:space="preserve">a Social Wealth Trust (FUND) that accumulates </w:t>
      </w:r>
      <w:r w:rsidR="00116EA9">
        <w:t xml:space="preserve">equity </w:t>
      </w:r>
      <w:r>
        <w:t>ownership over time (with an explicit cap)</w:t>
      </w:r>
      <w:r w:rsidR="00FA79C6">
        <w:t>,</w:t>
      </w:r>
    </w:p>
    <w:p w14:paraId="03ED91D4" w14:textId="1C2B3292" w:rsidR="000A0349" w:rsidRDefault="00000000">
      <w:pPr>
        <w:pStyle w:val="ListBullet"/>
      </w:pPr>
      <w:r>
        <w:t>a Universal Basic Income (UBI) computed to maintain a baseline real-income pool and constrained by a ratchet (non-decreasing)</w:t>
      </w:r>
      <w:r w:rsidR="00FA79C6">
        <w:t>,</w:t>
      </w:r>
    </w:p>
    <w:p w14:paraId="4C002E1C" w14:textId="403FCE40" w:rsidR="000A0349" w:rsidRDefault="00000000">
      <w:pPr>
        <w:pStyle w:val="ListBullet"/>
      </w:pPr>
      <w:r>
        <w:t>a value-added tax (VAT) paired with a targeted low-income VAT credit (prebate)</w:t>
      </w:r>
      <w:r w:rsidR="00FA79C6">
        <w:t>,</w:t>
      </w:r>
    </w:p>
    <w:p w14:paraId="2F2312E6" w14:textId="6AD84477" w:rsidR="00FA79C6" w:rsidRDefault="00000000">
      <w:pPr>
        <w:pStyle w:val="ListBullet"/>
      </w:pPr>
      <w:r>
        <w:t>a marginal income tax above a percentile-defined cutoff (with UBI excluded from the income-tax base</w:t>
      </w:r>
      <w:r w:rsidR="00FA79C6">
        <w:t>),</w:t>
      </w:r>
    </w:p>
    <w:p w14:paraId="1643943C" w14:textId="05C7738F" w:rsidR="00116EA9" w:rsidRDefault="00000000" w:rsidP="00116EA9">
      <w:pPr>
        <w:pStyle w:val="ListBullet"/>
      </w:pPr>
      <w:r>
        <w:t>a corporate income tax that can automatically rise as wages fall during the automation transition</w:t>
      </w:r>
      <w:r w:rsidR="00FA79C6">
        <w:t>,</w:t>
      </w:r>
    </w:p>
    <w:p w14:paraId="0C39E216" w14:textId="61BDD3C6" w:rsidR="0095069C" w:rsidRDefault="00FA79C6" w:rsidP="00116EA9">
      <w:pPr>
        <w:pStyle w:val="ListBullet"/>
      </w:pPr>
      <w:r>
        <w:t xml:space="preserve">and </w:t>
      </w:r>
      <w:r w:rsidR="0095069C">
        <w:t>policies to adapt existing fixed-nominal debt, specifically mortgages, to a deflationary environment.</w:t>
      </w:r>
    </w:p>
    <w:p w14:paraId="222EAB2C" w14:textId="77777777" w:rsidR="006F7E4C" w:rsidRDefault="006F7E4C" w:rsidP="006F7E4C">
      <w:pPr>
        <w:pStyle w:val="ListBullet"/>
        <w:numPr>
          <w:ilvl w:val="0"/>
          <w:numId w:val="0"/>
        </w:numPr>
      </w:pPr>
    </w:p>
    <w:p w14:paraId="32255480" w14:textId="189F0980" w:rsidR="006F7E4C" w:rsidRDefault="00FA79C6" w:rsidP="006F7E4C">
      <w:pPr>
        <w:pStyle w:val="ListBullet"/>
        <w:numPr>
          <w:ilvl w:val="0"/>
          <w:numId w:val="0"/>
        </w:numPr>
      </w:pPr>
      <w:r>
        <w:t>Because</w:t>
      </w:r>
      <w:r w:rsidR="006F7E4C">
        <w:t xml:space="preserve"> the subject is </w:t>
      </w:r>
      <w:r w:rsidR="00373D2F">
        <w:t xml:space="preserve">inherently </w:t>
      </w:r>
      <w:r w:rsidR="00B970EE">
        <w:t xml:space="preserve">technical and </w:t>
      </w:r>
      <w:r w:rsidR="006F7E4C">
        <w:t xml:space="preserve">complex, </w:t>
      </w:r>
      <w:r w:rsidR="00B970EE">
        <w:t>the</w:t>
      </w:r>
      <w:r w:rsidR="006F7E4C">
        <w:t xml:space="preserve"> paper also </w:t>
      </w:r>
      <w:r w:rsidR="007B5811">
        <w:t>relates</w:t>
      </w:r>
      <w:r w:rsidR="006F7E4C">
        <w:t xml:space="preserve"> it as a narrative</w:t>
      </w:r>
      <w:r w:rsidR="006C4A20">
        <w:t xml:space="preserve"> “future history”</w:t>
      </w:r>
      <w:r w:rsidR="006F7E4C">
        <w:t xml:space="preserve"> story for </w:t>
      </w:r>
      <w:r w:rsidR="007B5811">
        <w:t>less specialist</w:t>
      </w:r>
      <w:r w:rsidR="006F7E4C">
        <w:t xml:space="preserve"> </w:t>
      </w:r>
      <w:r w:rsidR="00373D2F">
        <w:t>readers</w:t>
      </w:r>
      <w:r w:rsidR="006F7E4C">
        <w:t>.</w:t>
      </w:r>
      <w:r w:rsidR="00003830">
        <w:t xml:space="preserve"> T</w:t>
      </w:r>
      <w:r w:rsidR="00FD3665">
        <w:t xml:space="preserve">hose sections </w:t>
      </w:r>
      <w:r w:rsidR="00373D2F">
        <w:t>will</w:t>
      </w:r>
      <w:r w:rsidR="006F7E4C">
        <w:t xml:space="preserve"> be the most </w:t>
      </w:r>
      <w:r w:rsidR="00833305">
        <w:t>accessible</w:t>
      </w:r>
      <w:r w:rsidR="008F3D38">
        <w:t xml:space="preserve"> and </w:t>
      </w:r>
      <w:r w:rsidR="00833305">
        <w:t>useful</w:t>
      </w:r>
      <w:r w:rsidR="006F7E4C">
        <w:t xml:space="preserve"> material</w:t>
      </w:r>
      <w:r w:rsidR="00003830">
        <w:t xml:space="preserve"> for some readers.</w:t>
      </w:r>
    </w:p>
    <w:p w14:paraId="45B513A2" w14:textId="77777777" w:rsidR="009E2B71" w:rsidRDefault="009E2B71" w:rsidP="006F7E4C">
      <w:pPr>
        <w:pStyle w:val="ListBullet"/>
        <w:numPr>
          <w:ilvl w:val="0"/>
          <w:numId w:val="0"/>
        </w:numPr>
      </w:pPr>
    </w:p>
    <w:p w14:paraId="542AB811" w14:textId="77777777" w:rsidR="009E2B71" w:rsidRDefault="009E2B71" w:rsidP="006F7E4C">
      <w:pPr>
        <w:pStyle w:val="ListBullet"/>
        <w:numPr>
          <w:ilvl w:val="0"/>
          <w:numId w:val="0"/>
        </w:numPr>
      </w:pPr>
      <w:r>
        <w:t>Roger Ison</w:t>
      </w:r>
      <w:r>
        <w:tab/>
      </w:r>
    </w:p>
    <w:p w14:paraId="117A2445" w14:textId="2A7135D3" w:rsidR="009E2B71" w:rsidRDefault="009E2B71" w:rsidP="006F7E4C">
      <w:pPr>
        <w:pStyle w:val="ListBullet"/>
        <w:numPr>
          <w:ilvl w:val="0"/>
          <w:numId w:val="0"/>
        </w:numPr>
      </w:pPr>
      <w:r>
        <w:t>roger@miximum.info</w:t>
      </w:r>
    </w:p>
    <w:p w14:paraId="399A6E61" w14:textId="77777777" w:rsidR="000A0349" w:rsidRDefault="00000000">
      <w:pPr>
        <w:pStyle w:val="Heading1"/>
      </w:pPr>
      <w:r>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lastRenderedPageBreak/>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w:t>
      </w:r>
      <w:r w:rsidR="007D2FFA">
        <w:t>nor</w:t>
      </w:r>
      <w:r>
        <w:t xml:space="preserve"> to replace productive enterprise with circular services in which we merely transact among ourselves. 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7A7A86E7" w14:textId="532BECF7" w:rsidR="000A0349" w:rsidRDefault="00000000">
      <w:r>
        <w:t xml:space="preserve">This is where computational modeling becomes essential. When a system is </w:t>
      </w:r>
      <w:r w:rsidR="00A94FCD">
        <w:t>governed</w:t>
      </w:r>
      <w:r>
        <w:t xml:space="preserve"> by feedback, delays, and nonlinear effects, verbal reasoning breaks down quickly and ideology fills the vacuum. Models are always wrong in some way, but a good model can be inspected and argued. You can see where income comes from, where it goes, how investment is financed, what happens as wages decline, and which policies move the </w:t>
      </w:r>
      <w:r>
        <w:lastRenderedPageBreak/>
        <w:t>system toward stability versus crisis. You can identify failure modes - and, just as importantly, you can locate the policy regions where the system becomes self-supporting again.</w:t>
      </w:r>
      <w:r w:rsidR="00837EB0">
        <w:t xml:space="preserve"> Current discussion about the economic impact of AI is largely qualitative, and tends to focus on a single policy such as UBI. It’s important to have an integrated policy architecture, and explore it quantitatively over the entire economic transition.</w:t>
      </w:r>
    </w:p>
    <w:p w14:paraId="567DC2B5" w14:textId="43241E47" w:rsidR="00105AE0" w:rsidRDefault="00000000">
      <w:r>
        <w:t xml:space="preserve">So what follows is an explicit economic transition model: a stock-flow representation of </w:t>
      </w:r>
      <w:r w:rsidR="00105AE0">
        <w:t>20,000 “</w:t>
      </w:r>
      <w:r>
        <w:t>households</w:t>
      </w:r>
      <w:r w:rsidR="00105AE0">
        <w:t>” whose wealth, income, revolving debt and mortgages roughly correspond to the distributions of families in the United States</w:t>
      </w:r>
      <w:r w:rsidR="000C4C67">
        <w:t>. It includes</w:t>
      </w:r>
      <w:r w:rsidR="00105AE0">
        <w:t xml:space="preserve"> </w:t>
      </w:r>
      <w:r>
        <w:t>firms, banks, and government</w:t>
      </w:r>
      <w:r w:rsidR="000C4C67">
        <w:t xml:space="preserve"> as aggregate players</w:t>
      </w:r>
      <w:r w:rsidR="00105AE0">
        <w:t xml:space="preserve">. In this model economy, </w:t>
      </w:r>
      <w:r>
        <w:t xml:space="preserve">automation </w:t>
      </w:r>
      <w:r w:rsidR="00105AE0">
        <w:t>causes over time</w:t>
      </w:r>
      <w:r>
        <w:t xml:space="preserve"> a rising substitution of capital and software for labor</w:t>
      </w:r>
      <w:r w:rsidR="00105AE0">
        <w:t>, s</w:t>
      </w:r>
      <w:r>
        <w:t>hifting value</w:t>
      </w:r>
      <w:r w:rsidR="00105AE0">
        <w:t>-</w:t>
      </w:r>
      <w:r>
        <w:t>added from wages toward profits</w:t>
      </w:r>
      <w:r w:rsidR="00105AE0">
        <w:t xml:space="preserve"> over time</w:t>
      </w:r>
      <w:r>
        <w:t xml:space="preserve">. </w:t>
      </w:r>
    </w:p>
    <w:p w14:paraId="49964514" w14:textId="1675E733" w:rsidR="000A0349" w:rsidRDefault="00000000">
      <w:r>
        <w:t xml:space="preserve">The </w:t>
      </w:r>
      <w:r w:rsidR="00A94FCD">
        <w:t xml:space="preserve">model is designed to explore a </w:t>
      </w:r>
      <w:r>
        <w:t xml:space="preserve">central question </w:t>
      </w:r>
      <w:r w:rsidR="00A94FCD">
        <w:t>that</w:t>
      </w:r>
      <w:r>
        <w:t xml:space="preserve"> is simple to state</w:t>
      </w:r>
      <w:r w:rsidR="00E421EE">
        <w:t>,</w:t>
      </w:r>
      <w:r>
        <w:t xml:space="preserve"> </w:t>
      </w:r>
      <w:r w:rsidR="00105AE0">
        <w:t>but</w:t>
      </w:r>
      <w:r>
        <w:t xml:space="preserve"> hard to solve: what ownership and policy architectures keep aggregate demand, investment incentives, and social stability inside a viable region as automation advances?</w:t>
      </w:r>
    </w:p>
    <w:p w14:paraId="24E4DF2B" w14:textId="77777777" w:rsidR="004A4F03" w:rsidRDefault="004A4F03">
      <w:pPr>
        <w:pStyle w:val="Heading1"/>
      </w:pPr>
      <w:r>
        <w:t>The model tells a story</w:t>
      </w:r>
    </w:p>
    <w:p w14:paraId="7B52325C" w14:textId="529A191F" w:rsidR="0088234A" w:rsidRPr="0088234A" w:rsidRDefault="0088234A" w:rsidP="0088234A">
      <w:pPr>
        <w:rPr>
          <w:rFonts w:ascii="Times New Roman" w:eastAsia="Times New Roman" w:hAnsi="Times New Roman"/>
        </w:rPr>
      </w:pPr>
      <w:r>
        <w:t xml:space="preserve">This transition will not arrive as a single shock. It will </w:t>
      </w:r>
      <w:r w:rsidR="00EA7C45">
        <w:t>spread</w:t>
      </w:r>
      <w:r w:rsidR="00DA0FC2">
        <w:t xml:space="preserve"> </w:t>
      </w:r>
      <w:r>
        <w:t>unevenly across sectors, punctuated by surprises, and accelerated by feedback. So the model tells a story.</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recognize that automation offers a way to overcome the labor-cost advantages that had earlier shifted so much production into developing economies and hollowed out much of the industrial base of the developed world. But this does not mean a return to the old 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lastRenderedPageBreak/>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lastRenderedPageBreak/>
        <w:t>The model’s answer is not a single lever. It is an architecture: a set of rule-based stabilizers that shift purchasing power and ownership in ways that can scale with automation.</w:t>
      </w:r>
    </w:p>
    <w:p w14:paraId="2EFAB73A" w14:textId="77777777"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lastRenderedPageBreak/>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43219A70"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 credit (“prebate”)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77777777"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77777777"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FD3B5F" w14:textId="73C1FD2A" w:rsidR="0088234A" w:rsidRDefault="0088234A" w:rsidP="0088234A">
      <w:r>
        <w:lastRenderedPageBreak/>
        <w:t xml:space="preserve">If </w:t>
      </w:r>
      <w:r w:rsidR="000339E9">
        <w:t>this</w:t>
      </w:r>
      <w:r>
        <w:t xml:space="preserv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w:t>
      </w:r>
      <w:r w:rsidR="00623181">
        <w:t xml:space="preserve">, </w:t>
      </w:r>
      <w:r>
        <w:t>because consumers remain solvent and demand remains sufficient to clear output.</w:t>
      </w:r>
    </w:p>
    <w:p w14:paraId="707C0FA3" w14:textId="2D65A181" w:rsidR="007E2AFB" w:rsidRDefault="00D66BED">
      <w:r>
        <w:t>Even</w:t>
      </w:r>
      <w:r w:rsidR="0088234A">
        <w:t xml:space="preserve"> if the story is wrong, the model is still useful</w:t>
      </w:r>
      <w:r w:rsidR="00623181">
        <w:t xml:space="preserve"> </w:t>
      </w:r>
      <w:r w:rsidR="0088234A">
        <w:t xml:space="preserve">because it makes the failure modes </w:t>
      </w:r>
      <w:r>
        <w:t>visible</w:t>
      </w:r>
      <w:r w:rsidR="0088234A">
        <w:t>. You can see where the loop breaks, which instrument fails first, and what kind of adjustment might restore stability.</w:t>
      </w:r>
      <w:r w:rsidR="00623181">
        <w:t xml:space="preserve"> </w:t>
      </w:r>
    </w:p>
    <w:p w14:paraId="2EF18D5C" w14:textId="77777777" w:rsidR="007E2AFB" w:rsidRDefault="007E2AFB">
      <w:r>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4E6DD9E6"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 while the old political and economic rules and reflexes no longer work</w:t>
      </w:r>
      <w:r w:rsidR="007E2AFB">
        <w:t>ed</w:t>
      </w:r>
      <w:r>
        <w:t xml:space="preserve">, each Great Power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1833A720" w:rsidR="00B43B9A" w:rsidRDefault="00B43B9A" w:rsidP="00B43B9A">
      <w:r>
        <w:t>The storm hit everyone, but the ships’ hulls were built differently. China had the engines: manufacturing scale, engineers, and command capacity. It also had a balance sheet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it paid for that with speed and coordination.</w:t>
      </w:r>
    </w:p>
    <w:p w14:paraId="4F17712A" w14:textId="1C70978A"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exported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3FB4B6DB" w14:textId="28829572" w:rsidR="00B43B9A" w:rsidRDefault="00B43B9A" w:rsidP="00B43B9A">
      <w:r>
        <w:t>China enter</w:t>
      </w:r>
      <w:r w:rsidR="00EF0754">
        <w:t>ed</w:t>
      </w:r>
      <w:r>
        <w:t xml:space="preserve"> the AI era with the world’s greatest manufacturing base, a deep bench of engineers, and a state apparatus that can concentrate astonishing resources. But as the first hump arrive</w:t>
      </w:r>
      <w:r w:rsidR="00EF0754">
        <w:t>d</w:t>
      </w:r>
      <w:r>
        <w:t xml:space="preserve">, the early hit from automation to information-sector wages and early-career employment, Chinese youth unemployment </w:t>
      </w:r>
      <w:r w:rsidR="00EF0754">
        <w:t xml:space="preserve">was </w:t>
      </w:r>
      <w:r>
        <w:t>already in the high teens. China also carrie</w:t>
      </w:r>
      <w:r w:rsidR="00EF0754">
        <w:t>d</w:t>
      </w:r>
      <w:r>
        <w:t xml:space="preserve"> an enormous debt stack, especially tied to property, much of it fixed nominal. In a deflationary environment, that is balance-sheet poison.</w:t>
      </w:r>
    </w:p>
    <w:p w14:paraId="7CCEC5C9" w14:textId="6E346A5F" w:rsidR="00B43B9A" w:rsidRDefault="00B43B9A" w:rsidP="00B43B9A">
      <w:r>
        <w:t xml:space="preserve">Land-transfer income and property-linked revenues </w:t>
      </w:r>
      <w:r w:rsidR="00EF0754">
        <w:t>had</w:t>
      </w:r>
      <w:r>
        <w:t xml:space="preserve"> been a core funding channel for local government, most acutely at the prefecture, county, and city level, and that channel </w:t>
      </w:r>
      <w:r w:rsidR="00EF0754">
        <w:t>had</w:t>
      </w:r>
      <w:r>
        <w:t xml:space="preserve"> been shrinking for years. In a deflationary regime, the local fiscal model and the debt model fail together.</w:t>
      </w:r>
    </w:p>
    <w:p w14:paraId="7F4BE1A9" w14:textId="116F3EAD" w:rsidR="00B43B9A" w:rsidRDefault="00B43B9A" w:rsidP="00B43B9A">
      <w:r>
        <w:t>Meanwhile, China’s domestic consumer economy remain</w:t>
      </w:r>
      <w:r w:rsidR="00EF0754">
        <w:t>ed</w:t>
      </w:r>
      <w:r>
        <w:t xml:space="preserve"> comparatively underdeveloped, so exports still play</w:t>
      </w:r>
      <w:r w:rsidR="00EF0754">
        <w:t>ed</w:t>
      </w:r>
      <w:r>
        <w:t xml:space="preserve"> an outsized stabilizing role. Yet across the developed world, re-industrialization increasingly </w:t>
      </w:r>
      <w:r w:rsidR="00EF0754">
        <w:t>meant</w:t>
      </w:r>
      <w:r>
        <w:t xml:space="preserve"> automation and capital deepening, not a wage boom, and therefore not an expanding consumer base for imported goods.</w:t>
      </w:r>
    </w:p>
    <w:p w14:paraId="7DD93D59" w14:textId="5C9371EA" w:rsidR="00B43B9A" w:rsidRDefault="00B43B9A" w:rsidP="00B43B9A">
      <w:r>
        <w:t xml:space="preserve">Beijing </w:t>
      </w:r>
      <w:r w:rsidR="00EF0754">
        <w:t>tried</w:t>
      </w:r>
      <w:r>
        <w:t xml:space="preserve"> to redirect exports toward faster-growing regions, but </w:t>
      </w:r>
      <w:r w:rsidR="00EF0754">
        <w:t>ran</w:t>
      </w:r>
      <w:r>
        <w:t xml:space="preserve"> into strategic pushback and geopolitical friction, especially in the Americas. And with weaker domestic consumption, “tax the consumer to keep the macro pump primed” </w:t>
      </w:r>
      <w:r w:rsidR="00EF0754">
        <w:t>had</w:t>
      </w:r>
      <w:r>
        <w:t xml:space="preserve"> less leverage than it </w:t>
      </w:r>
      <w:r w:rsidR="00EF0754">
        <w:t>did</w:t>
      </w:r>
      <w:r>
        <w:t xml:space="preserve"> in economies where consumption is the dominant engine.</w:t>
      </w:r>
    </w:p>
    <w:p w14:paraId="0F52F07D" w14:textId="5E954037" w:rsidR="00B43B9A" w:rsidRDefault="00B43B9A" w:rsidP="00B43B9A">
      <w:r>
        <w:t xml:space="preserve">Then there </w:t>
      </w:r>
      <w:r w:rsidR="00EF0754">
        <w:t>was</w:t>
      </w:r>
      <w:r>
        <w:t xml:space="preserve"> Taiwan: smaller, wealthier</w:t>
      </w:r>
      <w:r w:rsidR="00405385">
        <w:t xml:space="preserve"> </w:t>
      </w:r>
      <w:r>
        <w:t xml:space="preserve">and institutionally more flexible, and the owner of the most strategically indispensable export category of all, semiconductors, the </w:t>
      </w:r>
      <w:r w:rsidR="00A55D68">
        <w:t>engines</w:t>
      </w:r>
      <w:r>
        <w:t xml:space="preserve"> of </w:t>
      </w:r>
      <w:r w:rsidR="00B6360A">
        <w:t>intelligent machines</w:t>
      </w:r>
      <w:r>
        <w:t xml:space="preserve">. Beijing </w:t>
      </w:r>
      <w:r w:rsidR="00EF0754">
        <w:t>couldn’t</w:t>
      </w:r>
      <w:r>
        <w:t xml:space="preserve"> ignore the risk that a widening performance gap </w:t>
      </w:r>
      <w:r w:rsidR="00405385">
        <w:t xml:space="preserve">between Taiwan and the Mainland </w:t>
      </w:r>
      <w:r w:rsidR="00EF0754">
        <w:t>might become</w:t>
      </w:r>
      <w:r>
        <w:t xml:space="preserve"> a legitimacy problem at home. But forceful unification </w:t>
      </w:r>
      <w:r w:rsidR="00EF0754">
        <w:t>risked</w:t>
      </w:r>
      <w:r>
        <w:t xml:space="preserve"> a severe U.S. reaction. Waiting for American semiconductor self-sufficiency might reduce that risk, yet the diffusion speed of AI into the knowledge economy compresse</w:t>
      </w:r>
      <w:r w:rsidR="00EF0754">
        <w:t>d</w:t>
      </w:r>
      <w:r>
        <w:t xml:space="preserve"> the timeline. </w:t>
      </w:r>
    </w:p>
    <w:p w14:paraId="6CD43469" w14:textId="7C6947D8" w:rsidR="00C757A1" w:rsidRDefault="00C757A1" w:rsidP="00B43B9A">
      <w:r>
        <w:lastRenderedPageBreak/>
        <w:t xml:space="preserve">Also, taking </w:t>
      </w:r>
      <w:r w:rsidR="00FB633B">
        <w:t>Taiwan Semiconductor Manufacturing Corporation</w:t>
      </w:r>
      <w:r>
        <w:t xml:space="preserve"> and Taiwan’s entire semiconductor industry offline might offer another possible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t>before</w:t>
      </w:r>
      <w:r>
        <w:t xml:space="preserve"> the world would forgive </w:t>
      </w:r>
      <w:r w:rsidR="00995A26">
        <w:t>and forget</w:t>
      </w:r>
      <w:r>
        <w:t>. The cost</w:t>
      </w:r>
      <w:r w:rsidR="00995A26">
        <w:t>s</w:t>
      </w:r>
      <w:r>
        <w:t xml:space="preserve"> to China itself could easily add up to trillions of dollars.</w:t>
      </w:r>
    </w:p>
    <w:p w14:paraId="376DAF93" w14:textId="331FFC78" w:rsidR="009D4B74" w:rsidRPr="009D4B74" w:rsidRDefault="00C757A1" w:rsidP="009D4B74">
      <w:r>
        <w:t xml:space="preserve">There was no clean solution, only choices trading one kind of instability for another. </w:t>
      </w:r>
      <w:r w:rsidR="009D4B74">
        <w:t xml:space="preserve">Ultimately, China’s limited internal flexibility </w:t>
      </w:r>
      <w:r w:rsidR="00EF0754">
        <w:t>got</w:t>
      </w:r>
      <w:r w:rsidR="009D4B74">
        <w:t xml:space="preserve"> in the way of transforming itself quickly. It </w:t>
      </w:r>
      <w:r w:rsidR="00EF0754">
        <w:t>could</w:t>
      </w:r>
      <w:r w:rsidR="009D4B74">
        <w:t xml:space="preserve"> push forward most effectively by </w:t>
      </w:r>
      <w:r w:rsidR="00EF0754">
        <w:t xml:space="preserve">continuing to do </w:t>
      </w:r>
      <w:r w:rsidR="009D4B74">
        <w:t>what it already kn</w:t>
      </w:r>
      <w:r w:rsidR="007A30A2">
        <w:t>ew</w:t>
      </w:r>
      <w:r w:rsidR="009D4B74">
        <w:t xml:space="preserve"> how to do. Xi Jinping had </w:t>
      </w:r>
      <w:r w:rsidR="007A30A2">
        <w:t>intended</w:t>
      </w:r>
      <w:r w:rsidR="009D4B74">
        <w:t xml:space="preserve"> his timeline </w:t>
      </w:r>
      <w:r w:rsidR="007A30A2">
        <w:t>to</w:t>
      </w:r>
      <w:r w:rsidR="009D4B74">
        <w:t xml:space="preserve"> be shaped by age, career, and succession, by the need to hand a unified China to the next leader. But events </w:t>
      </w:r>
      <w:r w:rsidR="00405385">
        <w:t>move</w:t>
      </w:r>
      <w:r w:rsidR="00EF0754">
        <w:t>d</w:t>
      </w:r>
      <w:r w:rsidR="009D4B74">
        <w:t xml:space="preserve"> too fast. Internally, the system </w:t>
      </w:r>
      <w:r w:rsidR="00EF0754">
        <w:t>was</w:t>
      </w:r>
      <w:r w:rsidR="009D4B74">
        <w:t xml:space="preserve"> simply not yet ready for its citizens to be wealthy without being occupied by hard work</w:t>
      </w:r>
      <w:r w:rsidR="007A30A2">
        <w:t>, and t</w:t>
      </w:r>
      <w:r w:rsidR="009D4B74">
        <w:t xml:space="preserve">he risks </w:t>
      </w:r>
      <w:r w:rsidR="00EF0754">
        <w:t>of mil</w:t>
      </w:r>
      <w:r w:rsidR="007A30A2">
        <w:t>i</w:t>
      </w:r>
      <w:r w:rsidR="00EF0754">
        <w:t>tary force against Taiwan were</w:t>
      </w:r>
      <w:r w:rsidR="009D4B74">
        <w:t xml:space="preserve"> too great.</w:t>
      </w:r>
    </w:p>
    <w:p w14:paraId="554D6366" w14:textId="7E793B7B" w:rsidR="009D4B74" w:rsidRDefault="00913F68" w:rsidP="009D4B74">
      <w:r>
        <w:t xml:space="preserve">Of course, the Chinese were endlessly clever about </w:t>
      </w:r>
      <w:r w:rsidRPr="00913F68">
        <w:rPr>
          <w:i/>
          <w:iCs/>
        </w:rPr>
        <w:t>applying</w:t>
      </w:r>
      <w:r>
        <w:t xml:space="preserve"> AI in their economy and their systems of political control. But w</w:t>
      </w:r>
      <w:r w:rsidR="00EF0754" w:rsidRPr="00913F68">
        <w:t>ith</w:t>
      </w:r>
      <w:r w:rsidR="00EF0754">
        <w:t xml:space="preserve"> so much still</w:t>
      </w:r>
      <w:r w:rsidR="009D4B74">
        <w:t xml:space="preserve"> depend</w:t>
      </w:r>
      <w:r w:rsidR="00EF0754">
        <w:t>ing</w:t>
      </w:r>
      <w:r w:rsidR="009D4B74">
        <w:t xml:space="preserve"> on exports, China soften</w:t>
      </w:r>
      <w:r w:rsidR="00EF0754">
        <w:t>ed</w:t>
      </w:r>
      <w:r w:rsidR="009D4B74">
        <w:t xml:space="preserve"> its image and adjust</w:t>
      </w:r>
      <w:r w:rsidR="00EF0754">
        <w:t>ed</w:t>
      </w:r>
      <w:r w:rsidR="009D4B74">
        <w:t xml:space="preserve"> its outward posture, not out of conversion</w:t>
      </w:r>
      <w:r w:rsidR="007A30A2">
        <w:t xml:space="preserve"> but</w:t>
      </w:r>
      <w:r w:rsidR="009D4B74">
        <w:t xml:space="preserve"> necessity. It refocuse</w:t>
      </w:r>
      <w:r w:rsidR="00EF0754">
        <w:t>d</w:t>
      </w:r>
      <w:r w:rsidR="009D4B74">
        <w:t xml:space="preserve"> its export machine on products that help</w:t>
      </w:r>
      <w:r w:rsidR="00EF0754">
        <w:t>ed</w:t>
      </w:r>
      <w:r w:rsidR="009D4B74">
        <w:t xml:space="preserve"> regional neighbors in Asia and partners across Africa modernize faster. Those customers need</w:t>
      </w:r>
      <w:r w:rsidR="00EF0754">
        <w:t>ed</w:t>
      </w:r>
      <w:r w:rsidR="009D4B74">
        <w:t xml:space="preserve"> electric power equipment, networks, transport, and factory automation. These </w:t>
      </w:r>
      <w:r w:rsidR="000C6E99">
        <w:t>targets</w:t>
      </w:r>
      <w:r w:rsidR="00197B51">
        <w:t xml:space="preserve"> </w:t>
      </w:r>
      <w:r w:rsidR="00EF0754">
        <w:t>would</w:t>
      </w:r>
      <w:r w:rsidR="00197B51">
        <w:t xml:space="preserve"> </w:t>
      </w:r>
      <w:r w:rsidR="009D4B74">
        <w:t>give China a second chance</w:t>
      </w:r>
      <w:r w:rsidR="000C6E99">
        <w:t xml:space="preserve"> in the coming global cycle of</w:t>
      </w:r>
      <w:r w:rsidR="00E61112">
        <w:t xml:space="preserve"> </w:t>
      </w:r>
      <w:r w:rsidR="009D4B74">
        <w:t>physical-sector automation</w:t>
      </w:r>
      <w:r w:rsidR="00995A26">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529BC40C"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p>
    <w:p w14:paraId="3E43456A" w14:textId="24E7AB59" w:rsidR="009062C6" w:rsidRDefault="009062C6" w:rsidP="009062C6">
      <w:r>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5F5B37">
        <w:t xml:space="preserve">economic </w:t>
      </w:r>
      <w:r w:rsidR="00E7127C">
        <w:t xml:space="preserve">leak was structural, so </w:t>
      </w:r>
      <w:r>
        <w:t>patchwork could not hold. When wage income stops rising, household balance sheets stop rising with it. And when households stop rising,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77777777" w:rsidR="009062C6" w:rsidRDefault="009062C6" w:rsidP="009062C6">
      <w:r>
        <w:lastRenderedPageBreak/>
        <w:t>As the mortgage markets creaked and groaned, the problem revealed its second face. Corporate credit began to wobble too. If consumers cannot buy, revenues cannot hold. If revenues cannot hold, debt cannot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77777777" w:rsidR="009062C6" w:rsidRDefault="009062C6" w:rsidP="009062C6">
      <w:r>
        <w:t>Perhaps most remarkably, it was AI itself that made the necessary policy solutions credible and acceptable. Political arguments are always qualitative, self-serving, and incomplete. But AIs that could cross-check each other, and could reason over deep new data collection systems,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61FF12E9" w:rsidR="009062C6" w:rsidRPr="009062C6" w:rsidRDefault="009062C6" w:rsidP="009062C6">
      <w:r>
        <w:t xml:space="preserve">Machines that could explain complex matters simply and honestly provided the revelations that transformed politics. Their avatars debated human politicians fluently, in real time. The smartest politicians allied themselves with machines, not to manipulate voters, but to inform each voter at his or her own level,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t>Europe</w:t>
      </w:r>
    </w:p>
    <w:p w14:paraId="56B0C07A" w14:textId="44B33B2F" w:rsidR="00F46C20" w:rsidRDefault="00F46C20" w:rsidP="00F46C20">
      <w:r>
        <w:t>European governments entered the storm with three primary weaknesses.</w:t>
      </w:r>
    </w:p>
    <w:p w14:paraId="63C6E720" w14:textId="2AF2453B" w:rsidR="00F46C20" w:rsidRDefault="00F46C20" w:rsidP="00F46C20">
      <w:r>
        <w:t>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rather than continental coherence. Meanwhile, the Ukraine war shifted the balance of industrial and military relevance eastward, raising the strategic weight of Poland and, later, of Ukraine itself after accession.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 xml:space="preserve">Third, Europeans tended to regard disruption as a social hazard rather than an opportunity. European political systems were built to preserve legitimacy. Demography also weighed on growth. When work and </w:t>
      </w:r>
      <w:r>
        <w:lastRenderedPageBreak/>
        <w:t>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1102C7AA" w:rsidR="00F46C20" w:rsidRPr="00F46C20" w:rsidRDefault="00F46C20" w:rsidP="00F46C20">
      <w:r>
        <w:t>The very fact that Europeans could speak openly about reducing labor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112ADBA3" w:rsidR="009812EA" w:rsidRDefault="009812EA" w:rsidP="009812EA">
      <w:r>
        <w:t>That same tradition left modern France unusually well equipped for the AI transition. It possessed both the administrative machinery and the intellectual elite needed to operate that machinery. Of all the European states, France was best prepared not merely to endure the transition, but to design and guide it.</w:t>
      </w:r>
    </w:p>
    <w:p w14:paraId="3CCD2F1E" w14:textId="626F2557"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manifestation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0BD04AFC"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popular,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569DF7C"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 Po’s</w:t>
      </w:r>
      <w:r w:rsidR="009F780A">
        <w:t xml:space="preserve"> sister institutions in French public policy, economics, law and administration</w:t>
      </w:r>
      <w:r>
        <w:t xml:space="preserve">, with guest speakers and observers from </w:t>
      </w:r>
      <w:r w:rsidR="00D571B1">
        <w:t>around</w:t>
      </w:r>
      <w:r>
        <w:t xml:space="preserve"> the world. Notably, no American business executives were invited. </w:t>
      </w:r>
    </w:p>
    <w:p w14:paraId="1F236E26" w14:textId="78C099E2" w:rsidR="00C918D6" w:rsidRDefault="00C918D6" w:rsidP="002F734D">
      <w:r>
        <w:lastRenderedPageBreak/>
        <w:t xml:space="preserve">The </w:t>
      </w:r>
      <w:r w:rsidR="000E461A">
        <w:t xml:space="preserve">President of France was an </w:t>
      </w:r>
      <w:r w:rsidR="009E253D">
        <w:t>energetic</w:t>
      </w:r>
      <w:r w:rsidR="000E461A">
        <w:t xml:space="preserve"> young man, recently elected in part because of his </w:t>
      </w:r>
      <w:r w:rsidR="009E253D">
        <w:t xml:space="preserve">open and </w:t>
      </w:r>
      <w:r w:rsidR="000E461A">
        <w:t xml:space="preserve">empathetic acknowledgment of the difficult economy. He </w:t>
      </w:r>
      <w:r w:rsidR="009E0504">
        <w:t>opened</w:t>
      </w:r>
      <w:r>
        <w:t xml:space="preserve"> the </w:t>
      </w:r>
      <w:r w:rsidR="000E461A">
        <w:t>session</w:t>
      </w:r>
      <w:r>
        <w:t xml:space="preserve"> by noting indicators of economic distress that were rising </w:t>
      </w:r>
      <w:r w:rsidR="002213DF">
        <w:t>in France</w:t>
      </w:r>
      <w:r>
        <w:t xml:space="preserve">, 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321221">
        <w:t xml:space="preserve">, </w:t>
      </w:r>
      <w:r w:rsidR="009F780A">
        <w:t>the 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26C3CD73" w:rsidR="00C461E5" w:rsidRDefault="009F780A" w:rsidP="009F780A">
      <w:r w:rsidRPr="009F780A">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the</w:t>
      </w:r>
      <w:r w:rsidR="00C461E5">
        <w:t xml:space="preserve"> law</w:t>
      </w:r>
      <w:r w:rsidRPr="009F780A">
        <w:t xml:space="preserve">. </w:t>
      </w:r>
    </w:p>
    <w:p w14:paraId="59458CDB" w14:textId="1AF0C899"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661CC921"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724E948"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w:t>
      </w:r>
      <w:r w:rsidR="002A0C0A">
        <w:lastRenderedPageBreak/>
        <w:t xml:space="preserve">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An important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53CA3B67" w:rsidR="00783217" w:rsidRDefault="006633DA" w:rsidP="00982314">
      <w:r>
        <w:t>This recital of facts was revolutionary i</w:t>
      </w:r>
      <w:r w:rsidR="00783217">
        <w:t xml:space="preserve">n the </w:t>
      </w:r>
      <w:r w:rsidR="00B117DF">
        <w:t xml:space="preserve">context of </w:t>
      </w:r>
      <w:r w:rsidR="00783217">
        <w:t xml:space="preserve">French </w:t>
      </w:r>
      <w:r w:rsidR="007A09CE">
        <w:t xml:space="preserve">social and </w:t>
      </w:r>
      <w:r w:rsidR="00783217">
        <w:t xml:space="preserve">political </w:t>
      </w:r>
      <w:r w:rsidR="00B117DF">
        <w:t>history</w:t>
      </w:r>
      <w:r>
        <w:t>, b</w:t>
      </w:r>
      <w:r w:rsidR="00D139F9">
        <w:t xml:space="preserve">ut data presented at the conference demonstrated the truth of it. The </w:t>
      </w:r>
      <w:r w:rsidR="007A09CE">
        <w:t>shock</w:t>
      </w:r>
      <w:r w:rsidR="002A0EC1">
        <w:t xml:space="preserve"> was somewhat tempered by </w:t>
      </w:r>
      <w:r w:rsidR="0051484F">
        <w:t xml:space="preserve">similar data showing </w:t>
      </w:r>
      <w:r>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4CE4882D"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 xml:space="preserve">and demand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140E8B4E"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 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234DA80B" w:rsidR="00A17A7A" w:rsidRPr="00A17A7A" w:rsidRDefault="00A17A7A" w:rsidP="00A17A7A">
      <w:pPr>
        <w:rPr>
          <w:rFonts w:ascii="Times New Roman" w:eastAsia="Times New Roman" w:hAnsi="Times New Roman"/>
        </w:rPr>
      </w:pPr>
      <w:r>
        <w:t xml:space="preserve">First, it had to replace the shrinking wage-income channel. Second, it had to redirect part of the capital stream into broad ownership and public revenue. Third, prevent debt deflation from breaking households and banks. </w:t>
      </w:r>
      <w:r w:rsidR="0036671E">
        <w:t>And fourth, critically</w:t>
      </w:r>
      <w:r>
        <w:t xml:space="preserve">, </w:t>
      </w:r>
      <w:r w:rsidR="00CE54B8">
        <w:t>tax policies must</w:t>
      </w:r>
      <w:r>
        <w:t xml:space="preserve"> remain simple enough to be understood, stable enough to be trusted, and fair enough to be sustained politically. </w:t>
      </w:r>
    </w:p>
    <w:p w14:paraId="71E9957F" w14:textId="4F44608F" w:rsidR="004D07A3" w:rsidRDefault="00A17A7A" w:rsidP="004D07A3">
      <w:r w:rsidRPr="00722DB4">
        <w:rPr>
          <w:b/>
          <w:bCs/>
        </w:rPr>
        <w:t>Replace the shrinking wage income channel</w:t>
      </w:r>
      <w:r w:rsidRPr="00722DB4">
        <w:t xml:space="preserve">. </w:t>
      </w:r>
      <w:r w:rsidR="004D07A3">
        <w:t>Wages have traditionally done two jobs at once. They have provided households with purchasing power, and they have provided governments with a tax base. Jobs will not vanish altogether, but wage income will no longer be broad enough to carry the full weight of either function. Income therefore had to be supplemented directly.</w:t>
      </w:r>
    </w:p>
    <w:p w14:paraId="41B909CB" w14:textId="33671DE3" w:rsidR="004D07A3" w:rsidRDefault="004D07A3" w:rsidP="004D07A3">
      <w:r>
        <w:lastRenderedPageBreak/>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77E5873C" w:rsidR="004D07A3" w:rsidRDefault="004D07A3" w:rsidP="004D07A3">
      <w:r>
        <w:t>The UBI should be funded from three sources. The first was a value-added tax on all consumption, without exception, paired with a rebate for households below a minimum income threshold. Second, dividend income from a new Public Equity Trust. And third, a small contribution from general government revenues. In the event of a shortfall, the UBI could be supplemented as necessary by limited government money issuance. In the more deflationary conditions created by intelligent automation, such issuance would be modest and not inflationary.</w:t>
      </w:r>
    </w:p>
    <w:p w14:paraId="4056B339" w14:textId="4E167C49" w:rsidR="00A91307" w:rsidRDefault="004D07A3" w:rsidP="004D07A3">
      <w:r>
        <w:t xml:space="preserve">The value-added tax would be substantial, 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tax-free minimum. In this way, the system would support household purchasing power while keeping the overall tax structure broad, </w:t>
      </w:r>
      <w:r w:rsidR="0036671E">
        <w:t>understandable</w:t>
      </w:r>
      <w:r>
        <w:t>, and economically efficient.</w:t>
      </w:r>
    </w:p>
    <w:p w14:paraId="5C583653" w14:textId="4A3D0718" w:rsidR="004D07A3" w:rsidRDefault="000E461A" w:rsidP="004D07A3">
      <w:r>
        <w:t>T</w:t>
      </w:r>
      <w:r w:rsidR="004D07A3">
        <w:t xml:space="preserve">he old wage channel </w:t>
      </w:r>
      <w:r>
        <w:t xml:space="preserve">would thus be reinforced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75347FBD" w:rsidR="001E1DB9" w:rsidRDefault="001E1DB9" w:rsidP="001E1DB9">
      <w:r>
        <w:t>A national wealth fund,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its FRR, the </w:t>
      </w:r>
      <w:r w:rsidR="00722DB4" w:rsidRPr="00722DB4">
        <w:rPr>
          <w:i/>
          <w:iCs/>
        </w:rPr>
        <w:t>Fonds de réserve pour les retraites</w:t>
      </w:r>
      <w:r w:rsidR="00613308">
        <w:rPr>
          <w:i/>
          <w:iCs/>
        </w:rPr>
        <w:t>,</w:t>
      </w:r>
      <w:r w:rsidR="00722DB4">
        <w:t xml:space="preserve"> which invested in market assets.</w:t>
      </w:r>
    </w:p>
    <w:p w14:paraId="32464CF9" w14:textId="7681FA66"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pay-back would somewhat delay the benefits, but still give </w:t>
      </w:r>
      <w:r>
        <w:t>the public an immediate foothold in the productive wealth of the country.</w:t>
      </w:r>
    </w:p>
    <w:p w14:paraId="0153ED67" w14:textId="048BDC4F" w:rsidR="001E1DB9" w:rsidRDefault="001E1DB9" w:rsidP="001E1DB9">
      <w:r>
        <w:t xml:space="preserve">At the same time, companies would be required to issue new dilutive shares to the national fund, equal to 2 percent of their equity at the beginning of </w:t>
      </w:r>
      <w:r w:rsidR="00613308">
        <w:t>each</w:t>
      </w:r>
      <w:r>
        <w:t xml:space="preserve"> fiscal year. But this process would be capped. By law, the fund could never own more than 49 percent of the total equity of French companies, and the expectation was that it would not need to rise above roughly 25 to 30 percent. After the original acquisition loan was repaid, dividends flowing to the fund would become a continuing source of support for the UBI.</w:t>
      </w:r>
    </w:p>
    <w:p w14:paraId="0BC7494F" w14:textId="1151B31A" w:rsidR="001E1DB9" w:rsidRDefault="001E1DB9" w:rsidP="001E1DB9">
      <w:r>
        <w:t>This would be a kind of wealth tax, but not a direct personal one. It socialized part of the capital stream without abolishing private property or private control. In this way, the public stake would widen gradually rather than through confiscation, growing along with the corporate sector itself.</w:t>
      </w:r>
    </w:p>
    <w:p w14:paraId="3A591D52" w14:textId="58AEC429" w:rsidR="001E1DB9" w:rsidRDefault="001E1DB9" w:rsidP="001E1DB9">
      <w:r>
        <w:t>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national fund would remain untaxed there as well.</w:t>
      </w:r>
    </w:p>
    <w:p w14:paraId="6B411503" w14:textId="43A84491" w:rsidR="001E1DB9" w:rsidRDefault="001E1DB9" w:rsidP="001E1DB9">
      <w:r>
        <w:lastRenderedPageBreak/>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0650B8A7" w:rsidR="0023741F" w:rsidRDefault="001E1DB9" w:rsidP="001E1DB9">
      <w:r>
        <w:t>Over time, that reinvestment would generate more wealth, higher productivity, and larger dividend streams, some of which would flow through the national wealth fund and the UBI to support consumption.</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7FDCD9AD" w:rsidR="004646F8" w:rsidRDefault="003C66A1" w:rsidP="003C66A1">
      <w:r>
        <w:t>This new policy was easy to defend to citizens, to the banks, and to the French state itself. It would preserve household solvency, as well as the credit system on which savings, lending, and investment depend. The duty of the state was not to side with either the creditor or the debtor, but to regulate the pressure between them so that both could pass through the transition intact.</w:t>
      </w:r>
    </w:p>
    <w:p w14:paraId="01D734EE" w14:textId="689C8C0F"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 xml:space="preserve">conceived “in concert” 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1B38443E" w:rsidR="003C66A1" w:rsidRDefault="003C66A1" w:rsidP="003C66A1">
      <w:r>
        <w:t xml:space="preserve">The elements of the </w:t>
      </w:r>
      <w:r w:rsidR="00484AD3">
        <w:t xml:space="preserve">tax </w:t>
      </w:r>
      <w:r>
        <w:t>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governed by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4D54D1F" w:rsidR="0076041F" w:rsidRDefault="0076041F" w:rsidP="0076041F">
      <w:r>
        <w:t>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transparently measurable in public.</w:t>
      </w:r>
    </w:p>
    <w:p w14:paraId="3CBF016A" w14:textId="759630C4" w:rsidR="0076041F" w:rsidRDefault="0076041F" w:rsidP="0076041F">
      <w:r>
        <w:lastRenderedPageBreak/>
        <w:t xml:space="preserve">This was </w:t>
      </w:r>
      <w:r w:rsidR="00CB6EED">
        <w:t>neither</w:t>
      </w:r>
      <w:r>
        <w:t xml:space="preserve"> socialism</w:t>
      </w:r>
      <w:r w:rsidR="00CB6EED">
        <w:t xml:space="preserve"> </w:t>
      </w:r>
      <w:r>
        <w:t>nor an attempt to replace the market. Companies would remain private, competitive, and strongly oriented toward profit and reinvestment. But because all citizens would collectively own the national wealth fund,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1FB340D3" w:rsidR="0076041F" w:rsidRDefault="0076041F" w:rsidP="0076041F">
      <w:r>
        <w:t>This new economic loop depended in part on dividend distribution, and the tax system was designed accordingly. Distributions would not be taxed at the corporate level, not as a gift to companies, but as an incentive created on behalf of shareholders, among whom the public fund would become increasingly important. UBI, meanwhile, was more than a pension substitute. It would support households across the life cycle: in youth, in study, in child-rearing, in interrupted work, and in old age. And because the system strongly favored reinvestment for corporate growth, citizens would gain not only income, but wealth. Over time, the national fund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5DE4C891" w:rsidR="001A7BB1" w:rsidRDefault="001A7BB1" w:rsidP="00837090">
      <w:r>
        <w:t xml:space="preserve">European Union law imposed important design constraints on any French version of the New Loop. The national wealth fund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6A82EC08" w14:textId="75983BEB" w:rsidR="00723E01" w:rsidRDefault="00723E01" w:rsidP="00723E01">
      <w:pPr>
        <w:rPr>
          <w:rFonts w:ascii="Times New Roman" w:eastAsia="Times New Roman" w:hAnsi="Times New Roman"/>
        </w:rPr>
      </w:pPr>
      <w:r>
        <w:t xml:space="preserve">Historically, </w:t>
      </w:r>
      <w:r w:rsidR="00215A8B">
        <w:t>the American</w:t>
      </w:r>
      <w:r>
        <w:t xml:space="preserve"> revolution came before </w:t>
      </w:r>
      <w:r w:rsidR="002968EC">
        <w:t>the French one</w:t>
      </w:r>
      <w:r>
        <w:t>. The United States were first. But in this new</w:t>
      </w:r>
      <w:r w:rsidR="00215A8B">
        <w:t>er</w:t>
      </w:r>
      <w:r>
        <w:t xml:space="preserve"> revolutionary age, France saw more clearly than we did what had to be done</w:t>
      </w:r>
      <w:r w:rsidR="00824B3E">
        <w:t xml:space="preserve">. France </w:t>
      </w:r>
      <w:r>
        <w:t xml:space="preserve">acted first, with a coherence, elegance, and élan that </w:t>
      </w:r>
      <w:r w:rsidR="001F5432">
        <w:t>America</w:t>
      </w:r>
      <w:r>
        <w:t xml:space="preserve"> lacked. There were rough passages, of course. As the simulations had predicted, the great deflation could not be entirely prevented, and economic policy moved, as it always does, with a lag. Yet the larger fact remained: it worked. The transition was not painless, but it held</w:t>
      </w:r>
      <w:r w:rsidR="004E73A2">
        <w:t>, a</w:t>
      </w:r>
      <w:r>
        <w:t xml:space="preserve">nd the </w:t>
      </w:r>
      <w:r>
        <w:lastRenderedPageBreak/>
        <w:t xml:space="preserve">world that emerged was better and fairer than </w:t>
      </w:r>
      <w:r w:rsidR="004E73A2">
        <w:t>what</w:t>
      </w:r>
      <w:r>
        <w:t xml:space="preserve"> might so easily have followed. It did not have to turn out that way. But it did.</w:t>
      </w:r>
    </w:p>
    <w:p w14:paraId="6316AD8C" w14:textId="77777777" w:rsidR="00723E01" w:rsidRPr="00723E01" w:rsidRDefault="00723E01" w:rsidP="00723E01"/>
    <w:p w14:paraId="22BB0CBD" w14:textId="77777777" w:rsidR="00723E01" w:rsidRPr="00723E01" w:rsidRDefault="00723E01" w:rsidP="00723E01"/>
    <w:p w14:paraId="69DBD561" w14:textId="77777777" w:rsidR="00DB207E" w:rsidRDefault="00DB207E">
      <w:pPr>
        <w:rPr>
          <w:rFonts w:asciiTheme="majorHAnsi" w:eastAsiaTheme="majorEastAsia" w:hAnsiTheme="majorHAnsi" w:cstheme="majorBidi"/>
          <w:b/>
          <w:bCs/>
          <w:color w:val="365F91" w:themeColor="accent1" w:themeShade="BF"/>
          <w:sz w:val="28"/>
          <w:szCs w:val="28"/>
        </w:rPr>
      </w:pPr>
      <w:r>
        <w:br w:type="page"/>
      </w:r>
    </w:p>
    <w:p w14:paraId="74AAA953" w14:textId="6B9100C9" w:rsidR="00291C33" w:rsidRDefault="001D7596" w:rsidP="00291C33">
      <w:pPr>
        <w:pStyle w:val="Heading1"/>
      </w:pPr>
      <w:r>
        <w:lastRenderedPageBreak/>
        <w:t xml:space="preserve">New Loop </w:t>
      </w:r>
      <w:r w:rsidR="00291C33">
        <w:t xml:space="preserve">Model </w:t>
      </w:r>
      <w:r>
        <w:t>APP</w:t>
      </w:r>
      <w:r w:rsidR="00C1608D">
        <w:t xml:space="preserve"> and </w:t>
      </w:r>
      <w:r w:rsidR="00A4394F">
        <w:t>O</w:t>
      </w:r>
      <w:r w:rsidR="00291C33">
        <w:t>utputs</w:t>
      </w:r>
    </w:p>
    <w:p w14:paraId="04D568B1" w14:textId="47D2E3D1" w:rsidR="00C1608D" w:rsidRDefault="008C0005" w:rsidP="00C1608D">
      <w:r>
        <w:rPr>
          <w:noProof/>
        </w:rPr>
        <w:drawing>
          <wp:anchor distT="0" distB="0" distL="114300" distR="114300" simplePos="0" relativeHeight="251660288" behindDoc="0" locked="0" layoutInCell="1" allowOverlap="1" wp14:anchorId="286CEF3F" wp14:editId="2A8B3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8"/>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rsidR="006D7154">
        <w:t>New Loop</w:t>
      </w:r>
      <w:r w:rsidR="00C1608D">
        <w:t xml:space="preserve"> is written in Python, and its structure is therefore open to inspection by any reader who wishes to examine it directly. It is, however, a fairly detailed model, with many parameters that can be changed to observe their consequences. The purpose of this section is to </w:t>
      </w:r>
      <w:r w:rsidR="00D934AE">
        <w:t>illustrate</w:t>
      </w:r>
      <w:r w:rsidR="00C1608D">
        <w:t xml:space="preserve"> what can be learned by running the model, and to emphasize that the code implements the same mechanisms described in the policy discussion above.</w:t>
      </w:r>
    </w:p>
    <w:p w14:paraId="06834C51" w14:textId="2575A5D6" w:rsidR="00B632F5" w:rsidRDefault="008C0005" w:rsidP="00C1608D">
      <w:r>
        <w:t xml:space="preserve">The partial screen </w:t>
      </w:r>
      <w:r w:rsidR="00B632F5">
        <w:t>capture</w:t>
      </w:r>
      <w:r>
        <w:t xml:space="preserve"> at right illustrates </w:t>
      </w:r>
      <w:r w:rsidR="000577A2">
        <w:t>that</w:t>
      </w:r>
      <w:r>
        <w:t xml:space="preserve"> the app offers drop-down lists</w:t>
      </w:r>
      <w:r w:rsidR="000577A2">
        <w:t xml:space="preserve"> in a sidebar so users</w:t>
      </w:r>
      <w:r>
        <w:t xml:space="preserve"> </w:t>
      </w:r>
      <w:r w:rsidR="000577A2">
        <w:t>can</w:t>
      </w:r>
      <w:r>
        <w:t xml:space="preserve"> </w:t>
      </w:r>
      <w:r w:rsidR="000577A2">
        <w:t>change the</w:t>
      </w:r>
      <w:r w:rsidR="00B632F5">
        <w:t xml:space="preserve"> default </w:t>
      </w:r>
      <w:r>
        <w:t>parameter</w:t>
      </w:r>
      <w:r w:rsidR="00B632F5">
        <w:t xml:space="preserve"> values</w:t>
      </w:r>
      <w:r w:rsidR="00B632F5">
        <w:rPr>
          <w:rStyle w:val="FootnoteReference"/>
        </w:rPr>
        <w:footnoteReference w:id="1"/>
      </w:r>
      <w:r>
        <w:t xml:space="preserve"> for a simulated run. The parameters are </w:t>
      </w:r>
      <w:r w:rsidR="00B632F5">
        <w:t>categorized</w:t>
      </w:r>
      <w:r>
        <w:t xml:space="preserve">: Trust, Taxes, UBI, Automation, Price &amp; Capital, Population. </w:t>
      </w:r>
      <w:r w:rsidR="006A033B">
        <w:t xml:space="preserve">In the Trust parameters, for instance, it might be interesting to change the size of the Launch Loan, or eliminate it altogether. </w:t>
      </w:r>
      <w:r>
        <w:t xml:space="preserve">In addition to </w:t>
      </w:r>
      <w:r w:rsidR="006A033B">
        <w:t>many data plots</w:t>
      </w:r>
      <w:r>
        <w:t xml:space="preserve">, the entire quarterly stream of data </w:t>
      </w:r>
      <w:r w:rsidR="006A033B">
        <w:t xml:space="preserve">generated by a simulation run </w:t>
      </w:r>
      <w:r>
        <w:t>is captured for inspection in a scrollable table.</w:t>
      </w:r>
    </w:p>
    <w:p w14:paraId="3A3D17BA" w14:textId="0846D68D" w:rsidR="00C1608D" w:rsidRDefault="006D7154" w:rsidP="00C1608D">
      <w:r>
        <w:t>New Loop</w:t>
      </w:r>
      <w:r w:rsidR="00C1608D">
        <w:t xml:space="preserve">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00B498CE" w14:textId="7FF6244D" w:rsidR="00C1608D" w:rsidRDefault="00C1608D" w:rsidP="00C1608D">
      <w:r>
        <w:t xml:space="preserve">Because the story told here is about the production-wages-consumption loop, it is essential that all cash flows into and out of the model’s nodes add up. For readers with an engineering background, this is directly analogous to Kirchhoff’s law governing electrical current flows. </w:t>
      </w:r>
      <w:r w:rsidR="006D7154">
        <w:t>New Loop</w:t>
      </w:r>
      <w:r>
        <w:t xml:space="preserve"> does not </w:t>
      </w:r>
      <w:r w:rsidR="000577A2">
        <w:t>have any</w:t>
      </w:r>
      <w:r>
        <w:t xml:space="preserve"> hidden or gratuitous cash flows to </w:t>
      </w:r>
      <w:r w:rsidR="000577A2">
        <w:t>bias</w:t>
      </w:r>
      <w:r>
        <w:t xml:space="preserve"> the results. The code is instrumented to verify that these flows remain fully consistent.</w:t>
      </w:r>
    </w:p>
    <w:p w14:paraId="3A65BEB4" w14:textId="37756209" w:rsidR="00C1608D" w:rsidRDefault="006D7154" w:rsidP="00C1608D">
      <w:r>
        <w:t>New Loop</w:t>
      </w:r>
      <w:r w:rsidR="00C1608D">
        <w:t xml:space="preserve"> creates an initial population of 20,000 households whose incomes, invested wealth, revolving debts, and mortgages roughly parallel </w:t>
      </w:r>
      <w:r w:rsidR="000577A2">
        <w:t xml:space="preserve">the proportions of </w:t>
      </w:r>
      <w:r w:rsidR="00C1608D">
        <w:t xml:space="preserve">those </w:t>
      </w:r>
      <w:r w:rsidR="000577A2">
        <w:t>in</w:t>
      </w:r>
      <w:r w:rsidR="00C1608D">
        <w:t xml:space="preserve"> the current United States population. Lower-income households, for example, carry more revolving debt relative to net worth. A marginal-propensity-to-consume structure is discretized over five quintiles of the population. </w:t>
      </w:r>
      <w:r w:rsidR="000577A2">
        <w:t>H</w:t>
      </w:r>
      <w:r w:rsidR="00C1608D">
        <w:t>ouseholds are generated from a statistical distribution rather than imported from raw microdata, though that part of the code could readily be replaced with a module that reads actual household data.</w:t>
      </w:r>
    </w:p>
    <w:p w14:paraId="1A651574" w14:textId="00AF5145" w:rsidR="00C1608D" w:rsidRDefault="00C1608D" w:rsidP="00C1608D">
      <w:r>
        <w:t xml:space="preserve">Mortgages and revolving debt are the only debt instruments </w:t>
      </w:r>
      <w:r w:rsidR="000577A2">
        <w:t>modeled in New Loop</w:t>
      </w:r>
      <w:r>
        <w:t xml:space="preserve">. Bonds are not included. </w:t>
      </w:r>
      <w:r w:rsidR="002B13D5">
        <w:t>That</w:t>
      </w:r>
      <w:r>
        <w:t xml:space="preserve"> is a limitation, but probably a less serious one than it might first appear. In a real economy, bonds and equity are both reservoirs of value, though with different characteristic 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w:t>
      </w:r>
      <w:r>
        <w:lastRenderedPageBreak/>
        <w:t>environment, it is likely that much commercial debt would be renegotiated rather than simply defaulted. Gold is also a surprisingly large store of value, but it is unproductive and therefore not important for the purposes of this model.</w:t>
      </w:r>
    </w:p>
    <w:p w14:paraId="71E9133D" w14:textId="12A6DACD" w:rsidR="00C1608D" w:rsidRDefault="00C1608D" w:rsidP="00C1608D">
      <w:r>
        <w:t>The model contains a single Bank. Corporations are represented by</w:t>
      </w:r>
      <w:r w:rsidR="008907B9">
        <w:t xml:space="preserve"> an</w:t>
      </w:r>
      <w:r>
        <w:t xml:space="preserve"> Information-sector </w:t>
      </w:r>
      <w:r w:rsidR="008907B9">
        <w:t>company</w:t>
      </w:r>
      <w:r>
        <w:t>, which adop</w:t>
      </w:r>
      <w:r w:rsidR="008907B9">
        <w:t>ts a</w:t>
      </w:r>
      <w:r>
        <w:t xml:space="preserve">utomation earlier, faster, and more completely, and </w:t>
      </w:r>
      <w:r w:rsidR="008907B9">
        <w:t>a</w:t>
      </w:r>
      <w:r>
        <w:t xml:space="preserve"> Physical-sector </w:t>
      </w:r>
      <w:r w:rsidR="008907B9">
        <w:t>company</w:t>
      </w:r>
      <w:r>
        <w:t>, which adopt</w:t>
      </w:r>
      <w:r w:rsidR="008907B9">
        <w:t>s</w:t>
      </w:r>
      <w:r>
        <w:t xml:space="preserve"> more slowly and ultimately less completely. These adoption paths are represented by longitudinal S-curves spanning the full eighty quarters of simulated time. Government receives taxes and issues money only as the model requires.</w:t>
      </w:r>
    </w:p>
    <w:p w14:paraId="6A820C2B" w14:textId="03927352" w:rsidR="00C1608D" w:rsidRDefault="00C1608D" w:rsidP="00C1608D">
      <w:r>
        <w:t xml:space="preserve">The model aims to be realistic where realism matters most. As automation rises, corporate productivity increases and costs decline. </w:t>
      </w:r>
      <w:r w:rsidR="006D7154">
        <w:t>New Loop</w:t>
      </w:r>
      <w:r>
        <w:t>’s parameters govern how much of that gain is captured and reinvested or distributed to shareholders, and how much is passed through into lower prices under competitive pressure.</w:t>
      </w:r>
    </w:p>
    <w:p w14:paraId="6A0B540E" w14:textId="0A26B395" w:rsidR="00C1608D" w:rsidRDefault="00C1608D" w:rsidP="00C1608D">
      <w:r>
        <w:t>Mortgage payments are indexed exactly as described in the policy discussion above. The Bank receives the indexed payments, and the Government makes make-whole payments according to the terms of each household’s mortgage.</w:t>
      </w:r>
    </w:p>
    <w:p w14:paraId="54C76653" w14:textId="65091A70" w:rsidR="00C1608D" w:rsidRPr="00C1608D" w:rsidRDefault="006D7154" w:rsidP="00C1608D">
      <w:r>
        <w:t>New Loop</w:t>
      </w:r>
      <w:r w:rsidR="00C1608D">
        <w:t xml:space="preserve">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1769A34A" w14:textId="04433483" w:rsidR="00835848" w:rsidRDefault="00835848" w:rsidP="00835848">
      <w:pPr>
        <w:pStyle w:val="Heading2"/>
      </w:pPr>
      <w:bookmarkStart w:id="0" w:name="header"/>
      <w:bookmarkStart w:id="1" w:name="health-and-wealth-research-brief"/>
      <w:bookmarkStart w:id="2" w:name="content"/>
      <w:bookmarkEnd w:id="0"/>
      <w:r>
        <w:t>Automation curves</w:t>
      </w:r>
    </w:p>
    <w:p w14:paraId="6D5239AA" w14:textId="270E5F3C" w:rsidR="00835848" w:rsidRDefault="00313B47">
      <w:r>
        <w:rPr>
          <w:noProof/>
        </w:rPr>
        <w:drawing>
          <wp:anchor distT="0" distB="0" distL="114300" distR="114300" simplePos="0" relativeHeight="251658240" behindDoc="0" locked="0" layoutInCell="1" allowOverlap="1" wp14:anchorId="72F7256E" wp14:editId="26749688">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9"/>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rsidR="00835848">
        <w:t>These curves depict intelligent automation adoption in the Information and Physical sectors of the economy over 80 quarters of time.</w:t>
      </w:r>
      <w:r w:rsidR="008A636A">
        <w:t xml:space="preserv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14B7C853" w14:textId="2B0E8521" w:rsidR="008A636A" w:rsidRDefault="008A636A">
      <w:r>
        <w:t xml:space="preserve">The dotted lines show the derivatives of the automation curves, to </w:t>
      </w:r>
      <w:r w:rsidR="00313B47">
        <w:t xml:space="preserve">illustrate the different </w:t>
      </w:r>
      <w:r>
        <w:t>rates of change</w:t>
      </w:r>
      <w:r w:rsidR="00313B47">
        <w:t xml:space="preserve"> in these two sectors.</w:t>
      </w:r>
    </w:p>
    <w:p w14:paraId="5A6F6585" w14:textId="2AF0C154" w:rsidR="008A636A" w:rsidRDefault="008A636A" w:rsidP="008A636A">
      <w:pPr>
        <w:pStyle w:val="Heading2"/>
      </w:pPr>
      <w:r>
        <w:t>Population distributions</w:t>
      </w:r>
    </w:p>
    <w:p w14:paraId="4FEBC1BE" w14:textId="39675B16" w:rsidR="002D6D89" w:rsidRDefault="00313B47">
      <w:r>
        <w:t>The next two plots show</w:t>
      </w:r>
      <w:r w:rsidR="002459A8">
        <w:t xml:space="preserve"> the income and wealth distributions before the new system is instituted, and at the end of the simulation. </w:t>
      </w:r>
      <w:r w:rsidR="002D6D89">
        <w:t>These represent real, not nominal, dollars.</w:t>
      </w:r>
    </w:p>
    <w:p w14:paraId="0A34DDBE" w14:textId="470CC4EE" w:rsidR="008A636A" w:rsidRDefault="002459A8">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w:t>
      </w:r>
      <w:r>
        <w:lastRenderedPageBreak/>
        <w:t xml:space="preserve">unemployed households is substantial, and the entire population has much higher incomes than before. This reflects both the UBI and the increase in corporate production with automation, since a portion of that is distributed as dividends. </w:t>
      </w:r>
    </w:p>
    <w:p w14:paraId="4F4034C8" w14:textId="13730FDF" w:rsidR="002459A8" w:rsidRDefault="002459A8">
      <w:r>
        <w:rPr>
          <w:noProof/>
        </w:rPr>
        <w:drawing>
          <wp:inline distT="0" distB="0" distL="0" distR="0" wp14:anchorId="403496E2" wp14:editId="3524F351">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0"/>
                    <a:stretch>
                      <a:fillRect/>
                    </a:stretch>
                  </pic:blipFill>
                  <pic:spPr>
                    <a:xfrm>
                      <a:off x="0" y="0"/>
                      <a:ext cx="5943600" cy="2037715"/>
                    </a:xfrm>
                    <a:prstGeom prst="rect">
                      <a:avLst/>
                    </a:prstGeom>
                  </pic:spPr>
                </pic:pic>
              </a:graphicData>
            </a:graphic>
          </wp:inline>
        </w:drawing>
      </w:r>
    </w:p>
    <w:p w14:paraId="3EBE4DCB" w14:textId="17555933" w:rsidR="002459A8" w:rsidRDefault="002D6D89">
      <w:r>
        <w:t xml:space="preserve">In this model run the trust equity was capped at 30%, which </w:t>
      </w:r>
      <w:r w:rsidR="00313B47">
        <w:t>is reached</w:t>
      </w:r>
      <w:r>
        <w:t xml:space="preserve"> after about 50 quarters. </w:t>
      </w:r>
      <w:r w:rsidR="002459A8">
        <w:t>The wealth distributions</w:t>
      </w:r>
      <w:r w:rsidR="00313B47">
        <w:t xml:space="preserve"> </w:t>
      </w:r>
      <w:r>
        <w:t>show that at the 50</w:t>
      </w:r>
      <w:r w:rsidRPr="002D6D89">
        <w:rPr>
          <w:vertAlign w:val="superscript"/>
        </w:rPr>
        <w:t>th</w:t>
      </w:r>
      <w:r>
        <w:t xml:space="preserve"> percentile (right-hand dotted line) of the right-hand chart below, </w:t>
      </w:r>
      <w:r w:rsidR="00313B47">
        <w:t xml:space="preserve">households are considerably </w:t>
      </w:r>
      <w:r w:rsidR="00A4394F">
        <w:t>wealthie</w:t>
      </w:r>
      <w:r w:rsidR="00B24A74">
        <w:t>r</w:t>
      </w:r>
      <w:r w:rsidR="00313B47">
        <w:t xml:space="preserve">,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21B434E5" w14:textId="572180F0" w:rsidR="00313B47" w:rsidRDefault="00313B47">
      <w:r>
        <w:t>Although not illustrated here, there is nothing magic about the 30% equity cap. The numbers work out acceptably well at 25%, or at 35%. The policies working together have a broad range of stability.</w:t>
      </w:r>
    </w:p>
    <w:p w14:paraId="68573FA4" w14:textId="77777777" w:rsidR="002D6D89" w:rsidRDefault="002D6D89"/>
    <w:p w14:paraId="61BDD2CD" w14:textId="31D6281C" w:rsidR="002D6D89" w:rsidRDefault="002D6D89">
      <w:r>
        <w:rPr>
          <w:noProof/>
        </w:rPr>
        <w:drawing>
          <wp:inline distT="0" distB="0" distL="0" distR="0" wp14:anchorId="7FCD8BC4" wp14:editId="68797012">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1"/>
                    <a:stretch>
                      <a:fillRect/>
                    </a:stretch>
                  </pic:blipFill>
                  <pic:spPr>
                    <a:xfrm>
                      <a:off x="0" y="0"/>
                      <a:ext cx="5943600" cy="2510155"/>
                    </a:xfrm>
                    <a:prstGeom prst="rect">
                      <a:avLst/>
                    </a:prstGeom>
                  </pic:spPr>
                </pic:pic>
              </a:graphicData>
            </a:graphic>
          </wp:inline>
        </w:drawing>
      </w:r>
    </w:p>
    <w:p w14:paraId="05A64CF5" w14:textId="4FF8B0CF" w:rsidR="002D6D89" w:rsidRDefault="000F1932" w:rsidP="000F1932">
      <w:pPr>
        <w:pStyle w:val="Heading2"/>
      </w:pPr>
      <w:r>
        <w:t>Inequality (Gini metrics)</w:t>
      </w:r>
    </w:p>
    <w:p w14:paraId="426ECD95" w14:textId="2612AF8D" w:rsidR="006F3678" w:rsidRDefault="00215A8B" w:rsidP="000F1932">
      <w:r>
        <w:t xml:space="preserve">The wealth distribution might </w:t>
      </w:r>
      <w:r w:rsidR="000F1932">
        <w:t xml:space="preserve">be easier to understand </w:t>
      </w:r>
      <w:r>
        <w:t>as</w:t>
      </w:r>
      <w:r w:rsidR="000F1932">
        <w:t xml:space="preserve"> Gini metrics. </w:t>
      </w:r>
      <w:r w:rsidR="006D7154">
        <w:t>New Loop</w:t>
      </w:r>
      <w:r w:rsidR="000F1932">
        <w:t xml:space="preserve"> plots three measures of inequality throughout the simulation run. </w:t>
      </w:r>
      <w:r w:rsidR="006F3678">
        <w:t>In the plot</w:t>
      </w:r>
      <w:r>
        <w:t xml:space="preserve"> below</w:t>
      </w:r>
      <w:r w:rsidR="006F3678">
        <w:t xml:space="preserve">, the green line shows wealth inequality among the </w:t>
      </w:r>
      <w:r w:rsidR="006F3678">
        <w:lastRenderedPageBreak/>
        <w:t xml:space="preserve">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616959E4" w14:textId="17A90A0F" w:rsidR="00665140" w:rsidRDefault="00665140" w:rsidP="000F1932">
      <w:r>
        <w:rPr>
          <w:noProof/>
        </w:rPr>
        <w:drawing>
          <wp:anchor distT="0" distB="0" distL="114300" distR="114300" simplePos="0" relativeHeight="251659264" behindDoc="0" locked="0" layoutInCell="1" allowOverlap="1" wp14:anchorId="20D030FE" wp14:editId="6E8F8268">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2"/>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rsidR="006F3678">
        <w:t xml:space="preserve">This plot reveals two things. First, the transition policies altogether improve inequality of disposable income. The whole population can actively consume and support the new macroeconomic production </w:t>
      </w:r>
      <w:r>
        <w:t xml:space="preserve">- </w:t>
      </w:r>
      <w:r w:rsidR="006F3678">
        <w:t xml:space="preserve">consumption loop. </w:t>
      </w:r>
    </w:p>
    <w:p w14:paraId="586A067E" w14:textId="1139DF84" w:rsidR="00665140" w:rsidRDefault="006F3678" w:rsidP="000F1932">
      <w:r>
        <w:t xml:space="preserve">Second, the green wealth line shows that households that were wealthy before the automation transition remain </w:t>
      </w:r>
      <w:r w:rsidR="00617C56">
        <w:t>so</w:t>
      </w:r>
      <w:r>
        <w:t xml:space="preserve"> after it. There has been some shift, as the zoomed Wealth Distribution plot show, above. </w:t>
      </w:r>
      <w:r w:rsidR="00665140">
        <w:t xml:space="preserve">But the hierarchy of wealth in the population has not changed very much. The wealthy have not really been hurt. </w:t>
      </w:r>
    </w:p>
    <w:p w14:paraId="71A11CCA" w14:textId="04C136A7" w:rsidR="000F1932" w:rsidRDefault="00665140" w:rsidP="000F1932">
      <w:r>
        <w:t xml:space="preserve">This is important: it shows that the proposed policies demonstrably do not play out as a socialist or confiscatory regime. </w:t>
      </w:r>
      <w:r w:rsidR="00215A8B">
        <w:t>The New Loop</w:t>
      </w:r>
      <w:r>
        <w:t xml:space="preserve"> is still a capitalist society. Entrepreneurs and investors can still reap big rewards. In fact, the UBI and other policies make it safer to take financial risks and create innovations.</w:t>
      </w:r>
    </w:p>
    <w:p w14:paraId="3C475BCC" w14:textId="3FD86CCE" w:rsidR="00665140" w:rsidRDefault="00665140" w:rsidP="00665140">
      <w:pPr>
        <w:pStyle w:val="Heading2"/>
      </w:pPr>
      <w:r>
        <w:t>UBI and real household outcomes</w:t>
      </w:r>
    </w:p>
    <w:p w14:paraId="18420C59" w14:textId="1078B5C5" w:rsidR="00665140" w:rsidRPr="00665140" w:rsidRDefault="00665140" w:rsidP="00665140">
      <w:r>
        <w:t xml:space="preserve">The UBI funding mix ought to show substantial contributions from tax take, trust fund distributions, and </w:t>
      </w:r>
      <w:r w:rsidR="001577DA">
        <w:t xml:space="preserve">government issuance, and it does. The left-hand plot shows per-household UBI distributions growing steadily for about 30 quarters, then beginning to slowly level off. UBI from the trust fund grows until Q50, when the equity cap is reached. Tax </w:t>
      </w:r>
      <w:r w:rsidR="00653B0E">
        <w:t>contribution</w:t>
      </w:r>
      <w:r w:rsidR="001577DA">
        <w:t xml:space="preserve"> widens continuously, reflecting both increased output from reinvestment, and VAT. </w:t>
      </w:r>
    </w:p>
    <w:p w14:paraId="71B6FCE6" w14:textId="2259CCC7" w:rsidR="00665140" w:rsidRDefault="00665140" w:rsidP="000F1932">
      <w:r>
        <w:rPr>
          <w:noProof/>
        </w:rPr>
        <w:drawing>
          <wp:inline distT="0" distB="0" distL="0" distR="0" wp14:anchorId="6A11C223" wp14:editId="27F24BF8">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3"/>
                    <a:stretch>
                      <a:fillRect/>
                    </a:stretch>
                  </pic:blipFill>
                  <pic:spPr>
                    <a:xfrm>
                      <a:off x="0" y="0"/>
                      <a:ext cx="5943600" cy="1880235"/>
                    </a:xfrm>
                    <a:prstGeom prst="rect">
                      <a:avLst/>
                    </a:prstGeom>
                  </pic:spPr>
                </pic:pic>
              </a:graphicData>
            </a:graphic>
          </wp:inline>
        </w:drawing>
      </w:r>
    </w:p>
    <w:p w14:paraId="684399B3" w14:textId="1C6E5A23" w:rsidR="00665140" w:rsidRDefault="001577DA" w:rsidP="000F1932">
      <w:r>
        <w:t xml:space="preserve">The left-hand plot also shows UBI Issued as a small but slowly growing amount of real dollars. This reflects </w:t>
      </w:r>
      <w:r w:rsidR="00B60E26">
        <w:t>two</w:t>
      </w:r>
      <w:r>
        <w:t xml:space="preserve"> intentional policy c</w:t>
      </w:r>
      <w:r w:rsidR="00B60E26">
        <w:t xml:space="preserve">hoice in the model. UBI is not allowed to decrease, only increase, even if the government must issue money to fulfill the commitment. </w:t>
      </w:r>
      <w:r w:rsidR="005C0424">
        <w:t xml:space="preserve">A little money issuance is inflation-safe and lubricates the system, </w:t>
      </w:r>
      <w:r w:rsidR="00B60E26">
        <w:t>because the economy is in a persistent deflationary state</w:t>
      </w:r>
      <w:r w:rsidR="005C0424">
        <w:t>.</w:t>
      </w:r>
    </w:p>
    <w:p w14:paraId="46EAA090" w14:textId="04E02E53" w:rsidR="00B60E26" w:rsidRDefault="00B60E26" w:rsidP="000F1932">
      <w:r>
        <w:lastRenderedPageBreak/>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1E6F540A" w14:textId="5CB9285D" w:rsidR="002C341A" w:rsidRDefault="002C341A" w:rsidP="002C341A">
      <w:pPr>
        <w:pStyle w:val="Heading2"/>
      </w:pPr>
      <w:r>
        <w:t xml:space="preserve">The model reveals </w:t>
      </w:r>
      <w:r w:rsidR="00215A8B">
        <w:t>serious</w:t>
      </w:r>
      <w:r>
        <w:t xml:space="preserve"> stresses during the transition</w:t>
      </w:r>
    </w:p>
    <w:p w14:paraId="7EC60F9D" w14:textId="310DA39D" w:rsidR="002C341A" w:rsidRDefault="002C341A" w:rsidP="002C341A">
      <w:r>
        <w:t>Despite the policy backstops, this transition will not be painless. An advantage of modeling is that we can know what’s coming, and plan for it or perhaps adapt the policies a bit. For instance:</w:t>
      </w:r>
    </w:p>
    <w:p w14:paraId="0B6CEF32" w14:textId="5813F865" w:rsidR="002C341A" w:rsidRDefault="002C341A" w:rsidP="002C341A">
      <w:r>
        <w:rPr>
          <w:noProof/>
        </w:rPr>
        <w:drawing>
          <wp:inline distT="0" distB="0" distL="0" distR="0" wp14:anchorId="112D1762" wp14:editId="1AC9C55C">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4"/>
                    <a:stretch>
                      <a:fillRect/>
                    </a:stretch>
                  </pic:blipFill>
                  <pic:spPr>
                    <a:xfrm>
                      <a:off x="0" y="0"/>
                      <a:ext cx="5943600" cy="2919730"/>
                    </a:xfrm>
                    <a:prstGeom prst="rect">
                      <a:avLst/>
                    </a:prstGeom>
                  </pic:spPr>
                </pic:pic>
              </a:graphicData>
            </a:graphic>
          </wp:inline>
        </w:drawing>
      </w:r>
    </w:p>
    <w:p w14:paraId="5C4C7FA3" w14:textId="588293C5" w:rsidR="002C341A" w:rsidRDefault="002C341A" w:rsidP="002C341A">
      <w:r>
        <w:t>The solid line traces the deflation process, with (negative) inflation on the right-hand Y-axis. Prices fall steeply as the automation adoption process plays out, but after Q25 things turn around. After 20 years, deflation has pretty much ended.</w:t>
      </w:r>
    </w:p>
    <w:p w14:paraId="56B2A96D" w14:textId="60795164" w:rsidR="002C341A" w:rsidRDefault="002C341A" w:rsidP="002C341A">
      <w:r>
        <w:t>Under the policies, while UBI is never allowed to decline, indexed mortgage payments shrink with deflation</w:t>
      </w:r>
      <w:r w:rsidR="008D0561">
        <w:t>, and government makes up the difference to the bank. The consequences for households appear in the Debt-Service-to-Income (DTI) dotted line, which is plotted to include households up to the 90</w:t>
      </w:r>
      <w:r w:rsidR="008D0561" w:rsidRPr="008D0561">
        <w:rPr>
          <w:vertAlign w:val="superscript"/>
        </w:rPr>
        <w:t>th</w:t>
      </w:r>
      <w:r w:rsidR="008D0561">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099A827" w14:textId="77777777" w:rsidR="008168FE" w:rsidRDefault="008168FE">
      <w:pPr>
        <w:rPr>
          <w:rFonts w:asciiTheme="majorHAnsi" w:eastAsiaTheme="majorEastAsia" w:hAnsiTheme="majorHAnsi" w:cstheme="majorBidi"/>
          <w:b/>
          <w:bCs/>
          <w:color w:val="365F91" w:themeColor="accent1" w:themeShade="BF"/>
          <w:sz w:val="28"/>
          <w:szCs w:val="28"/>
        </w:rPr>
      </w:pPr>
      <w:r>
        <w:br w:type="page"/>
      </w:r>
    </w:p>
    <w:p w14:paraId="160323FE" w14:textId="374BD59B" w:rsidR="002C341A" w:rsidRDefault="008D0561" w:rsidP="008D0561">
      <w:pPr>
        <w:pStyle w:val="Heading1"/>
      </w:pPr>
      <w:r>
        <w:lastRenderedPageBreak/>
        <w:t xml:space="preserve">intelligent automation </w:t>
      </w:r>
      <w:r w:rsidR="00F7337A">
        <w:t>can</w:t>
      </w:r>
      <w:r>
        <w:t xml:space="preserve"> make our economy healthier </w:t>
      </w:r>
      <w:r w:rsidR="00F7337A">
        <w:br/>
      </w:r>
      <w:r>
        <w:t>and our nation wealthier</w:t>
      </w:r>
    </w:p>
    <w:p w14:paraId="238880E6" w14:textId="7DAB5C67" w:rsidR="00AA715B" w:rsidRDefault="0069457D" w:rsidP="008D0561">
      <w:r>
        <w:t>Today is</w:t>
      </w:r>
      <w:r w:rsidR="00B72891">
        <w:t xml:space="preserve"> March 2</w:t>
      </w:r>
      <w:r w:rsidR="00B72891" w:rsidRPr="00B72891">
        <w:rPr>
          <w:vertAlign w:val="superscript"/>
        </w:rPr>
        <w:t>nd</w:t>
      </w:r>
      <w:r w:rsidR="00B72891">
        <w:t>, 2026.</w:t>
      </w:r>
    </w:p>
    <w:p w14:paraId="7E929E21" w14:textId="275EA3EB" w:rsidR="00AA715B" w:rsidRDefault="00AA715B" w:rsidP="008D0561">
      <w:r>
        <w:t>I</w:t>
      </w:r>
      <w:r w:rsidR="00B72891">
        <w:t xml:space="preserve"> began this project three weeks ago. </w:t>
      </w:r>
      <w:r w:rsidR="002A6CDE">
        <w:t>Today it</w:t>
      </w:r>
      <w:r w:rsidR="00B72891">
        <w:t xml:space="preserve"> consists of 6,345 lines of Python code. I didn’t write a single one of those lines, although </w:t>
      </w:r>
      <w:r w:rsidR="0069457D">
        <w:t xml:space="preserve">I guided their incremental development, and </w:t>
      </w:r>
      <w:r w:rsidR="00B72891">
        <w:t xml:space="preserve">the project does include </w:t>
      </w:r>
      <w:r w:rsidR="0069457D">
        <w:t xml:space="preserve">one </w:t>
      </w:r>
      <w:r w:rsidR="00857557">
        <w:t xml:space="preserve">utility </w:t>
      </w:r>
      <w:r w:rsidR="00B72891">
        <w:t>module</w:t>
      </w:r>
      <w:r w:rsidR="0069457D">
        <w:t>, 863 lines,</w:t>
      </w:r>
      <w:r w:rsidR="00B72891">
        <w:t xml:space="preserve"> that I wrote 12 years ago in the C# language. OpenAI’s CODEX tool translated it to Python flawlessly</w:t>
      </w:r>
      <w:r w:rsidR="00B20507">
        <w:t xml:space="preserve"> in</w:t>
      </w:r>
      <w:r w:rsidR="00B20507" w:rsidRPr="00B20507">
        <w:t xml:space="preserve"> </w:t>
      </w:r>
      <w:r w:rsidR="00B20507">
        <w:t>a few minutes</w:t>
      </w:r>
      <w:r w:rsidR="00B72891">
        <w:t>, in a single step</w:t>
      </w:r>
      <w:r w:rsidR="00B20507">
        <w:t>.</w:t>
      </w:r>
    </w:p>
    <w:p w14:paraId="6583B88E" w14:textId="0C4C7B64" w:rsidR="008D0561" w:rsidRDefault="00935795" w:rsidP="008D0561">
      <w:r>
        <w:t>One</w:t>
      </w:r>
      <w:r w:rsidR="002A6CDE">
        <w:t xml:space="preserve"> </w:t>
      </w:r>
      <w:r>
        <w:t xml:space="preserve">of </w:t>
      </w:r>
      <w:r w:rsidR="002A6CDE">
        <w:t xml:space="preserve">those three </w:t>
      </w:r>
      <w:r>
        <w:t xml:space="preserve">weeks </w:t>
      </w:r>
      <w:r w:rsidR="002A6CDE">
        <w:t xml:space="preserve">was spent writing this document. The deep research brief reviewing my work, </w:t>
      </w:r>
      <w:r w:rsidR="00AA715B">
        <w:t xml:space="preserve">which is </w:t>
      </w:r>
      <w:r w:rsidR="002A6CDE">
        <w:t>appended to what I’ve written here, was prepared by ChatGPT in about six minutes. It took me a lot more than six minutes to read that and consider the implications.</w:t>
      </w:r>
    </w:p>
    <w:p w14:paraId="11511377" w14:textId="2BD3C13B" w:rsidR="002A6CDE" w:rsidRDefault="002A6CDE" w:rsidP="008D0561">
      <w:r>
        <w:t xml:space="preserve">Three months ago, </w:t>
      </w:r>
      <w:r w:rsidR="0069457D">
        <w:t xml:space="preserve">last December, </w:t>
      </w:r>
      <w:r w:rsidR="00215A8B">
        <w:t>this would not have been feasible</w:t>
      </w:r>
      <w:r>
        <w:t>. That’s the Information sector automation happening right now.</w:t>
      </w:r>
    </w:p>
    <w:p w14:paraId="32C89EF8" w14:textId="378CE670" w:rsidR="008168FE" w:rsidRDefault="00AA715B" w:rsidP="008D0561">
      <w:r>
        <w:t xml:space="preserve">When I started, I </w:t>
      </w:r>
      <w:r w:rsidR="000577A2">
        <w:t>didn’t know</w:t>
      </w:r>
      <w:r>
        <w:t xml:space="preserve"> how the AI transition would turn out. Revolutions and great wars have emerged from much less disruption than AI will bring, but this modeling exercise leaves me optimistic about the future. There is a sensible path forward that doesn’t leave workers behind. It doesn’t cancel capitalism. It doesn’t concentrate wealth and power while impoverishing most of the world.</w:t>
      </w:r>
    </w:p>
    <w:p w14:paraId="0742E152" w14:textId="7ADB0B77" w:rsidR="00AA715B" w:rsidRDefault="00AA715B" w:rsidP="008D0561">
      <w:r>
        <w:t xml:space="preserve">Politically, it’s not an easy path. There could be endless, crippling argumentation. “Conservatives” </w:t>
      </w:r>
      <w:r w:rsidR="000577A2">
        <w:t>will</w:t>
      </w:r>
      <w:r>
        <w:t xml:space="preserve"> cling to the past. “Progressives” </w:t>
      </w:r>
      <w:r w:rsidR="000577A2">
        <w:t>will</w:t>
      </w:r>
      <w:r>
        <w:t xml:space="preserve"> be tempted to resort to expropriation. Some countries with differing histories, cultures, and experiences will be </w:t>
      </w:r>
      <w:r w:rsidR="000577A2">
        <w:t>more able</w:t>
      </w:r>
      <w:r>
        <w:t xml:space="preserve"> or less able than others to navigate this transition. </w:t>
      </w:r>
    </w:p>
    <w:p w14:paraId="1CF7E2E7" w14:textId="7F2C30C7" w:rsidR="003D00C8" w:rsidRDefault="003D00C8" w:rsidP="008D0561">
      <w:r>
        <w:t xml:space="preserve">But I think the main conclusions of my model are about right. I spent my adult life investing against inflation, and there may be some more of that coming, but intelligent automation will be deeply deflationary. Deflation can be devastating for fixed-nominal debt, such as bonds and mortgages. It will be very, very difficult for people rendered jobless by automation to find new work; for many older workers, it will be impossible. And no economy can function by everyone taking in each other’s laundry. </w:t>
      </w:r>
    </w:p>
    <w:p w14:paraId="2BB66BE9" w14:textId="7C77C224" w:rsidR="003D00C8" w:rsidRDefault="003D00C8" w:rsidP="008D0561">
      <w:r>
        <w:t xml:space="preserve">It is absolutely necessary to rewire the cash flows in our economy. America’s Social Security system was structured so that today’s workers support retirees through </w:t>
      </w:r>
      <w:r w:rsidR="00C54B04">
        <w:t xml:space="preserve">current </w:t>
      </w:r>
      <w:r>
        <w:t xml:space="preserve">wage taxation. </w:t>
      </w:r>
      <w:r w:rsidR="00BD61CB">
        <w:t xml:space="preserve">It </w:t>
      </w:r>
      <w:r>
        <w:t xml:space="preserve">is already </w:t>
      </w:r>
      <w:r w:rsidR="00BD61CB">
        <w:t>falling behind the necessary cash accumulation</w:t>
      </w:r>
      <w:r>
        <w:t>, and</w:t>
      </w:r>
      <w:r w:rsidR="00BD61CB">
        <w:t xml:space="preserve"> substantial job losses from</w:t>
      </w:r>
      <w:r>
        <w:t xml:space="preserve"> intelligent automation will destroy it. </w:t>
      </w:r>
    </w:p>
    <w:p w14:paraId="741CDE62" w14:textId="140F4032" w:rsidR="003D00C8" w:rsidRDefault="003D00C8" w:rsidP="008D0561">
      <w:r>
        <w:t>It will be impossible for the Federal government to spend its way out of that dilemma. And wealth taxes won’t do it either. There isn’t enough wealth for it to work, and untethered wealth taxes would destroy savings, making people who have saved diligently become unnecessarily dependent on government, after a lifetime of personally doing the right things for themselves.</w:t>
      </w:r>
    </w:p>
    <w:p w14:paraId="59D68D4B" w14:textId="77777777" w:rsidR="003D00C8" w:rsidRPr="008D0561" w:rsidRDefault="003D00C8" w:rsidP="008D0561"/>
    <w:p w14:paraId="33828B5C" w14:textId="6FE32CB3" w:rsidR="006F3678" w:rsidRPr="000F1932" w:rsidRDefault="006F3678" w:rsidP="000F1932"/>
    <w:p w14:paraId="46E33287" w14:textId="20F21B1D" w:rsidR="00291C33" w:rsidRDefault="00291C33">
      <w:pPr>
        <w:rPr>
          <w:rFonts w:asciiTheme="majorHAnsi" w:eastAsiaTheme="majorEastAsia" w:hAnsiTheme="majorHAnsi" w:cstheme="majorBidi"/>
          <w:b/>
          <w:bCs/>
          <w:color w:val="365F91" w:themeColor="accent1" w:themeShade="BF"/>
          <w:sz w:val="28"/>
          <w:szCs w:val="28"/>
        </w:rPr>
      </w:pPr>
      <w:r>
        <w:br w:type="page"/>
      </w:r>
    </w:p>
    <w:p w14:paraId="0EB32E70" w14:textId="2D437EE1" w:rsidR="00F67A3C" w:rsidRDefault="00AA715B" w:rsidP="00F67A3C">
      <w:pPr>
        <w:pStyle w:val="Heading1"/>
      </w:pPr>
      <w:r>
        <w:lastRenderedPageBreak/>
        <w:t xml:space="preserve">Appendix: </w:t>
      </w:r>
      <w:r w:rsidR="00F67A3C">
        <w:t>Health and Wealth Research Brief</w:t>
      </w:r>
    </w:p>
    <w:p w14:paraId="2FA4AC41" w14:textId="61BA0BBF" w:rsidR="00F67A3C" w:rsidRPr="00F67A3C" w:rsidRDefault="00722DB4" w:rsidP="00F67A3C">
      <w:r>
        <w:t xml:space="preserve">For reference, here is a ChatGPT “deep research” brief on matters covered by this document and the </w:t>
      </w:r>
      <w:r w:rsidR="006D7154">
        <w:t>New Loop</w:t>
      </w:r>
      <w:r>
        <w:t xml:space="preserve"> model. </w:t>
      </w:r>
    </w:p>
    <w:p w14:paraId="0B092E7F" w14:textId="77777777" w:rsidR="00F67A3C" w:rsidRDefault="00F67A3C" w:rsidP="00F67A3C">
      <w:pPr>
        <w:pStyle w:val="Heading2"/>
      </w:pPr>
      <w:bookmarkStart w:id="3" w:name="X6a229982557c4ad7e307ce8c14179d20db95cda"/>
      <w:r>
        <w:t>Long-horizon automation transitions and why measurability matters</w:t>
      </w:r>
    </w:p>
    <w:p w14:paraId="7A496D43" w14:textId="77777777" w:rsidR="00F67A3C" w:rsidRDefault="00F67A3C" w:rsidP="00F67A3C">
      <w:r>
        <w:t xml:space="preserve">A “twenty years or more” horizon is not an arbitrary rhetorical flourish; it is broadly consistent with how general-purpose technologies diffuse and how their productivity and distributional effects show up in national accounts. Economic historian Paul David’s classic account of the “productivity paradox” emphasized that major technologies (his emblematic case was factory electrification) can require long complementary organizational changes before aggregate productivity gains become visible. </w:t>
      </w:r>
      <w:hyperlink r:id="rId15">
        <w:r>
          <w:rPr>
            <w:rStyle w:val="Hyperlink"/>
          </w:rPr>
          <w:t>[1]</w:t>
        </w:r>
      </w:hyperlink>
      <w:r>
        <w:t xml:space="preserve"> A recent OECD</w:t>
      </w:r>
      <w:hyperlink r:id="rId16">
        <w:r>
          <w:rPr>
            <w:rStyle w:val="Hyperlink"/>
          </w:rPr>
          <w:t>[2]</w:t>
        </w:r>
      </w:hyperlink>
      <w:r>
        <w:t xml:space="preserve"> paper on digital technology diffusion similarly stresses that AI and other advanced technologies spread unevenly across sectors and firms, tend to build on enabling technologies, and diffuse in stages rather than all at once—features that, in practice, push transitions into multi</w:t>
      </w:r>
      <w:r>
        <w:rPr>
          <w:rFonts w:ascii="Cambria Math" w:hAnsi="Cambria Math" w:cs="Cambria Math"/>
        </w:rPr>
        <w:t>‑</w:t>
      </w:r>
      <w:r>
        <w:t>year (often multi</w:t>
      </w:r>
      <w:r>
        <w:rPr>
          <w:rFonts w:ascii="Cambria Math" w:hAnsi="Cambria Math" w:cs="Cambria Math"/>
        </w:rPr>
        <w:t>‑</w:t>
      </w:r>
      <w:r>
        <w:t xml:space="preserve">decade) governance problems. </w:t>
      </w:r>
      <w:hyperlink r:id="rId17">
        <w:r>
          <w:rPr>
            <w:rStyle w:val="Hyperlink"/>
          </w:rPr>
          <w:t>[3]</w:t>
        </w:r>
      </w:hyperlink>
    </w:p>
    <w:p w14:paraId="6DF1AD35" w14:textId="77777777" w:rsidR="00F67A3C" w:rsidRDefault="00F67A3C" w:rsidP="00F67A3C">
      <w:r>
        <w:t xml:space="preserve">Even when headline adoption seems rapid, distribution is slow and contested. Labor-market economists Daron Acemoglu and Pascual Restrepo frame automation as a “task” reallocation process with a displacement effect (capital replacing labor in tasks) and possible offsetting forces (new tasks, capital accumulation), which implies a long and uncertain transition path rather than a single shock. </w:t>
      </w:r>
      <w:hyperlink r:id="rId18">
        <w:r>
          <w:rPr>
            <w:rStyle w:val="Hyperlink"/>
          </w:rPr>
          <w:t>[4]</w:t>
        </w:r>
      </w:hyperlink>
      <w:r>
        <w:t xml:space="preserve"> At the same time, major institutions project large near-term workforce churn from AI; for example, the World Economic Forum</w:t>
      </w:r>
      <w:hyperlink r:id="rId19">
        <w:r>
          <w:rPr>
            <w:rStyle w:val="Hyperlink"/>
          </w:rPr>
          <w:t>[5]</w:t>
        </w:r>
      </w:hyperlink>
      <w:r>
        <w:t xml:space="preserve">’s Future of Jobs reporting for the 2025–2030 window anticipates sizable job creation and job displacement occurring in parallel, which is exactly the kind of prolonged “reallocation” environment that can stress social insurance systems designed around stable wage employment. </w:t>
      </w:r>
      <w:hyperlink r:id="rId20">
        <w:r>
          <w:rPr>
            <w:rStyle w:val="Hyperlink"/>
          </w:rPr>
          <w:t>[6]</w:t>
        </w:r>
      </w:hyperlink>
    </w:p>
    <w:p w14:paraId="6B8EAC7C" w14:textId="77777777" w:rsidR="00F67A3C" w:rsidRDefault="00F67A3C" w:rsidP="00F67A3C">
      <w:r>
        <w:t>A key empirical reason the “Health and Wealth” logic emerges in the first place is that the labor share has been under pressure in many advanced economies, with technology (and automation-feasible task structures) repeatedly identified as a contributor. International Monetary Fund</w:t>
      </w:r>
      <w:hyperlink r:id="rId21">
        <w:r>
          <w:rPr>
            <w:rStyle w:val="Hyperlink"/>
          </w:rPr>
          <w:t>[7]</w:t>
        </w:r>
      </w:hyperlink>
      <w:r>
        <w:t xml:space="preserve"> analysis has argued that, in advanced economies, roughly half the decline in labor shares in recent decades can be traced to technology-related factors, including the automation susceptibility of occupations. </w:t>
      </w:r>
      <w:hyperlink r:id="rId22">
        <w:r>
          <w:rPr>
            <w:rStyle w:val="Hyperlink"/>
          </w:rPr>
          <w:t>[8]</w:t>
        </w:r>
      </w:hyperlink>
      <w:r>
        <w:t xml:space="preserve"> The International Labour Organization</w:t>
      </w:r>
      <w:hyperlink r:id="rId23">
        <w:r>
          <w:rPr>
            <w:rStyle w:val="Hyperlink"/>
          </w:rPr>
          <w:t>[9]</w:t>
        </w:r>
      </w:hyperlink>
      <w:r>
        <w:t xml:space="preserve"> has likewise linked wage and household income inequality concerns to declining labor shares in multiple contexts. </w:t>
      </w:r>
      <w:hyperlink r:id="rId24">
        <w:r>
          <w:rPr>
            <w:rStyle w:val="Hyperlink"/>
          </w:rPr>
          <w:t>[10]</w:t>
        </w:r>
      </w:hyperlink>
    </w:p>
    <w:p w14:paraId="5B7BEFFB" w14:textId="77777777" w:rsidR="00F67A3C" w:rsidRDefault="00F67A3C" w:rsidP="00F67A3C">
      <w:r>
        <w:t xml:space="preserve">If the transition is long, legitimacy becomes a governance constraint—not a communications add-on. Cross-national evidence shows that trust in national government is often fragile and varies widely; the OECD’s trust indicators and country notes frame “openness” and “reliability” as material drivers of trust, with measurable gaps across countries and groups. </w:t>
      </w:r>
      <w:hyperlink r:id="rId25">
        <w:r>
          <w:rPr>
            <w:rStyle w:val="Hyperlink"/>
          </w:rPr>
          <w:t>[11]</w:t>
        </w:r>
      </w:hyperlink>
      <w:r>
        <w:t xml:space="preserve"> That is the research basis for the passage’s insistence that progress must be “transparently measurable in public”: in a long transition, publics will demand not only outcomes but credible, ongoing evidence about whether the system is functioning and for whom. </w:t>
      </w:r>
      <w:hyperlink r:id="rId26">
        <w:r>
          <w:rPr>
            <w:rStyle w:val="Hyperlink"/>
          </w:rPr>
          <w:t>[12]</w:t>
        </w:r>
      </w:hyperlink>
    </w:p>
    <w:p w14:paraId="3CB24F6B" w14:textId="77777777" w:rsidR="00F67A3C" w:rsidRDefault="00F67A3C" w:rsidP="00F67A3C">
      <w:pPr>
        <w:pStyle w:val="Heading2"/>
      </w:pPr>
      <w:bookmarkStart w:id="4" w:name="X67148343f38d206c52288bafdea62c785b7839d"/>
      <w:bookmarkEnd w:id="3"/>
      <w:r>
        <w:t>Households and “ménages” in French economic language</w:t>
      </w:r>
    </w:p>
    <w:p w14:paraId="1F9D908B" w14:textId="77777777" w:rsidR="00F67A3C" w:rsidRDefault="00F67A3C" w:rsidP="00F67A3C">
      <w:r>
        <w:t>Your decision to use “household” consistently is strongly aligned with French statistical convention. INSEE</w:t>
      </w:r>
      <w:hyperlink r:id="rId27">
        <w:r>
          <w:rPr>
            <w:rStyle w:val="Hyperlink"/>
          </w:rPr>
          <w:t>[13]</w:t>
        </w:r>
      </w:hyperlink>
      <w:r>
        <w:t xml:space="preserve"> defines a </w:t>
      </w:r>
      <w:r>
        <w:rPr>
          <w:i/>
          <w:iCs/>
        </w:rPr>
        <w:t>ménage</w:t>
      </w:r>
      <w:r>
        <w:t xml:space="preserve"> as the set of occupants of the same dwelling, explicitly noting that they are not necessarily related, and that a household may consist of a single person. </w:t>
      </w:r>
      <w:hyperlink r:id="rId28">
        <w:r>
          <w:rPr>
            <w:rStyle w:val="Hyperlink"/>
          </w:rPr>
          <w:t>[14]</w:t>
        </w:r>
      </w:hyperlink>
      <w:r>
        <w:t xml:space="preserve"> This matters for policy writing because it prevents readers from smuggling “family” assumptions into discussions of solvency, consumption, housing, and tax incidence—exactly the domains your proposal addresses.</w:t>
      </w:r>
    </w:p>
    <w:p w14:paraId="7ABEE1B6" w14:textId="77777777" w:rsidR="00F67A3C" w:rsidRDefault="00F67A3C" w:rsidP="00F67A3C">
      <w:pPr>
        <w:pStyle w:val="Heading2"/>
      </w:pPr>
      <w:bookmarkStart w:id="5" w:name="Xdc2f7d9e90e186d0018a22bc7233ba22932f122"/>
      <w:bookmarkEnd w:id="4"/>
      <w:r>
        <w:lastRenderedPageBreak/>
        <w:t>Citizen ownership without central planning</w:t>
      </w:r>
    </w:p>
    <w:p w14:paraId="07E5EC52" w14:textId="77777777" w:rsidR="00F67A3C" w:rsidRDefault="00F67A3C" w:rsidP="00F67A3C">
      <w:r>
        <w:t>The passage’s “not socialism” claim is easiest to substantiate when you root it in institutions that already exist inside market economies: sovereign wealth funds, public pension reserve funds, and mandatory retirement savings systems. These structures pool capital, invest it largely through the market, and (in some cases) return part of the yield to the public—without replacing private enterprise, price formation, or profit-seeking.</w:t>
      </w:r>
    </w:p>
    <w:p w14:paraId="1AA7BA2B" w14:textId="77777777" w:rsidR="00F67A3C" w:rsidRDefault="00F67A3C" w:rsidP="00F67A3C">
      <w:r>
        <w:rPr>
          <w:b/>
          <w:bCs/>
        </w:rPr>
        <w:t>Sovereign wealth funds as market participants.</w:t>
      </w:r>
      <w:r>
        <w:t xml:space="preserve"> The IMF’s definition is explicit: sovereign wealth funds are government-owned investment funds established for macroeconomic purposes, typically investing transferred assets with long horizons. </w:t>
      </w:r>
      <w:hyperlink r:id="rId29">
        <w:r>
          <w:rPr>
            <w:rStyle w:val="Hyperlink"/>
          </w:rPr>
          <w:t>[15]</w:t>
        </w:r>
      </w:hyperlink>
      <w:r>
        <w:t xml:space="preserve"> In other words, the fund is a portfolio investor, not a planning ministry. Post</w:t>
      </w:r>
      <w:r>
        <w:rPr>
          <w:rFonts w:ascii="Cambria Math" w:hAnsi="Cambria Math" w:cs="Cambria Math"/>
        </w:rPr>
        <w:t>‑</w:t>
      </w:r>
      <w:r>
        <w:t>2008 governance standards reinforce this market orientation. The International Forum of Sovereign Wealth Funds</w:t>
      </w:r>
      <w:hyperlink r:id="rId30">
        <w:r>
          <w:rPr>
            <w:rStyle w:val="Hyperlink"/>
          </w:rPr>
          <w:t>[16]</w:t>
        </w:r>
      </w:hyperlink>
      <w:r>
        <w:t>’s Santiago Principles were written to promote good governance, accountability, transparency, and prudent investment practices—norms designed to make SWFs legible, rule</w:t>
      </w:r>
      <w:r>
        <w:rPr>
          <w:rFonts w:ascii="Cambria Math" w:hAnsi="Cambria Math" w:cs="Cambria Math"/>
        </w:rPr>
        <w:t>‑</w:t>
      </w:r>
      <w:r>
        <w:t xml:space="preserve">bound, and compatible with recipient-country market confidence. </w:t>
      </w:r>
      <w:hyperlink r:id="rId31">
        <w:r>
          <w:rPr>
            <w:rStyle w:val="Hyperlink"/>
          </w:rPr>
          <w:t>[17]</w:t>
        </w:r>
      </w:hyperlink>
      <w:r>
        <w:t xml:space="preserve"> Importantly for your “not socialism” framing, SWF signatories and major SWFs emphasize investment on economic and financial (risk</w:t>
      </w:r>
      <w:r>
        <w:rPr>
          <w:rFonts w:ascii="Cambria Math" w:hAnsi="Cambria Math" w:cs="Cambria Math"/>
        </w:rPr>
        <w:t>‑</w:t>
      </w:r>
      <w:r>
        <w:t xml:space="preserve">return) grounds and the need for sound governance and accountability. </w:t>
      </w:r>
      <w:hyperlink r:id="rId32">
        <w:r>
          <w:rPr>
            <w:rStyle w:val="Hyperlink"/>
          </w:rPr>
          <w:t>[18]</w:t>
        </w:r>
      </w:hyperlink>
    </w:p>
    <w:p w14:paraId="2F9DB5D3" w14:textId="77777777" w:rsidR="00F67A3C" w:rsidRDefault="00F67A3C" w:rsidP="00F67A3C">
      <w:r>
        <w:rPr>
          <w:b/>
          <w:bCs/>
        </w:rPr>
        <w:t>France’s own precedent: the FRR.</w:t>
      </w:r>
      <w:r>
        <w:t xml:space="preserve"> Fonds de réserve pour les retraites</w:t>
      </w:r>
      <w:hyperlink r:id="rId33">
        <w:r>
          <w:rPr>
            <w:rStyle w:val="Hyperlink"/>
          </w:rPr>
          <w:t>[19]</w:t>
        </w:r>
      </w:hyperlink>
      <w:r>
        <w:t xml:space="preserve"> is a concrete French anchor for the idea of a publicly owned, market-investing fund whose beneficiary is “the community.” The FRR’s mission statements (in English on its official site) describe investing funds entrusted by public authorities “on behalf of the community,” with a mandate to maximize returns while contributing to pension financing. </w:t>
      </w:r>
      <w:hyperlink r:id="rId34">
        <w:r>
          <w:rPr>
            <w:rStyle w:val="Hyperlink"/>
          </w:rPr>
          <w:t>[20]</w:t>
        </w:r>
      </w:hyperlink>
      <w:r>
        <w:t xml:space="preserve"> International institutional summaries describe the FRR as a public-owned, state-funded agency created in 2001 with an investment mission on behalf of the public to help finance the pension system. </w:t>
      </w:r>
      <w:hyperlink r:id="rId35">
        <w:r>
          <w:rPr>
            <w:rStyle w:val="Hyperlink"/>
          </w:rPr>
          <w:t>[21]</w:t>
        </w:r>
      </w:hyperlink>
    </w:p>
    <w:p w14:paraId="50552DF4" w14:textId="77777777" w:rsidR="00F67A3C" w:rsidRDefault="00F67A3C" w:rsidP="00F67A3C">
      <w:r>
        <w:rPr>
          <w:b/>
          <w:bCs/>
        </w:rPr>
        <w:t>The American proof point: Alaska’s citizen dividend.</w:t>
      </w:r>
      <w:r>
        <w:t xml:space="preserve"> Alaska</w:t>
      </w:r>
      <w:hyperlink r:id="rId36">
        <w:r>
          <w:rPr>
            <w:rStyle w:val="Hyperlink"/>
          </w:rPr>
          <w:t>[22]</w:t>
        </w:r>
      </w:hyperlink>
      <w:r>
        <w:t xml:space="preserve"> operates a widely cited example of a resource-funded public investment pool whose yields help fund a universal resident dividend. The Permanent Fund Dividend program describes itself as a mechanism for residents to “share in a portion of the State minerals revenue” via an annual dividend. </w:t>
      </w:r>
      <w:hyperlink r:id="rId37">
        <w:r>
          <w:rPr>
            <w:rStyle w:val="Hyperlink"/>
          </w:rPr>
          <w:t>[23]</w:t>
        </w:r>
      </w:hyperlink>
      <w:r>
        <w:t xml:space="preserve"> The Alaska Permanent Fund Corporation</w:t>
      </w:r>
      <w:hyperlink r:id="rId38">
        <w:r>
          <w:rPr>
            <w:rStyle w:val="Hyperlink"/>
          </w:rPr>
          <w:t>[24]</w:t>
        </w:r>
      </w:hyperlink>
      <w:r>
        <w:t xml:space="preserve"> explains the Permanent Fund’s origins in dedicated oil revenues and the institutional decision (after public debate) to manage it as an investment fund with an investment corporation created to manage assets. </w:t>
      </w:r>
      <w:hyperlink r:id="rId39">
        <w:r>
          <w:rPr>
            <w:rStyle w:val="Hyperlink"/>
          </w:rPr>
          <w:t>[25]</w:t>
        </w:r>
      </w:hyperlink>
      <w:r>
        <w:t xml:space="preserve"> A U.S. federal statistical agency summary notes that the fund retains at least 25% of certain resource royalties and pays an annual cash dividend to residents—again, a market-investing structure that does not nationalize firms. </w:t>
      </w:r>
      <w:hyperlink r:id="rId40">
        <w:r>
          <w:rPr>
            <w:rStyle w:val="Hyperlink"/>
          </w:rPr>
          <w:t>[26]</w:t>
        </w:r>
      </w:hyperlink>
    </w:p>
    <w:p w14:paraId="6ED0BC5C" w14:textId="77777777" w:rsidR="00F67A3C" w:rsidRDefault="00F67A3C" w:rsidP="00F67A3C">
      <w:r>
        <w:rPr>
          <w:b/>
          <w:bCs/>
        </w:rPr>
        <w:t>Australia’s retirement capitalism at scale.</w:t>
      </w:r>
      <w:r>
        <w:t xml:space="preserve"> Australia</w:t>
      </w:r>
      <w:hyperlink r:id="rId41">
        <w:r>
          <w:rPr>
            <w:rStyle w:val="Hyperlink"/>
          </w:rPr>
          <w:t>[27]</w:t>
        </w:r>
      </w:hyperlink>
      <w:r>
        <w:t>’s superannuation system shows how broad-based asset ownership can be built through mandatory saving within a market economy. The Australian Taxation Office</w:t>
      </w:r>
      <w:hyperlink r:id="rId42">
        <w:r>
          <w:rPr>
            <w:rStyle w:val="Hyperlink"/>
          </w:rPr>
          <w:t>[28]</w:t>
        </w:r>
      </w:hyperlink>
      <w:r>
        <w:t xml:space="preserve"> provides employer-facing guidance on paying mandated super contributions (the “super guarantee”) for eligible employees. </w:t>
      </w:r>
      <w:hyperlink r:id="rId43">
        <w:r>
          <w:rPr>
            <w:rStyle w:val="Hyperlink"/>
          </w:rPr>
          <w:t>[29]</w:t>
        </w:r>
      </w:hyperlink>
      <w:r>
        <w:t xml:space="preserve"> The Australian Prudential Regulation Authority</w:t>
      </w:r>
      <w:hyperlink r:id="rId44">
        <w:r>
          <w:rPr>
            <w:rStyle w:val="Hyperlink"/>
          </w:rPr>
          <w:t>[30]</w:t>
        </w:r>
      </w:hyperlink>
      <w:r>
        <w:t xml:space="preserve"> reports the scale: total superannuation assets reached about $4.5 trillion as of December 2025. </w:t>
      </w:r>
      <w:hyperlink r:id="rId45">
        <w:r>
          <w:rPr>
            <w:rStyle w:val="Hyperlink"/>
          </w:rPr>
          <w:t>[31]</w:t>
        </w:r>
      </w:hyperlink>
      <w:r>
        <w:t xml:space="preserve"> This is not a “socialist” system in the American sense; it is compulsory, broadly distributed capital accumulation invested through funds that buy equities, debt, and infrastructure assets in domestic and global markets.</w:t>
      </w:r>
    </w:p>
    <w:p w14:paraId="58D703A4" w14:textId="77777777" w:rsidR="00F67A3C" w:rsidRDefault="00F67A3C" w:rsidP="00F67A3C">
      <w:r>
        <w:rPr>
          <w:b/>
          <w:bCs/>
        </w:rPr>
        <w:t>Why “ownership changes perspective” is plausible (and how to state it carefully).</w:t>
      </w:r>
      <w:r>
        <w:t xml:space="preserve"> Direct causal claims about national psychology are hard to “prove,” but there is a strong institutional logic you can cite: when households receive part of capital income (dividends or pension returns) through widely held funds, corporate profitability becomes linked—mechanically—to citizen income and retirement security. The Australian case demonstrates the scale of such a linkage (trillions in retirement assets invested in markets), while the Alaskan case demonstrates a durable “citizen dividend” political institution funded by investment returns from common wealth. </w:t>
      </w:r>
      <w:hyperlink r:id="rId46">
        <w:r>
          <w:rPr>
            <w:rStyle w:val="Hyperlink"/>
          </w:rPr>
          <w:t>[32]</w:t>
        </w:r>
      </w:hyperlink>
    </w:p>
    <w:p w14:paraId="4BB38BE9" w14:textId="77777777" w:rsidR="00F67A3C" w:rsidRDefault="00F67A3C" w:rsidP="00F67A3C">
      <w:pPr>
        <w:pStyle w:val="Heading2"/>
      </w:pPr>
      <w:bookmarkStart w:id="6" w:name="dividends-and-tax-integration"/>
      <w:bookmarkEnd w:id="5"/>
      <w:r>
        <w:lastRenderedPageBreak/>
        <w:t>Dividends and tax integration</w:t>
      </w:r>
    </w:p>
    <w:p w14:paraId="420B419C" w14:textId="77777777" w:rsidR="00F67A3C" w:rsidRDefault="00F67A3C" w:rsidP="00F67A3C">
      <w:r>
        <w:t xml:space="preserve">Your passage hinges on a specific fiscal engineering idea: encourage dividend distribution (so the new “economic loop” can function) while not undermining reinvestment incentives or turning the policy into a corporate giveaway. The research literature frames this as a problem of </w:t>
      </w:r>
      <w:r>
        <w:rPr>
          <w:i/>
          <w:iCs/>
        </w:rPr>
        <w:t>integrating</w:t>
      </w:r>
      <w:r>
        <w:t xml:space="preserve"> corporate and personal taxation and managing “double taxation” of distributed profits.</w:t>
      </w:r>
    </w:p>
    <w:p w14:paraId="44E0E0F4" w14:textId="77777777" w:rsidR="00F67A3C" w:rsidRDefault="00F67A3C" w:rsidP="00F67A3C">
      <w:r>
        <w:rPr>
          <w:b/>
          <w:bCs/>
        </w:rPr>
        <w:t>Double taxation is the baseline problem.</w:t>
      </w:r>
      <w:r>
        <w:t xml:space="preserve"> The OECD’s comparative work on dividend income notes that dividends are often taxed first at the corporate level and then again at the shareholder level, and that the degree of integration between these layers is a key determinant of the combined statutory tax rate on dividends. </w:t>
      </w:r>
      <w:hyperlink r:id="rId47">
        <w:r>
          <w:rPr>
            <w:rStyle w:val="Hyperlink"/>
          </w:rPr>
          <w:t>[33]</w:t>
        </w:r>
      </w:hyperlink>
      <w:r>
        <w:t xml:space="preserve"> This is exactly the analytic basis for your line that “distributions not taxed at the corporation is not a gift… it’s an incentive on behalf of shareholders”: corporate-level relief on distributions is a standard </w:t>
      </w:r>
      <w:r>
        <w:rPr>
          <w:i/>
          <w:iCs/>
        </w:rPr>
        <w:t>tax integration</w:t>
      </w:r>
      <w:r>
        <w:t xml:space="preserve"> technique used to reduce or eliminate double taxation. </w:t>
      </w:r>
      <w:hyperlink r:id="rId48">
        <w:r>
          <w:rPr>
            <w:rStyle w:val="Hyperlink"/>
          </w:rPr>
          <w:t>[34]</w:t>
        </w:r>
      </w:hyperlink>
    </w:p>
    <w:p w14:paraId="0222BDF9" w14:textId="77777777" w:rsidR="00F67A3C" w:rsidRDefault="00F67A3C" w:rsidP="00F67A3C">
      <w:r>
        <w:rPr>
          <w:b/>
          <w:bCs/>
        </w:rPr>
        <w:t>Australia’s dividend imputation as a worked example.</w:t>
      </w:r>
      <w:r>
        <w:t xml:space="preserve"> Australia’s “dividend imputation” approach attaches franking credits (reflecting corporate tax already paid) to dividends, so eligible shareholders can use the credits to offset personal income tax—again, a system explicitly designed to integrate corporate and shareholder taxation rather than subsidize firms. The Australian Parliamentary Budget Office explains franking credits as part of dividend imputation and why they matter for how profits are taxed. </w:t>
      </w:r>
      <w:hyperlink r:id="rId49">
        <w:r>
          <w:rPr>
            <w:rStyle w:val="Hyperlink"/>
          </w:rPr>
          <w:t>[35]</w:t>
        </w:r>
      </w:hyperlink>
      <w:r>
        <w:t xml:space="preserve"> The ATO’s corporate tax “imputation” guidance explains the mechanism: credits can be attached (“franked”) to distributions and used by recipients as tax credits. </w:t>
      </w:r>
      <w:hyperlink r:id="rId50">
        <w:r>
          <w:rPr>
            <w:rStyle w:val="Hyperlink"/>
          </w:rPr>
          <w:t>[36]</w:t>
        </w:r>
      </w:hyperlink>
    </w:p>
    <w:p w14:paraId="09DE97F5" w14:textId="77777777" w:rsidR="00F67A3C" w:rsidRDefault="00F67A3C" w:rsidP="00F67A3C">
      <w:r>
        <w:rPr>
          <w:b/>
          <w:bCs/>
        </w:rPr>
        <w:t>Behavioral consequences and tradeoffs.</w:t>
      </w:r>
      <w:r>
        <w:t xml:space="preserve"> Empirical corporate finance research consistently treats dividend taxes as behaviorally relevant: they can affect payout policy, investment, and firm-level outcomes. A recent review-oriented study in the public economics/finance literature notes the “classical” system’s double taxation of dividends and motivates reforms that reduce it, because dividend taxes can change firm behavior. </w:t>
      </w:r>
      <w:hyperlink r:id="rId51">
        <w:r>
          <w:rPr>
            <w:rStyle w:val="Hyperlink"/>
          </w:rPr>
          <w:t>[37]</w:t>
        </w:r>
      </w:hyperlink>
      <w:r>
        <w:t xml:space="preserve"> This evidence supports two important rhetorical moves in your passage: - It is coherent to design “dividend encouragement” as a deliberate policy lever, because payout behavior responds to tax design. </w:t>
      </w:r>
      <w:hyperlink r:id="rId52">
        <w:r>
          <w:rPr>
            <w:rStyle w:val="Hyperlink"/>
          </w:rPr>
          <w:t>[38]</w:t>
        </w:r>
      </w:hyperlink>
      <w:r>
        <w:br/>
        <w:t xml:space="preserve">- It is also coherent to emphasize reinvestment and growth safeguards, because poorly designed payout incentives can, in principle, distort investment choices. </w:t>
      </w:r>
      <w:hyperlink r:id="rId53">
        <w:r>
          <w:rPr>
            <w:rStyle w:val="Hyperlink"/>
          </w:rPr>
          <w:t>[37]</w:t>
        </w:r>
      </w:hyperlink>
    </w:p>
    <w:p w14:paraId="3B7842B6" w14:textId="77777777" w:rsidR="00F67A3C" w:rsidRDefault="00F67A3C" w:rsidP="00F67A3C">
      <w:r>
        <w:rPr>
          <w:b/>
          <w:bCs/>
        </w:rPr>
        <w:t>Simplicity and resistance to manipulation.</w:t>
      </w:r>
      <w:r>
        <w:t xml:space="preserve"> Your line about policy being easier to manage when the tax system has few manipulable parameters is consistent with a growing body of work identifying complexity as a driver of compliance costs and strategic behavior. A 2025 OECD report focuses specifically on “simplicity” as a route to tax certainty and notes that complexity raises compliance costs and burdens for taxpayers and administrations. </w:t>
      </w:r>
      <w:hyperlink r:id="rId54">
        <w:r>
          <w:rPr>
            <w:rStyle w:val="Hyperlink"/>
          </w:rPr>
          <w:t>[39]</w:t>
        </w:r>
      </w:hyperlink>
      <w:r>
        <w:t xml:space="preserve"> Academic evidence on rising tax complexity (e.g., cross-country code growth and perceived filing burdens) similarly treats complexity as increasing compliance costs and motivating demand for simplification. </w:t>
      </w:r>
      <w:hyperlink r:id="rId55">
        <w:r>
          <w:rPr>
            <w:rStyle w:val="Hyperlink"/>
          </w:rPr>
          <w:t>[40]</w:t>
        </w:r>
      </w:hyperlink>
    </w:p>
    <w:p w14:paraId="0FA40D23" w14:textId="77777777" w:rsidR="00F67A3C" w:rsidRDefault="00F67A3C" w:rsidP="00F67A3C">
      <w:pPr>
        <w:pStyle w:val="Heading2"/>
      </w:pPr>
      <w:bookmarkStart w:id="7" w:name="ubi-as-life-cycle-stabilization"/>
      <w:bookmarkEnd w:id="6"/>
      <w:r>
        <w:t>UBI as life-cycle stabilization</w:t>
      </w:r>
    </w:p>
    <w:p w14:paraId="2398B7C8" w14:textId="77777777" w:rsidR="00F67A3C" w:rsidRDefault="00F67A3C" w:rsidP="00F67A3C">
      <w:r>
        <w:t>Your passage makes two claims that benefit from distinctly different evidence bases: (a) unconditional cash has measurable effects on well-being and poverty; (b) replacing or radically simplifying existing social insurance with UBI is fiscally and distributionally hard unless paired with major funding reforms (like a wealth fund dividend channel).</w:t>
      </w:r>
    </w:p>
    <w:p w14:paraId="34CF32BF" w14:textId="77777777" w:rsidR="00F67A3C" w:rsidRDefault="00F67A3C" w:rsidP="00F67A3C">
      <w:r>
        <w:rPr>
          <w:b/>
          <w:bCs/>
        </w:rPr>
        <w:t>Finland’s experiment: well-being gains, minimal employment effects.</w:t>
      </w:r>
      <w:r>
        <w:t xml:space="preserve"> The Finland</w:t>
      </w:r>
      <w:hyperlink r:id="rId56">
        <w:r>
          <w:rPr>
            <w:rStyle w:val="Hyperlink"/>
          </w:rPr>
          <w:t>[41]</w:t>
        </w:r>
      </w:hyperlink>
      <w:r>
        <w:t xml:space="preserve"> basic income experiment (2017–2018) is repeatedly cited because it was randomized and evaluated with both administrative and survey data. An EU summary of the experiment reports that it had no significant impact </w:t>
      </w:r>
      <w:r>
        <w:lastRenderedPageBreak/>
        <w:t xml:space="preserve">on employment but reduced bureaucracy and improved life satisfaction and well-being. </w:t>
      </w:r>
      <w:hyperlink r:id="rId57">
        <w:r>
          <w:rPr>
            <w:rStyle w:val="Hyperlink"/>
          </w:rPr>
          <w:t>[42]</w:t>
        </w:r>
      </w:hyperlink>
      <w:r>
        <w:t xml:space="preserve"> Finland’s government communications on the final results emphasize the same pattern: recipients reported higher life satisfaction and less mental strain than the control group. </w:t>
      </w:r>
      <w:hyperlink r:id="rId58">
        <w:r>
          <w:rPr>
            <w:rStyle w:val="Hyperlink"/>
          </w:rPr>
          <w:t>[43]</w:t>
        </w:r>
      </w:hyperlink>
      <w:r>
        <w:t xml:space="preserve"> This supports your framing of UBI as a stabilizer of participation and mental security, not merely a “retirement” tool.</w:t>
      </w:r>
    </w:p>
    <w:p w14:paraId="0BDAA0FB" w14:textId="77777777" w:rsidR="00F67A3C" w:rsidRDefault="00F67A3C" w:rsidP="00F67A3C">
      <w:r>
        <w:rPr>
          <w:b/>
          <w:bCs/>
        </w:rPr>
        <w:t>Alaska’s dividend: universal, persistent, and studied as labor-market evidence.</w:t>
      </w:r>
      <w:r>
        <w:t xml:space="preserve"> Alaska’s citizen dividend is often treated as the closest thing to a long-running “partial UBI” in a high-income democracy, because it is universal among residents and financed by investment earnings from common wealth. </w:t>
      </w:r>
      <w:hyperlink r:id="rId59">
        <w:r>
          <w:rPr>
            <w:rStyle w:val="Hyperlink"/>
          </w:rPr>
          <w:t>[44]</w:t>
        </w:r>
      </w:hyperlink>
      <w:r>
        <w:t xml:space="preserve"> A prominent NBER study analyzes the Alaska Permanent Fund Dividend to infer labor-market impacts of unconditional cash and finds limited evidence of large employment reductions in the aggregate, while highlighting compositional effects (e.g., shifts between part-time and full-time work). </w:t>
      </w:r>
      <w:hyperlink r:id="rId60">
        <w:r>
          <w:rPr>
            <w:rStyle w:val="Hyperlink"/>
          </w:rPr>
          <w:t>[45]</w:t>
        </w:r>
      </w:hyperlink>
      <w:r>
        <w:t xml:space="preserve"> More recent empirical work estimates substantial poverty reduction effects, reporting that the dividend reduced the number of Alaskans below the U.S. poverty threshold by roughly 20%–40% (estimated range) with relatively small labor-supply effects in their measurement framework. </w:t>
      </w:r>
      <w:hyperlink r:id="rId61">
        <w:r>
          <w:rPr>
            <w:rStyle w:val="Hyperlink"/>
          </w:rPr>
          <w:t>[46]</w:t>
        </w:r>
      </w:hyperlink>
      <w:r>
        <w:t xml:space="preserve"> Earlier Alaska-focused research also frames the dividend as a material factor in poverty mitigation, especially for groups and regions where cash income is constrained. </w:t>
      </w:r>
      <w:hyperlink r:id="rId62">
        <w:r>
          <w:rPr>
            <w:rStyle w:val="Hyperlink"/>
          </w:rPr>
          <w:t>[47]</w:t>
        </w:r>
      </w:hyperlink>
    </w:p>
    <w:p w14:paraId="5D5E7D9F" w14:textId="77777777" w:rsidR="00F67A3C" w:rsidRDefault="00F67A3C" w:rsidP="00F67A3C">
      <w:r>
        <w:rPr>
          <w:b/>
          <w:bCs/>
        </w:rPr>
        <w:t>The major design warning: “UBI replaces pensions” is hard without a capital-income channel.</w:t>
      </w:r>
      <w:r>
        <w:t xml:space="preserve"> Comparative policy analysis is blunt that a meaningful basic income can be expensive and can create large “gainers and losers” if it replaces targeted benefits. A recent OECD policy paper on basic income as an option emphasizes that, at current spending levels, a full basic income would often fall below poverty lines unless funded at much higher levels, and that replacing existing programs can have significant distributional consequences. </w:t>
      </w:r>
      <w:hyperlink r:id="rId63">
        <w:r>
          <w:rPr>
            <w:rStyle w:val="Hyperlink"/>
          </w:rPr>
          <w:t>[48]</w:t>
        </w:r>
      </w:hyperlink>
      <w:r>
        <w:t xml:space="preserve"> This is precisely why your passage’s architecture—linking UBI in part to dividend distribution and a collectively owned fund—is analytically defensible: it supplies a non-wage financing stream aligned with shifts in factor shares and automation-driven profitability. </w:t>
      </w:r>
      <w:hyperlink r:id="rId64">
        <w:r>
          <w:rPr>
            <w:rStyle w:val="Hyperlink"/>
          </w:rPr>
          <w:t>[49]</w:t>
        </w:r>
      </w:hyperlink>
    </w:p>
    <w:p w14:paraId="0D061EB2" w14:textId="77777777" w:rsidR="00F67A3C" w:rsidRDefault="00F67A3C" w:rsidP="00F67A3C">
      <w:pPr>
        <w:pStyle w:val="Heading2"/>
      </w:pPr>
      <w:bookmarkStart w:id="8" w:name="Xca64db74fd86397908461eec463f9768f2abd43"/>
      <w:bookmarkEnd w:id="7"/>
      <w:r>
        <w:t>Modeling, transparency, and intelligent measurement</w:t>
      </w:r>
    </w:p>
    <w:p w14:paraId="3ED455A6" w14:textId="77777777" w:rsidR="00F67A3C" w:rsidRDefault="00F67A3C" w:rsidP="00F67A3C">
      <w:pPr>
        <w:pStyle w:val="FirstParagraph"/>
      </w:pPr>
      <w:r>
        <w:t>The end of your passage—“progress could not simply be proclaimed… intelligent machines’ data modeling and analysis could play a constructive role”—has unusually strong real-world support because public institutions already use open data infrastructures and machine learning for real-time macro measurement.</w:t>
      </w:r>
    </w:p>
    <w:p w14:paraId="72E6A9FA" w14:textId="77777777" w:rsidR="00F67A3C" w:rsidRDefault="00F67A3C" w:rsidP="00F67A3C">
      <w:pPr>
        <w:pStyle w:val="BodyText"/>
      </w:pPr>
      <w:r>
        <w:rPr>
          <w:b/>
          <w:bCs/>
        </w:rPr>
        <w:t>Open data as a public accountability infrastructure.</w:t>
      </w:r>
      <w:r>
        <w:t xml:space="preserve"> France already operates a national open-data system designed for public reuse. The European Commission’s interoperability documentation describes data.gouv.fr as the national portal centralizing and freely sharing public information from government and public institutions. </w:t>
      </w:r>
      <w:hyperlink r:id="rId65">
        <w:r>
          <w:rPr>
            <w:rStyle w:val="Hyperlink"/>
          </w:rPr>
          <w:t>[50]</w:t>
        </w:r>
      </w:hyperlink>
      <w:r>
        <w:t xml:space="preserve"> The portal itself is the French state’s public interface for open datasets across domains. </w:t>
      </w:r>
      <w:hyperlink r:id="rId66">
        <w:r>
          <w:rPr>
            <w:rStyle w:val="Hyperlink"/>
          </w:rPr>
          <w:t>[51]</w:t>
        </w:r>
      </w:hyperlink>
      <w:r>
        <w:t xml:space="preserve"> And France’s digital-policy institutions have highlighted “ten years” of open public data development, including high-frequency publication episodes (e.g., during COVID) that demonstrate the feasibility of continuous public reporting when institutions choose to do it. </w:t>
      </w:r>
      <w:hyperlink r:id="rId67">
        <w:r>
          <w:rPr>
            <w:rStyle w:val="Hyperlink"/>
          </w:rPr>
          <w:t>[52]</w:t>
        </w:r>
      </w:hyperlink>
    </w:p>
    <w:p w14:paraId="1613D282" w14:textId="77777777" w:rsidR="00F67A3C" w:rsidRDefault="00F67A3C" w:rsidP="00F67A3C">
      <w:pPr>
        <w:pStyle w:val="BodyText"/>
      </w:pPr>
      <w:r>
        <w:rPr>
          <w:b/>
          <w:bCs/>
        </w:rPr>
        <w:t>What “transparent measurement” means in governance standards.</w:t>
      </w:r>
      <w:r>
        <w:t xml:space="preserve"> The OECD’s “Government at a Glance” work treats transparency as a democratic core and explicitly advocates proactive disclosure of clear, complete, timely, reliable, and relevant public sector data and information (as articulated in OECD open government recommendations). </w:t>
      </w:r>
      <w:hyperlink r:id="rId68">
        <w:r>
          <w:rPr>
            <w:rStyle w:val="Hyperlink"/>
          </w:rPr>
          <w:t>[12]</w:t>
        </w:r>
      </w:hyperlink>
      <w:r>
        <w:t xml:space="preserve"> This is a direct external validation of your passage’s premise that measurement is not merely technical—done well, it is legitimacy-preserving.</w:t>
      </w:r>
    </w:p>
    <w:p w14:paraId="117F9447" w14:textId="77777777" w:rsidR="00F67A3C" w:rsidRDefault="00F67A3C" w:rsidP="00F67A3C">
      <w:pPr>
        <w:pStyle w:val="BodyText"/>
      </w:pPr>
      <w:r>
        <w:rPr>
          <w:b/>
          <w:bCs/>
        </w:rPr>
        <w:t>Machine learning is already used for macro “nowcasting.”</w:t>
      </w:r>
      <w:r>
        <w:t xml:space="preserve"> The Bank for International Settlements</w:t>
      </w:r>
      <w:hyperlink r:id="rId69">
        <w:r>
          <w:rPr>
            <w:rStyle w:val="Hyperlink"/>
          </w:rPr>
          <w:t>[53]</w:t>
        </w:r>
      </w:hyperlink>
      <w:r>
        <w:t xml:space="preserve"> has published multiple pieces demonstrating the application of machine learning to central-bank measurement </w:t>
      </w:r>
      <w:r>
        <w:lastRenderedPageBreak/>
        <w:t xml:space="preserve">problems. A BIS/IFC paper on nowcasting New Zealand GDP tests machine learning methods on large real-time datasets and evaluates whether ML improves real-time GDP estimates. </w:t>
      </w:r>
      <w:hyperlink r:id="rId70">
        <w:r>
          <w:rPr>
            <w:rStyle w:val="Hyperlink"/>
          </w:rPr>
          <w:t>[54]</w:t>
        </w:r>
      </w:hyperlink>
      <w:r>
        <w:t xml:space="preserve"> A BIS working paper on big data and machine learning in central banking surveys applications and institutional implications of AI and data science for central banks. </w:t>
      </w:r>
      <w:hyperlink r:id="rId71">
        <w:r>
          <w:rPr>
            <w:rStyle w:val="Hyperlink"/>
          </w:rPr>
          <w:t>[55]</w:t>
        </w:r>
      </w:hyperlink>
      <w:r>
        <w:t xml:space="preserve"> The IMF has similarly published technical work on strengthening nowcasting capacity, emphasizing the construction of datasets and scalable approaches to real-time macro estimates. </w:t>
      </w:r>
      <w:hyperlink r:id="rId72">
        <w:r>
          <w:rPr>
            <w:rStyle w:val="Hyperlink"/>
          </w:rPr>
          <w:t>[56]</w:t>
        </w:r>
      </w:hyperlink>
    </w:p>
    <w:p w14:paraId="66683378" w14:textId="77777777" w:rsidR="00F67A3C" w:rsidRDefault="00F67A3C" w:rsidP="00F67A3C">
      <w:pPr>
        <w:pStyle w:val="BodyText"/>
      </w:pPr>
      <w:r>
        <w:rPr>
          <w:b/>
          <w:bCs/>
        </w:rPr>
        <w:t>Large language models as measurement tools, not just chatbots.</w:t>
      </w:r>
      <w:r>
        <w:t xml:space="preserve"> A particularly relevant recent example is an European Central Bank</w:t>
      </w:r>
      <w:hyperlink r:id="rId73">
        <w:r>
          <w:rPr>
            <w:rStyle w:val="Hyperlink"/>
          </w:rPr>
          <w:t>[57]</w:t>
        </w:r>
      </w:hyperlink>
      <w:r>
        <w:t xml:space="preserve"> study reported by Reuters in June 2025: using ChatGPT to analyze narrative tone in PMI releases improved real-time GDP forecasting by adding a text-derived “activity sentiment” signal to nowcasting benchmarks. </w:t>
      </w:r>
      <w:hyperlink r:id="rId74">
        <w:r>
          <w:rPr>
            <w:rStyle w:val="Hyperlink"/>
          </w:rPr>
          <w:t>[58]</w:t>
        </w:r>
      </w:hyperlink>
      <w:r>
        <w:t xml:space="preserve"> This directly supports the specific claim in your passage that intelligent machines can help “present results in forms intelligible to citizens,” because LLMs are being used to translate qualitative text streams into measurable signals that improve standard forecasting tools. </w:t>
      </w:r>
      <w:hyperlink r:id="rId75">
        <w:r>
          <w:rPr>
            <w:rStyle w:val="Hyperlink"/>
          </w:rPr>
          <w:t>[58]</w:t>
        </w:r>
      </w:hyperlink>
    </w:p>
    <w:p w14:paraId="468B6DF7" w14:textId="77777777" w:rsidR="00F67A3C" w:rsidRDefault="00F67A3C" w:rsidP="00F67A3C">
      <w:pPr>
        <w:pStyle w:val="BodyText"/>
      </w:pPr>
      <w:r>
        <w:t xml:space="preserve">Taken together, these sources support a defensible research-backed formulation of your closing idea: in a long transition, </w:t>
      </w:r>
      <w:r>
        <w:rPr>
          <w:i/>
          <w:iCs/>
        </w:rPr>
        <w:t>publicly auditable dashboards and models</w:t>
      </w:r>
      <w:r>
        <w:t xml:space="preserve">—built on open data, transparent governance standards, and ML/LLM-based nowcasting tools—are not techno-theater; they are a realistic mechanism for sustaining consent and correcting policy in real time. </w:t>
      </w:r>
      <w:hyperlink r:id="rId76">
        <w:r>
          <w:rPr>
            <w:rStyle w:val="Hyperlink"/>
          </w:rPr>
          <w:t>[59]</w:t>
        </w:r>
      </w:hyperlink>
    </w:p>
    <w:bookmarkEnd w:id="1"/>
    <w:bookmarkEnd w:id="2"/>
    <w:bookmarkEnd w:id="8"/>
    <w:p w14:paraId="6E0681BB" w14:textId="77777777" w:rsidR="00F67A3C" w:rsidRDefault="00747EFC" w:rsidP="00F67A3C">
      <w:r>
        <w:rPr>
          <w:noProof/>
        </w:rPr>
        <w:pict w14:anchorId="6331EBC0">
          <v:rect id="_x0000_i1025" alt="" style="width:468pt;height:.05pt;mso-width-percent:0;mso-height-percent:0;mso-width-percent:0;mso-height-percent:0" o:hralign="center" o:hrstd="t" o:hr="t"/>
        </w:pict>
      </w:r>
    </w:p>
    <w:bookmarkStart w:id="9" w:name="citations"/>
    <w:p w14:paraId="0AABDD72" w14:textId="77777777" w:rsidR="00F67A3C" w:rsidRDefault="00F67A3C" w:rsidP="00722DB4">
      <w:r>
        <w:fldChar w:fldCharType="begin"/>
      </w:r>
      <w:r>
        <w:instrText>HYPERLINK "https://www.jstor.org/stable/2006600?utm_source=chatgpt.com" \h</w:instrText>
      </w:r>
      <w:r>
        <w:fldChar w:fldCharType="separate"/>
      </w:r>
      <w:r>
        <w:rPr>
          <w:rStyle w:val="Hyperlink"/>
        </w:rPr>
        <w:t>[1]</w:t>
      </w:r>
      <w:r>
        <w:fldChar w:fldCharType="end"/>
      </w:r>
      <w:r>
        <w:t xml:space="preserve"> An Historical Perspective on the Modern Productivity Paradox</w:t>
      </w:r>
    </w:p>
    <w:p w14:paraId="7E5B1149" w14:textId="77777777" w:rsidR="00F67A3C" w:rsidRDefault="00F67A3C" w:rsidP="00722DB4">
      <w:hyperlink r:id="rId77">
        <w:r>
          <w:rPr>
            <w:rStyle w:val="Hyperlink"/>
          </w:rPr>
          <w:t>https://www.jstor.org/stable/2006600?utm_source=chatgpt.com</w:t>
        </w:r>
      </w:hyperlink>
    </w:p>
    <w:p w14:paraId="06B32A8A" w14:textId="77777777" w:rsidR="00F67A3C" w:rsidRDefault="00F67A3C" w:rsidP="00722DB4">
      <w:hyperlink r:id="rId78">
        <w:r>
          <w:rPr>
            <w:rStyle w:val="Hyperlink"/>
          </w:rPr>
          <w:t>[2]</w:t>
        </w:r>
      </w:hyperlink>
      <w:r>
        <w:t xml:space="preserve"> </w:t>
      </w:r>
      <w:hyperlink r:id="rId79">
        <w:r>
          <w:rPr>
            <w:rStyle w:val="Hyperlink"/>
          </w:rPr>
          <w:t>[48]</w:t>
        </w:r>
      </w:hyperlink>
      <w:r>
        <w:t xml:space="preserve"> Basic income as a policy option (EN)</w:t>
      </w:r>
    </w:p>
    <w:p w14:paraId="22739DC4" w14:textId="77777777" w:rsidR="00F67A3C" w:rsidRDefault="00F67A3C" w:rsidP="00722DB4">
      <w:hyperlink r:id="rId80">
        <w:r>
          <w:rPr>
            <w:rStyle w:val="Hyperlink"/>
          </w:rPr>
          <w:t>https://www.oecd.org/content/dam/oecd/en/publications/reports/2017/05/basic-income-as-a-policy-option_6d481cff/77d7fe00-en.pdf?utm_source=chatgpt.com</w:t>
        </w:r>
      </w:hyperlink>
    </w:p>
    <w:p w14:paraId="4878336E" w14:textId="77777777" w:rsidR="00F67A3C" w:rsidRDefault="00F67A3C" w:rsidP="00722DB4">
      <w:hyperlink r:id="rId81">
        <w:r>
          <w:rPr>
            <w:rStyle w:val="Hyperlink"/>
          </w:rPr>
          <w:t>[3]</w:t>
        </w:r>
      </w:hyperlink>
      <w:r>
        <w:t xml:space="preserve"> </w:t>
      </w:r>
      <w:hyperlink r:id="rId82">
        <w:r>
          <w:rPr>
            <w:rStyle w:val="Hyperlink"/>
          </w:rPr>
          <w:t>[19]</w:t>
        </w:r>
      </w:hyperlink>
      <w:r>
        <w:t xml:space="preserve"> Digital technology diffusion in the age of AI</w:t>
      </w:r>
    </w:p>
    <w:p w14:paraId="4659EAE3" w14:textId="77777777" w:rsidR="00F67A3C" w:rsidRDefault="00F67A3C" w:rsidP="00722DB4">
      <w:hyperlink r:id="rId83">
        <w:r>
          <w:rPr>
            <w:rStyle w:val="Hyperlink"/>
          </w:rPr>
          <w:t>https://www.oecd.org/en/publications/digital-technology-diffusion-in-the-age-of-ai_ebc2debe-en.html?utm_source=chatgpt.com</w:t>
        </w:r>
      </w:hyperlink>
    </w:p>
    <w:p w14:paraId="0294DDD6" w14:textId="77777777" w:rsidR="00F67A3C" w:rsidRDefault="00F67A3C" w:rsidP="00722DB4">
      <w:hyperlink r:id="rId84">
        <w:r>
          <w:rPr>
            <w:rStyle w:val="Hyperlink"/>
          </w:rPr>
          <w:t>[4]</w:t>
        </w:r>
      </w:hyperlink>
      <w:r>
        <w:t xml:space="preserve"> How Technology Displaces and Reinstates Labor</w:t>
      </w:r>
    </w:p>
    <w:p w14:paraId="240F0647" w14:textId="77777777" w:rsidR="00F67A3C" w:rsidRDefault="00F67A3C" w:rsidP="00722DB4">
      <w:hyperlink r:id="rId85">
        <w:r>
          <w:rPr>
            <w:rStyle w:val="Hyperlink"/>
          </w:rPr>
          <w:t>https://shapingwork.mit.edu/wp-content/uploads/2023/10/acemoglu-restrepo-2019-automation-and-new-tasks-how-technology-displaces-and-reinstates-labor.pdf?utm_source=chatgpt.com</w:t>
        </w:r>
      </w:hyperlink>
    </w:p>
    <w:p w14:paraId="6F7099B9" w14:textId="77777777" w:rsidR="00F67A3C" w:rsidRDefault="00F67A3C" w:rsidP="00722DB4">
      <w:hyperlink r:id="rId86">
        <w:r>
          <w:rPr>
            <w:rStyle w:val="Hyperlink"/>
          </w:rPr>
          <w:t>[5]</w:t>
        </w:r>
      </w:hyperlink>
      <w:r>
        <w:t xml:space="preserve"> </w:t>
      </w:r>
      <w:hyperlink r:id="rId87">
        <w:r>
          <w:rPr>
            <w:rStyle w:val="Hyperlink"/>
          </w:rPr>
          <w:t>[51]</w:t>
        </w:r>
      </w:hyperlink>
      <w:r>
        <w:t xml:space="preserve"> data.gouv.fr : Plateforme ouverte des données publiques ...</w:t>
      </w:r>
    </w:p>
    <w:p w14:paraId="4DC64D6F" w14:textId="77777777" w:rsidR="00F67A3C" w:rsidRDefault="00F67A3C" w:rsidP="00722DB4">
      <w:hyperlink r:id="rId88">
        <w:r>
          <w:rPr>
            <w:rStyle w:val="Hyperlink"/>
          </w:rPr>
          <w:t>https://www.data.gouv.fr/?utm_source=chatgpt.com</w:t>
        </w:r>
      </w:hyperlink>
    </w:p>
    <w:p w14:paraId="4B95857F" w14:textId="77777777" w:rsidR="00F67A3C" w:rsidRDefault="00F67A3C" w:rsidP="00722DB4">
      <w:hyperlink r:id="rId89">
        <w:r>
          <w:rPr>
            <w:rStyle w:val="Hyperlink"/>
          </w:rPr>
          <w:t>[6]</w:t>
        </w:r>
      </w:hyperlink>
      <w:r>
        <w:t xml:space="preserve"> Future of Jobs Report 2025</w:t>
      </w:r>
    </w:p>
    <w:p w14:paraId="422F41BD" w14:textId="77777777" w:rsidR="00F67A3C" w:rsidRDefault="00F67A3C" w:rsidP="00722DB4">
      <w:hyperlink r:id="rId90">
        <w:r>
          <w:rPr>
            <w:rStyle w:val="Hyperlink"/>
          </w:rPr>
          <w:t>https://reports.weforum.org/docs/WEF_Future_of_Jobs_Report_2025.pdf?utm_source=chatgpt.com</w:t>
        </w:r>
      </w:hyperlink>
    </w:p>
    <w:p w14:paraId="29F9B904" w14:textId="77777777" w:rsidR="00F67A3C" w:rsidRDefault="00F67A3C" w:rsidP="00722DB4">
      <w:hyperlink r:id="rId91">
        <w:r>
          <w:rPr>
            <w:rStyle w:val="Hyperlink"/>
          </w:rPr>
          <w:t>[7]</w:t>
        </w:r>
      </w:hyperlink>
      <w:r>
        <w:t xml:space="preserve"> </w:t>
      </w:r>
      <w:hyperlink r:id="rId92">
        <w:r>
          <w:rPr>
            <w:rStyle w:val="Hyperlink"/>
          </w:rPr>
          <w:t>[10]</w:t>
        </w:r>
      </w:hyperlink>
      <w:r>
        <w:t xml:space="preserve"> Global Wage Report 2016/17</w:t>
      </w:r>
    </w:p>
    <w:p w14:paraId="6C3BA19F" w14:textId="77777777" w:rsidR="00F67A3C" w:rsidRDefault="00F67A3C" w:rsidP="00722DB4">
      <w:hyperlink r:id="rId93">
        <w:r>
          <w:rPr>
            <w:rStyle w:val="Hyperlink"/>
          </w:rPr>
          <w:t>https://www.ilo.org/sites/default/files/wcmsp5/groups/public/%40dgreports/%40dcomm/%40publ/documents/publication/wcms_537846.pdf?utm_source=chatgpt.com</w:t>
        </w:r>
      </w:hyperlink>
    </w:p>
    <w:p w14:paraId="46B4426E" w14:textId="77777777" w:rsidR="00F67A3C" w:rsidRDefault="00F67A3C" w:rsidP="00722DB4">
      <w:hyperlink r:id="rId94">
        <w:r>
          <w:rPr>
            <w:rStyle w:val="Hyperlink"/>
          </w:rPr>
          <w:t>[8]</w:t>
        </w:r>
      </w:hyperlink>
      <w:r>
        <w:t xml:space="preserve"> Drivers of Declining Labor Share of Income</w:t>
      </w:r>
    </w:p>
    <w:p w14:paraId="0C653E92" w14:textId="77777777" w:rsidR="00F67A3C" w:rsidRDefault="00F67A3C" w:rsidP="00722DB4">
      <w:hyperlink r:id="rId95">
        <w:r>
          <w:rPr>
            <w:rStyle w:val="Hyperlink"/>
          </w:rPr>
          <w:t>https://www.imf.org/en/blogs/articles/2017/04/12/drivers-of-declining-labor-share-of-income?utm_source=chatgpt.com</w:t>
        </w:r>
      </w:hyperlink>
    </w:p>
    <w:p w14:paraId="231E1AE4" w14:textId="77777777" w:rsidR="00F67A3C" w:rsidRDefault="00F67A3C" w:rsidP="00722DB4">
      <w:hyperlink r:id="rId96">
        <w:r>
          <w:rPr>
            <w:rStyle w:val="Hyperlink"/>
          </w:rPr>
          <w:t>[9]</w:t>
        </w:r>
      </w:hyperlink>
      <w:r>
        <w:t xml:space="preserve"> </w:t>
      </w:r>
      <w:hyperlink r:id="rId97">
        <w:r>
          <w:rPr>
            <w:rStyle w:val="Hyperlink"/>
          </w:rPr>
          <w:t>[55]</w:t>
        </w:r>
      </w:hyperlink>
      <w:r>
        <w:t xml:space="preserve"> Big data and machine learning in central banks</w:t>
      </w:r>
    </w:p>
    <w:p w14:paraId="54FA6AFA" w14:textId="77777777" w:rsidR="00F67A3C" w:rsidRDefault="00F67A3C" w:rsidP="00722DB4">
      <w:hyperlink r:id="rId98">
        <w:r>
          <w:rPr>
            <w:rStyle w:val="Hyperlink"/>
          </w:rPr>
          <w:t>https://www.bis.org/publ/work930.pdf?utm_source=chatgpt.com</w:t>
        </w:r>
      </w:hyperlink>
    </w:p>
    <w:p w14:paraId="25E6E3F8" w14:textId="77777777" w:rsidR="00F67A3C" w:rsidRDefault="00F67A3C" w:rsidP="00722DB4">
      <w:hyperlink r:id="rId99">
        <w:r>
          <w:rPr>
            <w:rStyle w:val="Hyperlink"/>
          </w:rPr>
          <w:t>[11]</w:t>
        </w:r>
      </w:hyperlink>
      <w:r>
        <w:t xml:space="preserve"> </w:t>
      </w:r>
      <w:hyperlink r:id="rId100">
        <w:r>
          <w:rPr>
            <w:rStyle w:val="Hyperlink"/>
          </w:rPr>
          <w:t>[57]</w:t>
        </w:r>
      </w:hyperlink>
      <w:r>
        <w:t xml:space="preserve"> Trust in government</w:t>
      </w:r>
    </w:p>
    <w:p w14:paraId="25C47132" w14:textId="77777777" w:rsidR="00F67A3C" w:rsidRDefault="00F67A3C" w:rsidP="00722DB4">
      <w:hyperlink r:id="rId101">
        <w:r>
          <w:rPr>
            <w:rStyle w:val="Hyperlink"/>
          </w:rPr>
          <w:t>https://www.oecd.org/en/data/indicators/trust-in-government.html?utm_source=chatgpt.com</w:t>
        </w:r>
      </w:hyperlink>
    </w:p>
    <w:p w14:paraId="7C37454E" w14:textId="77777777" w:rsidR="00F67A3C" w:rsidRDefault="00F67A3C" w:rsidP="00722DB4">
      <w:hyperlink r:id="rId102">
        <w:r>
          <w:rPr>
            <w:rStyle w:val="Hyperlink"/>
          </w:rPr>
          <w:t>[12]</w:t>
        </w:r>
      </w:hyperlink>
      <w:r>
        <w:t xml:space="preserve"> </w:t>
      </w:r>
      <w:hyperlink r:id="rId103">
        <w:r>
          <w:rPr>
            <w:rStyle w:val="Hyperlink"/>
          </w:rPr>
          <w:t>[59]</w:t>
        </w:r>
      </w:hyperlink>
      <w:r>
        <w:t xml:space="preserve"> Transparency of public information: Government at a ...</w:t>
      </w:r>
    </w:p>
    <w:p w14:paraId="6F6ABFBD" w14:textId="77777777" w:rsidR="00F67A3C" w:rsidRDefault="00F67A3C" w:rsidP="00722DB4">
      <w:hyperlink r:id="rId104">
        <w:r>
          <w:rPr>
            <w:rStyle w:val="Hyperlink"/>
          </w:rPr>
          <w:t>https://www.oecd.org/en/publications/2025/06/government-at-a-glance-2025_70e14c6c/full-report/transparency-of-public-information_60a963c4.html?utm_source=chatgpt.com</w:t>
        </w:r>
      </w:hyperlink>
    </w:p>
    <w:p w14:paraId="6D4A9FFB" w14:textId="77777777" w:rsidR="00F67A3C" w:rsidRDefault="00F67A3C" w:rsidP="00722DB4">
      <w:hyperlink r:id="rId105">
        <w:r>
          <w:rPr>
            <w:rStyle w:val="Hyperlink"/>
          </w:rPr>
          <w:t>[13]</w:t>
        </w:r>
      </w:hyperlink>
      <w:r>
        <w:t xml:space="preserve"> </w:t>
      </w:r>
      <w:hyperlink r:id="rId106">
        <w:r>
          <w:rPr>
            <w:rStyle w:val="Hyperlink"/>
          </w:rPr>
          <w:t>[20]</w:t>
        </w:r>
      </w:hyperlink>
      <w:r>
        <w:t xml:space="preserve"> </w:t>
      </w:r>
      <w:hyperlink r:id="rId107">
        <w:r>
          <w:rPr>
            <w:rStyle w:val="Hyperlink"/>
          </w:rPr>
          <w:t>[53]</w:t>
        </w:r>
      </w:hyperlink>
      <w:r>
        <w:t xml:space="preserve"> FRR Missions</w:t>
      </w:r>
    </w:p>
    <w:p w14:paraId="62E856CB" w14:textId="77777777" w:rsidR="00F67A3C" w:rsidRDefault="00F67A3C" w:rsidP="00722DB4">
      <w:hyperlink r:id="rId108">
        <w:r>
          <w:rPr>
            <w:rStyle w:val="Hyperlink"/>
          </w:rPr>
          <w:t>https://www.fondsdereserve.fr/en/about/frr-missions/?utm_source=chatgpt.com</w:t>
        </w:r>
      </w:hyperlink>
    </w:p>
    <w:p w14:paraId="06569845" w14:textId="77777777" w:rsidR="00F67A3C" w:rsidRDefault="00F67A3C" w:rsidP="00722DB4">
      <w:hyperlink r:id="rId109">
        <w:r>
          <w:rPr>
            <w:rStyle w:val="Hyperlink"/>
          </w:rPr>
          <w:t>[14]</w:t>
        </w:r>
      </w:hyperlink>
      <w:r>
        <w:t xml:space="preserve"> Ménage – Famille − Tableaux de l'économie française</w:t>
      </w:r>
    </w:p>
    <w:p w14:paraId="431C3F78" w14:textId="77777777" w:rsidR="00F67A3C" w:rsidRDefault="00F67A3C" w:rsidP="00722DB4">
      <w:hyperlink r:id="rId110">
        <w:r>
          <w:rPr>
            <w:rStyle w:val="Hyperlink"/>
          </w:rPr>
          <w:t>https://www.insee.fr/fr/statistiques/4277630?sommaire=4318291&amp;utm_source=chatgpt.com</w:t>
        </w:r>
      </w:hyperlink>
    </w:p>
    <w:p w14:paraId="2DBBC579" w14:textId="77777777" w:rsidR="00F67A3C" w:rsidRDefault="00F67A3C" w:rsidP="00722DB4">
      <w:hyperlink r:id="rId111">
        <w:r>
          <w:rPr>
            <w:rStyle w:val="Hyperlink"/>
          </w:rPr>
          <w:t>[15]</w:t>
        </w:r>
      </w:hyperlink>
      <w:r>
        <w:t xml:space="preserve"> </w:t>
      </w:r>
      <w:hyperlink r:id="rId112">
        <w:r>
          <w:rPr>
            <w:rStyle w:val="Hyperlink"/>
          </w:rPr>
          <w:t>[27]</w:t>
        </w:r>
      </w:hyperlink>
      <w:r>
        <w:t xml:space="preserve"> </w:t>
      </w:r>
      <w:hyperlink r:id="rId113">
        <w:r>
          <w:rPr>
            <w:rStyle w:val="Hyperlink"/>
          </w:rPr>
          <w:t>[49]</w:t>
        </w:r>
      </w:hyperlink>
      <w:r>
        <w:t xml:space="preserve"> Sovereign Wealth Funds - A Work Agenda</w:t>
      </w:r>
    </w:p>
    <w:p w14:paraId="1793757F" w14:textId="77777777" w:rsidR="00F67A3C" w:rsidRDefault="00F67A3C" w:rsidP="00722DB4">
      <w:hyperlink r:id="rId114">
        <w:r>
          <w:rPr>
            <w:rStyle w:val="Hyperlink"/>
          </w:rPr>
          <w:t>https://www.imf.org/en/publications/policy-papers/issues/2016/12/31/sovereign-wealth-funds-a-work-agenda-pp4234?utm_source=chatgpt.com</w:t>
        </w:r>
      </w:hyperlink>
    </w:p>
    <w:p w14:paraId="0F0F4801" w14:textId="77777777" w:rsidR="00F67A3C" w:rsidRDefault="00F67A3C" w:rsidP="00722DB4">
      <w:hyperlink r:id="rId115">
        <w:r>
          <w:rPr>
            <w:rStyle w:val="Hyperlink"/>
          </w:rPr>
          <w:t>[16]</w:t>
        </w:r>
      </w:hyperlink>
      <w:r>
        <w:t xml:space="preserve"> </w:t>
      </w:r>
      <w:hyperlink r:id="rId116">
        <w:r>
          <w:rPr>
            <w:rStyle w:val="Hyperlink"/>
          </w:rPr>
          <w:t>[39]</w:t>
        </w:r>
      </w:hyperlink>
      <w:r>
        <w:t xml:space="preserve"> Enhancing Simplicity to Foster Tax Certainty and Growth</w:t>
      </w:r>
    </w:p>
    <w:p w14:paraId="584A110C" w14:textId="77777777" w:rsidR="00F67A3C" w:rsidRDefault="00F67A3C" w:rsidP="00722DB4">
      <w:hyperlink r:id="rId117">
        <w:r>
          <w:rPr>
            <w:rStyle w:val="Hyperlink"/>
          </w:rPr>
          <w:t>https://www.oecd.org/content/dam/oecd/en/publications/reports/2025/10/enhancing-simplicity-to-foster-tax-certainty-and-growth_d42d5905/086f71ab-en.pdf?utm_source=chatgpt.com</w:t>
        </w:r>
      </w:hyperlink>
    </w:p>
    <w:p w14:paraId="2C7CEC87" w14:textId="77777777" w:rsidR="00F67A3C" w:rsidRDefault="00F67A3C" w:rsidP="00722DB4">
      <w:hyperlink r:id="rId118">
        <w:r>
          <w:rPr>
            <w:rStyle w:val="Hyperlink"/>
          </w:rPr>
          <w:t>[17]</w:t>
        </w:r>
      </w:hyperlink>
      <w:r>
        <w:t xml:space="preserve"> Santiago Principles</w:t>
      </w:r>
    </w:p>
    <w:p w14:paraId="4F8AB17D" w14:textId="77777777" w:rsidR="00F67A3C" w:rsidRDefault="00F67A3C" w:rsidP="00722DB4">
      <w:hyperlink r:id="rId119">
        <w:r>
          <w:rPr>
            <w:rStyle w:val="Hyperlink"/>
          </w:rPr>
          <w:t>https://www.ifswf.org/santiago-principles?utm_source=chatgpt.com</w:t>
        </w:r>
      </w:hyperlink>
    </w:p>
    <w:p w14:paraId="16C7D5F7" w14:textId="77777777" w:rsidR="00F67A3C" w:rsidRDefault="00F67A3C" w:rsidP="00722DB4">
      <w:hyperlink r:id="rId120">
        <w:r>
          <w:rPr>
            <w:rStyle w:val="Hyperlink"/>
          </w:rPr>
          <w:t>[18]</w:t>
        </w:r>
      </w:hyperlink>
      <w:r>
        <w:t xml:space="preserve"> Santiago Principles - ADIA</w:t>
      </w:r>
    </w:p>
    <w:p w14:paraId="0B681823" w14:textId="77777777" w:rsidR="00F67A3C" w:rsidRDefault="00F67A3C" w:rsidP="00722DB4">
      <w:hyperlink r:id="rId121">
        <w:r>
          <w:rPr>
            <w:rStyle w:val="Hyperlink"/>
          </w:rPr>
          <w:t>https://www.adia.ae/en/purpose/responsible-long-term-investing/case-studies/santiago-principles?utm_source=chatgpt.com</w:t>
        </w:r>
      </w:hyperlink>
    </w:p>
    <w:p w14:paraId="33729B0E" w14:textId="77777777" w:rsidR="00F67A3C" w:rsidRDefault="00F67A3C" w:rsidP="00722DB4">
      <w:hyperlink r:id="rId122">
        <w:r>
          <w:rPr>
            <w:rStyle w:val="Hyperlink"/>
          </w:rPr>
          <w:t>[21]</w:t>
        </w:r>
      </w:hyperlink>
      <w:r>
        <w:t xml:space="preserve"> Technical Note 1</w:t>
      </w:r>
    </w:p>
    <w:p w14:paraId="4EB34599" w14:textId="77777777" w:rsidR="00F67A3C" w:rsidRDefault="00F67A3C" w:rsidP="00722DB4">
      <w:hyperlink r:id="rId123">
        <w:r>
          <w:rPr>
            <w:rStyle w:val="Hyperlink"/>
          </w:rPr>
          <w:t>https://www.ilo.org/sites/default/files/wcmsp5/groups/public/%40asia/%40ro-bangkok/%40ilo-beijing/documents/briefingnote/wcms_749634.pdf?utm_source=chatgpt.com</w:t>
        </w:r>
      </w:hyperlink>
    </w:p>
    <w:p w14:paraId="4E81CC6F" w14:textId="77777777" w:rsidR="00F67A3C" w:rsidRDefault="00F67A3C" w:rsidP="00722DB4">
      <w:hyperlink r:id="rId124">
        <w:r>
          <w:rPr>
            <w:rStyle w:val="Hyperlink"/>
          </w:rPr>
          <w:t>[22]</w:t>
        </w:r>
      </w:hyperlink>
      <w:r>
        <w:t xml:space="preserve"> </w:t>
      </w:r>
      <w:hyperlink r:id="rId125">
        <w:r>
          <w:rPr>
            <w:rStyle w:val="Hyperlink"/>
          </w:rPr>
          <w:t>[46]</w:t>
        </w:r>
      </w:hyperlink>
      <w:r>
        <w:t xml:space="preserve"> Long‐term effects of the Alaska Permanent Fund Dividend ...</w:t>
      </w:r>
    </w:p>
    <w:p w14:paraId="648C8D99" w14:textId="77777777" w:rsidR="00F67A3C" w:rsidRDefault="00F67A3C" w:rsidP="00722DB4">
      <w:hyperlink r:id="rId126">
        <w:r>
          <w:rPr>
            <w:rStyle w:val="Hyperlink"/>
          </w:rPr>
          <w:t>https://onlinelibrary.wiley.com/doi/full/10.1002/pop4.398?utm_source=chatgpt.com</w:t>
        </w:r>
      </w:hyperlink>
    </w:p>
    <w:p w14:paraId="7F210729" w14:textId="77777777" w:rsidR="00F67A3C" w:rsidRDefault="00F67A3C" w:rsidP="00722DB4">
      <w:hyperlink r:id="rId127">
        <w:r>
          <w:rPr>
            <w:rStyle w:val="Hyperlink"/>
          </w:rPr>
          <w:t>[23]</w:t>
        </w:r>
      </w:hyperlink>
      <w:r>
        <w:t xml:space="preserve"> </w:t>
      </w:r>
      <w:hyperlink r:id="rId128">
        <w:r>
          <w:rPr>
            <w:rStyle w:val="Hyperlink"/>
          </w:rPr>
          <w:t>[44]</w:t>
        </w:r>
      </w:hyperlink>
      <w:r>
        <w:t xml:space="preserve"> About Us - Permanent Fund Dividend</w:t>
      </w:r>
    </w:p>
    <w:p w14:paraId="311CB545" w14:textId="77777777" w:rsidR="00F67A3C" w:rsidRDefault="00F67A3C" w:rsidP="00722DB4">
      <w:hyperlink r:id="rId129">
        <w:r>
          <w:rPr>
            <w:rStyle w:val="Hyperlink"/>
          </w:rPr>
          <w:t>https://pfd.alaska.gov/Division-Info/about-us?utm_source=chatgpt.com</w:t>
        </w:r>
      </w:hyperlink>
    </w:p>
    <w:p w14:paraId="3562D7D5" w14:textId="77777777" w:rsidR="00F67A3C" w:rsidRDefault="00F67A3C" w:rsidP="00722DB4">
      <w:hyperlink r:id="rId130">
        <w:r>
          <w:rPr>
            <w:rStyle w:val="Hyperlink"/>
          </w:rPr>
          <w:t>[24]</w:t>
        </w:r>
      </w:hyperlink>
      <w:r>
        <w:t xml:space="preserve"> </w:t>
      </w:r>
      <w:hyperlink r:id="rId131">
        <w:r>
          <w:rPr>
            <w:rStyle w:val="Hyperlink"/>
          </w:rPr>
          <w:t>[41]</w:t>
        </w:r>
      </w:hyperlink>
      <w:r>
        <w:t xml:space="preserve"> </w:t>
      </w:r>
      <w:hyperlink r:id="rId132">
        <w:r>
          <w:rPr>
            <w:rStyle w:val="Hyperlink"/>
          </w:rPr>
          <w:t>[50]</w:t>
        </w:r>
      </w:hyperlink>
      <w:r>
        <w:t xml:space="preserve"> Data.gouv.fr: the French Open Platform for Open Data</w:t>
      </w:r>
    </w:p>
    <w:p w14:paraId="2BFECFF6" w14:textId="77777777" w:rsidR="00F67A3C" w:rsidRDefault="00F67A3C" w:rsidP="00722DB4">
      <w:hyperlink r:id="rId133">
        <w:r>
          <w:rPr>
            <w:rStyle w:val="Hyperlink"/>
          </w:rPr>
          <w:t>https://interoperable-europe.ec.europa.eu/collection/open-government/document/datagouvfr-french-open-platform-open-data?utm_source=chatgpt.com</w:t>
        </w:r>
      </w:hyperlink>
    </w:p>
    <w:p w14:paraId="697CD214" w14:textId="77777777" w:rsidR="00F67A3C" w:rsidRDefault="00F67A3C" w:rsidP="00722DB4">
      <w:hyperlink r:id="rId134">
        <w:r>
          <w:rPr>
            <w:rStyle w:val="Hyperlink"/>
          </w:rPr>
          <w:t>[25]</w:t>
        </w:r>
      </w:hyperlink>
      <w:r>
        <w:t xml:space="preserve"> </w:t>
      </w:r>
      <w:hyperlink r:id="rId135">
        <w:r>
          <w:rPr>
            <w:rStyle w:val="Hyperlink"/>
          </w:rPr>
          <w:t>[30]</w:t>
        </w:r>
      </w:hyperlink>
      <w:r>
        <w:t xml:space="preserve"> History of the Alaska Permanent Fund ...</w:t>
      </w:r>
    </w:p>
    <w:p w14:paraId="74942E91" w14:textId="77777777" w:rsidR="00F67A3C" w:rsidRDefault="00F67A3C" w:rsidP="00722DB4">
      <w:hyperlink r:id="rId136">
        <w:r>
          <w:rPr>
            <w:rStyle w:val="Hyperlink"/>
          </w:rPr>
          <w:t>https://apfc.org/who-we-are/history-of-the-alaska-permanent-fund/?utm_source=chatgpt.com</w:t>
        </w:r>
      </w:hyperlink>
    </w:p>
    <w:p w14:paraId="73CB60B1" w14:textId="77777777" w:rsidR="00F67A3C" w:rsidRDefault="00F67A3C" w:rsidP="00722DB4">
      <w:hyperlink r:id="rId137">
        <w:r>
          <w:rPr>
            <w:rStyle w:val="Hyperlink"/>
          </w:rPr>
          <w:t>[26]</w:t>
        </w:r>
      </w:hyperlink>
      <w:r>
        <w:t xml:space="preserve"> Alaska residents are paid a unique yearly dividend from ...</w:t>
      </w:r>
    </w:p>
    <w:p w14:paraId="5C49556B" w14:textId="77777777" w:rsidR="00F67A3C" w:rsidRDefault="00F67A3C" w:rsidP="00722DB4">
      <w:hyperlink r:id="rId138">
        <w:r>
          <w:rPr>
            <w:rStyle w:val="Hyperlink"/>
          </w:rPr>
          <w:t>https://www.eia.gov/todayinenergy/detail.php?id=21052&amp;utm_source=chatgpt.com</w:t>
        </w:r>
      </w:hyperlink>
    </w:p>
    <w:p w14:paraId="045ED21A" w14:textId="77777777" w:rsidR="00F67A3C" w:rsidRDefault="00F67A3C" w:rsidP="00722DB4">
      <w:hyperlink r:id="rId139">
        <w:r>
          <w:rPr>
            <w:rStyle w:val="Hyperlink"/>
          </w:rPr>
          <w:t>[28]</w:t>
        </w:r>
      </w:hyperlink>
      <w:r>
        <w:t xml:space="preserve"> </w:t>
      </w:r>
      <w:hyperlink r:id="rId140">
        <w:r>
          <w:rPr>
            <w:rStyle w:val="Hyperlink"/>
          </w:rPr>
          <w:t>[33]</w:t>
        </w:r>
      </w:hyperlink>
      <w:r>
        <w:t xml:space="preserve"> </w:t>
      </w:r>
      <w:hyperlink r:id="rId141">
        <w:r>
          <w:rPr>
            <w:rStyle w:val="Hyperlink"/>
          </w:rPr>
          <w:t>[34]</w:t>
        </w:r>
      </w:hyperlink>
      <w:r>
        <w:t xml:space="preserve"> Taxation of Dividend, Interest, and Capital Gain Income</w:t>
      </w:r>
    </w:p>
    <w:p w14:paraId="44AED5F5" w14:textId="77777777" w:rsidR="00F67A3C" w:rsidRDefault="00F67A3C" w:rsidP="00722DB4">
      <w:hyperlink r:id="rId142">
        <w:r>
          <w:rPr>
            <w:rStyle w:val="Hyperlink"/>
          </w:rPr>
          <w:t>https://www.oecd.org/content/dam/oecd/en/publications/reports/2013/11/taxation-of-dividend-interest-and-capital-gain-income_g17a239a/5k3wh96w246k-en.pdf?utm_source=chatgpt.com</w:t>
        </w:r>
      </w:hyperlink>
    </w:p>
    <w:p w14:paraId="0252FFC9" w14:textId="77777777" w:rsidR="00F67A3C" w:rsidRDefault="00F67A3C" w:rsidP="00722DB4">
      <w:hyperlink r:id="rId143">
        <w:r>
          <w:rPr>
            <w:rStyle w:val="Hyperlink"/>
          </w:rPr>
          <w:t>[29]</w:t>
        </w:r>
      </w:hyperlink>
      <w:r>
        <w:t xml:space="preserve"> Super for employers</w:t>
      </w:r>
    </w:p>
    <w:p w14:paraId="452B6516" w14:textId="77777777" w:rsidR="00F67A3C" w:rsidRDefault="00F67A3C" w:rsidP="00722DB4">
      <w:hyperlink r:id="rId144">
        <w:r>
          <w:rPr>
            <w:rStyle w:val="Hyperlink"/>
          </w:rPr>
          <w:t>https://www.ato.gov.au/businesses-and-organisations/super-for-employers?utm_source=chatgpt.com</w:t>
        </w:r>
      </w:hyperlink>
    </w:p>
    <w:p w14:paraId="2CD1D722" w14:textId="77777777" w:rsidR="00F67A3C" w:rsidRDefault="00F67A3C" w:rsidP="00722DB4">
      <w:hyperlink r:id="rId145">
        <w:r>
          <w:rPr>
            <w:rStyle w:val="Hyperlink"/>
          </w:rPr>
          <w:t>[31]</w:t>
        </w:r>
      </w:hyperlink>
      <w:r>
        <w:t xml:space="preserve"> </w:t>
      </w:r>
      <w:hyperlink r:id="rId146">
        <w:r>
          <w:rPr>
            <w:rStyle w:val="Hyperlink"/>
          </w:rPr>
          <w:t>[32]</w:t>
        </w:r>
      </w:hyperlink>
      <w:r>
        <w:t xml:space="preserve"> APRA releases superannuation statistics for December 2025</w:t>
      </w:r>
    </w:p>
    <w:p w14:paraId="0937118A" w14:textId="77777777" w:rsidR="00F67A3C" w:rsidRDefault="00F67A3C" w:rsidP="00722DB4">
      <w:hyperlink r:id="rId147">
        <w:r>
          <w:rPr>
            <w:rStyle w:val="Hyperlink"/>
          </w:rPr>
          <w:t>https://www.apra.gov.au/news-and-publications/apra-releases-superannuation-statistics-for-december-2025?utm_source=chatgpt.com</w:t>
        </w:r>
      </w:hyperlink>
    </w:p>
    <w:p w14:paraId="20A89AF9" w14:textId="77777777" w:rsidR="00F67A3C" w:rsidRDefault="00F67A3C" w:rsidP="00722DB4">
      <w:hyperlink r:id="rId148">
        <w:r>
          <w:rPr>
            <w:rStyle w:val="Hyperlink"/>
          </w:rPr>
          <w:t>[35]</w:t>
        </w:r>
      </w:hyperlink>
      <w:r>
        <w:t xml:space="preserve"> Dividend imputation and franking credits</w:t>
      </w:r>
    </w:p>
    <w:p w14:paraId="7F4E1300" w14:textId="77777777" w:rsidR="00F67A3C" w:rsidRDefault="00F67A3C" w:rsidP="00722DB4">
      <w:hyperlink r:id="rId149">
        <w:r>
          <w:rPr>
            <w:rStyle w:val="Hyperlink"/>
          </w:rPr>
          <w:t>https://www.pbo.gov.au/about-budgets/budget-insights/budget-explainers/dividend-imputation-and-franking-credits?utm_source=chatgpt.com</w:t>
        </w:r>
      </w:hyperlink>
    </w:p>
    <w:p w14:paraId="713BF151" w14:textId="77777777" w:rsidR="00F67A3C" w:rsidRDefault="00F67A3C" w:rsidP="00722DB4">
      <w:hyperlink r:id="rId150">
        <w:r>
          <w:rPr>
            <w:rStyle w:val="Hyperlink"/>
          </w:rPr>
          <w:t>[36]</w:t>
        </w:r>
      </w:hyperlink>
      <w:r>
        <w:t xml:space="preserve"> Imputation</w:t>
      </w:r>
    </w:p>
    <w:p w14:paraId="23A5961B" w14:textId="77777777" w:rsidR="00F67A3C" w:rsidRDefault="00F67A3C" w:rsidP="00722DB4">
      <w:hyperlink r:id="rId151">
        <w:r>
          <w:rPr>
            <w:rStyle w:val="Hyperlink"/>
          </w:rPr>
          <w:t>https://www.ato.gov.au/businesses-and-organisations/corporate-tax-measures-and-assurance/imputation?utm_source=chatgpt.com</w:t>
        </w:r>
      </w:hyperlink>
    </w:p>
    <w:p w14:paraId="227C5005" w14:textId="77777777" w:rsidR="00F67A3C" w:rsidRDefault="00F67A3C" w:rsidP="00722DB4">
      <w:hyperlink r:id="rId152">
        <w:r>
          <w:rPr>
            <w:rStyle w:val="Hyperlink"/>
          </w:rPr>
          <w:t>[37]</w:t>
        </w:r>
      </w:hyperlink>
      <w:r>
        <w:t xml:space="preserve"> </w:t>
      </w:r>
      <w:hyperlink r:id="rId153">
        <w:r>
          <w:rPr>
            <w:rStyle w:val="Hyperlink"/>
          </w:rPr>
          <w:t>[38]</w:t>
        </w:r>
      </w:hyperlink>
      <w:r>
        <w:t xml:space="preserve"> Dividend taxes, employment, and firm productivity</w:t>
      </w:r>
    </w:p>
    <w:p w14:paraId="16168ADD" w14:textId="77777777" w:rsidR="00F67A3C" w:rsidRDefault="00F67A3C" w:rsidP="00722DB4">
      <w:hyperlink r:id="rId154">
        <w:r>
          <w:rPr>
            <w:rStyle w:val="Hyperlink"/>
          </w:rPr>
          <w:t>https://www.sciencedirect.com/science/article/abs/pii/S0929119921001620?utm_source=chatgpt.com</w:t>
        </w:r>
      </w:hyperlink>
    </w:p>
    <w:p w14:paraId="79D9F8DA" w14:textId="77777777" w:rsidR="00F67A3C" w:rsidRDefault="00F67A3C" w:rsidP="00722DB4">
      <w:hyperlink r:id="rId155">
        <w:r>
          <w:rPr>
            <w:rStyle w:val="Hyperlink"/>
          </w:rPr>
          <w:t>[40]</w:t>
        </w:r>
      </w:hyperlink>
      <w:r>
        <w:t xml:space="preserve"> Rising Income Tax Complexity</w:t>
      </w:r>
    </w:p>
    <w:p w14:paraId="3A2CC8B8" w14:textId="77777777" w:rsidR="00F67A3C" w:rsidRDefault="00F67A3C" w:rsidP="00722DB4">
      <w:hyperlink r:id="rId156">
        <w:r>
          <w:rPr>
            <w:rStyle w:val="Hyperlink"/>
          </w:rPr>
          <w:t>https://www.nber.org/system/files/working_papers/w31944/w31944.pdf?utm_source=chatgpt.com</w:t>
        </w:r>
      </w:hyperlink>
    </w:p>
    <w:p w14:paraId="631D088B" w14:textId="77777777" w:rsidR="00F67A3C" w:rsidRDefault="00F67A3C" w:rsidP="00722DB4">
      <w:hyperlink r:id="rId157">
        <w:r>
          <w:rPr>
            <w:rStyle w:val="Hyperlink"/>
          </w:rPr>
          <w:t>[42]</w:t>
        </w:r>
      </w:hyperlink>
      <w:r>
        <w:t xml:space="preserve"> First results from the Finnish basic income experiment</w:t>
      </w:r>
    </w:p>
    <w:p w14:paraId="6BDDA432" w14:textId="77777777" w:rsidR="00F67A3C" w:rsidRDefault="00F67A3C" w:rsidP="00722DB4">
      <w:hyperlink r:id="rId158">
        <w:r>
          <w:rPr>
            <w:rStyle w:val="Hyperlink"/>
          </w:rPr>
          <w:t>https://ec.europa.eu/social/BlobServlet?docId=20846&amp;langId=en&amp;utm_source=chatgpt.com</w:t>
        </w:r>
      </w:hyperlink>
    </w:p>
    <w:p w14:paraId="30F0FAFD" w14:textId="77777777" w:rsidR="00F67A3C" w:rsidRDefault="00F67A3C" w:rsidP="00722DB4">
      <w:hyperlink r:id="rId159">
        <w:r>
          <w:rPr>
            <w:rStyle w:val="Hyperlink"/>
          </w:rPr>
          <w:t>[43]</w:t>
        </w:r>
      </w:hyperlink>
      <w:r>
        <w:t xml:space="preserve"> Results of the basic income experiment: small employment ...</w:t>
      </w:r>
    </w:p>
    <w:p w14:paraId="27D99A3F" w14:textId="77777777" w:rsidR="00F67A3C" w:rsidRDefault="00F67A3C" w:rsidP="00722DB4">
      <w:hyperlink r:id="rId160">
        <w:r>
          <w:rPr>
            <w:rStyle w:val="Hyperlink"/>
          </w:rPr>
          <w:t>https://valtioneuvosto.fi/en/-/1271139/perustulokokeilun-tulokset-tyollisyysvaikutukset-vahaisia-toimeentulo-ja-psyykkinen-terveys-koettiin-paremmaksi?utm_source=chatgpt.com</w:t>
        </w:r>
      </w:hyperlink>
    </w:p>
    <w:p w14:paraId="61FF30A9" w14:textId="77777777" w:rsidR="00F67A3C" w:rsidRDefault="00F67A3C" w:rsidP="00722DB4">
      <w:hyperlink r:id="rId161">
        <w:r>
          <w:rPr>
            <w:rStyle w:val="Hyperlink"/>
          </w:rPr>
          <w:t>[45]</w:t>
        </w:r>
      </w:hyperlink>
      <w:r>
        <w:t xml:space="preserve"> Evidence from the Alaska Permanent Fund</w:t>
      </w:r>
    </w:p>
    <w:p w14:paraId="15FAB211" w14:textId="77777777" w:rsidR="00F67A3C" w:rsidRDefault="00F67A3C" w:rsidP="00722DB4">
      <w:hyperlink r:id="rId162">
        <w:r>
          <w:rPr>
            <w:rStyle w:val="Hyperlink"/>
          </w:rPr>
          <w:t>https://www.nber.org/system/files/working_papers/w24312/revisions/w24312.rev0.pdf?utm_source=chatgpt.com</w:t>
        </w:r>
      </w:hyperlink>
    </w:p>
    <w:p w14:paraId="4D8DF484" w14:textId="77777777" w:rsidR="00F67A3C" w:rsidRDefault="00F67A3C" w:rsidP="00722DB4">
      <w:hyperlink r:id="rId163">
        <w:r>
          <w:rPr>
            <w:rStyle w:val="Hyperlink"/>
          </w:rPr>
          <w:t>[47]</w:t>
        </w:r>
      </w:hyperlink>
      <w:r>
        <w:t xml:space="preserve"> Resource rents, universal basic income, and poverty ...</w:t>
      </w:r>
    </w:p>
    <w:p w14:paraId="59EA4A96" w14:textId="77777777" w:rsidR="00F67A3C" w:rsidRDefault="00F67A3C" w:rsidP="00722DB4">
      <w:hyperlink r:id="rId164">
        <w:r>
          <w:rPr>
            <w:rStyle w:val="Hyperlink"/>
          </w:rPr>
          <w:t>https://www.sciencedirect.com/science/article/pii/S0305750X1830024X?utm_source=chatgpt.com</w:t>
        </w:r>
      </w:hyperlink>
    </w:p>
    <w:p w14:paraId="0C3C4625" w14:textId="77777777" w:rsidR="00F67A3C" w:rsidRDefault="00F67A3C" w:rsidP="00722DB4">
      <w:hyperlink r:id="rId165">
        <w:r>
          <w:rPr>
            <w:rStyle w:val="Hyperlink"/>
          </w:rPr>
          <w:t>[52]</w:t>
        </w:r>
      </w:hyperlink>
      <w:r>
        <w:t xml:space="preserve"> Ten years of open public data: open data begins a new ...</w:t>
      </w:r>
    </w:p>
    <w:p w14:paraId="7F5BB142" w14:textId="77777777" w:rsidR="00F67A3C" w:rsidRDefault="00F67A3C" w:rsidP="00722DB4">
      <w:hyperlink r:id="rId166">
        <w:r>
          <w:rPr>
            <w:rStyle w:val="Hyperlink"/>
          </w:rPr>
          <w:t>https://labo.societenumerique.gouv.fr/en/articles/ten-year-open-public-data-lopen-data-starts-a-new-step/?utm_source=chatgpt.com</w:t>
        </w:r>
      </w:hyperlink>
    </w:p>
    <w:p w14:paraId="7BAC3D8A" w14:textId="77777777" w:rsidR="00F67A3C" w:rsidRDefault="00F67A3C" w:rsidP="00722DB4">
      <w:hyperlink r:id="rId167">
        <w:r>
          <w:rPr>
            <w:rStyle w:val="Hyperlink"/>
          </w:rPr>
          <w:t>[54]</w:t>
        </w:r>
      </w:hyperlink>
      <w:r>
        <w:t xml:space="preserve"> Nowcasting New Zealand GDP using machine learning ...</w:t>
      </w:r>
    </w:p>
    <w:p w14:paraId="19C1CE0C" w14:textId="77777777" w:rsidR="00F67A3C" w:rsidRDefault="00F67A3C" w:rsidP="00722DB4">
      <w:hyperlink r:id="rId168">
        <w:r>
          <w:rPr>
            <w:rStyle w:val="Hyperlink"/>
          </w:rPr>
          <w:t>https://www.bis.org/ifc/publ/ifcb50_15.pdf?utm_source=chatgpt.com</w:t>
        </w:r>
      </w:hyperlink>
    </w:p>
    <w:p w14:paraId="3B0A6007" w14:textId="77777777" w:rsidR="00F67A3C" w:rsidRDefault="00F67A3C" w:rsidP="00722DB4">
      <w:hyperlink r:id="rId169">
        <w:r>
          <w:rPr>
            <w:rStyle w:val="Hyperlink"/>
          </w:rPr>
          <w:t>[56]</w:t>
        </w:r>
      </w:hyperlink>
      <w:r>
        <w:t xml:space="preserve"> Nowcasting GDP - A Scalable Approach Using DFM ...</w:t>
      </w:r>
    </w:p>
    <w:p w14:paraId="1812B2D4" w14:textId="77777777" w:rsidR="00F67A3C" w:rsidRDefault="00F67A3C" w:rsidP="00722DB4">
      <w:hyperlink r:id="rId170">
        <w:r>
          <w:rPr>
            <w:rStyle w:val="Hyperlink"/>
          </w:rPr>
          <w:t>https://www.elibrary.imf.org/view/journals/001/2022/052/article-A001-en.xml?utm_source=chatgpt.com</w:t>
        </w:r>
      </w:hyperlink>
    </w:p>
    <w:p w14:paraId="20633108" w14:textId="77777777" w:rsidR="00F67A3C" w:rsidRDefault="00F67A3C" w:rsidP="00722DB4">
      <w:hyperlink r:id="rId171">
        <w:r>
          <w:rPr>
            <w:rStyle w:val="Hyperlink"/>
          </w:rPr>
          <w:t>[58]</w:t>
        </w:r>
      </w:hyperlink>
      <w:r>
        <w:t xml:space="preserve"> ECB economists improve GDP forecasting with ChatGPT</w:t>
      </w:r>
    </w:p>
    <w:p w14:paraId="5A2E72D9" w14:textId="78B4CB55" w:rsidR="00F67A3C" w:rsidRDefault="00F67A3C" w:rsidP="00722DB4">
      <w:hyperlink r:id="rId172">
        <w:r>
          <w:rPr>
            <w:rStyle w:val="Hyperlink"/>
          </w:rPr>
          <w:t>https://www.reuters.com/world/europe/ecb-economists-improve-gdp-forecasting-with-chatgpt-2025-06-26/?utm_source=chatgpt.com</w:t>
        </w:r>
      </w:hyperlink>
      <w:bookmarkEnd w:id="9"/>
    </w:p>
    <w:p w14:paraId="78C8D4B4" w14:textId="77777777" w:rsidR="00722DB4" w:rsidRDefault="00722DB4" w:rsidP="00722DB4"/>
    <w:sectPr w:rsidR="00722DB4" w:rsidSect="00034616">
      <w:footerReference w:type="even" r:id="rId173"/>
      <w:footerReference w:type="default" r:id="rId17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7B0D35" w14:textId="77777777" w:rsidR="00747EFC" w:rsidRDefault="00747EFC" w:rsidP="00CB6EED">
      <w:pPr>
        <w:spacing w:after="0" w:line="240" w:lineRule="auto"/>
      </w:pPr>
      <w:r>
        <w:separator/>
      </w:r>
    </w:p>
  </w:endnote>
  <w:endnote w:type="continuationSeparator" w:id="0">
    <w:p w14:paraId="7A6E6AFE" w14:textId="77777777" w:rsidR="00747EFC" w:rsidRDefault="00747EFC"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F4678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6837305"/>
      <w:docPartObj>
        <w:docPartGallery w:val="Page Numbers (Bottom of Page)"/>
        <w:docPartUnique/>
      </w:docPartObj>
    </w:sdtPr>
    <w:sdtContent>
      <w:p w14:paraId="352922CD" w14:textId="6E466447" w:rsidR="00F46789" w:rsidRDefault="00F4678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09A385" w14:textId="2FC35719" w:rsidR="00CB6EED" w:rsidRDefault="001426F0" w:rsidP="00F46789">
    <w:pPr>
      <w:pStyle w:val="Footer"/>
      <w:ind w:right="360"/>
    </w:pPr>
    <w:r>
      <w:t xml:space="preserve">The </w:t>
    </w:r>
    <w:r w:rsidR="00F46789">
      <w:t xml:space="preserve">New Loop © 2026 Roger E. Ison. All rights reserved. </w:t>
    </w:r>
    <w:r w:rsidR="00F46789">
      <w:ptab w:relativeTo="margin" w:alignment="right" w:leader="none"/>
    </w:r>
    <w:r w:rsidR="003657A2">
      <w:t xml:space="preserve">DRAFT </w:t>
    </w:r>
    <w:r w:rsidR="006A2753">
      <w:t>2026-03-</w:t>
    </w:r>
    <w:r w:rsidR="00504464">
      <w:t>0</w:t>
    </w:r>
    <w:r w:rsidR="006D7154">
      <w:t>3</w:t>
    </w:r>
    <w:r w:rsidR="00504464">
      <w:t>.</w:t>
    </w:r>
    <w:r w:rsidR="00E14F09">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EDFD5" w14:textId="77777777" w:rsidR="00747EFC" w:rsidRDefault="00747EFC" w:rsidP="00CB6EED">
      <w:pPr>
        <w:spacing w:after="0" w:line="240" w:lineRule="auto"/>
      </w:pPr>
      <w:r>
        <w:separator/>
      </w:r>
    </w:p>
  </w:footnote>
  <w:footnote w:type="continuationSeparator" w:id="0">
    <w:p w14:paraId="53AF9895" w14:textId="77777777" w:rsidR="00747EFC" w:rsidRDefault="00747EFC" w:rsidP="00CB6EED">
      <w:pPr>
        <w:spacing w:after="0" w:line="240" w:lineRule="auto"/>
      </w:pPr>
      <w:r>
        <w:continuationSeparator/>
      </w:r>
    </w:p>
  </w:footnote>
  <w:footnote w:id="1">
    <w:p w14:paraId="67069334" w14:textId="72F42574" w:rsidR="00B632F5" w:rsidRDefault="00B632F5">
      <w:pPr>
        <w:pStyle w:val="FootnoteText"/>
      </w:pPr>
      <w:r>
        <w:rPr>
          <w:rStyle w:val="FootnoteReference"/>
        </w:rPr>
        <w:footnoteRef/>
      </w:r>
      <w:r>
        <w:t xml:space="preserve"> </w:t>
      </w:r>
      <w:r>
        <w:t>The parameters associated with the policies introduced in this paper are explained in a separate document.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30"/>
    <w:rsid w:val="0001341D"/>
    <w:rsid w:val="000339E9"/>
    <w:rsid w:val="00034616"/>
    <w:rsid w:val="00051FDB"/>
    <w:rsid w:val="000534A7"/>
    <w:rsid w:val="000577A2"/>
    <w:rsid w:val="00057C3C"/>
    <w:rsid w:val="0006063C"/>
    <w:rsid w:val="000612F3"/>
    <w:rsid w:val="00066EA7"/>
    <w:rsid w:val="00067F3A"/>
    <w:rsid w:val="00070783"/>
    <w:rsid w:val="00072CC4"/>
    <w:rsid w:val="00074317"/>
    <w:rsid w:val="00076DAE"/>
    <w:rsid w:val="00080733"/>
    <w:rsid w:val="000838F7"/>
    <w:rsid w:val="00094F2E"/>
    <w:rsid w:val="000A0349"/>
    <w:rsid w:val="000A0DE2"/>
    <w:rsid w:val="000B22BB"/>
    <w:rsid w:val="000B3D5E"/>
    <w:rsid w:val="000B7C76"/>
    <w:rsid w:val="000C4C67"/>
    <w:rsid w:val="000C6E99"/>
    <w:rsid w:val="000E461A"/>
    <w:rsid w:val="000F1932"/>
    <w:rsid w:val="0010559D"/>
    <w:rsid w:val="00105AE0"/>
    <w:rsid w:val="00111A77"/>
    <w:rsid w:val="001125F4"/>
    <w:rsid w:val="00116982"/>
    <w:rsid w:val="00116EA9"/>
    <w:rsid w:val="0012325B"/>
    <w:rsid w:val="00124636"/>
    <w:rsid w:val="001426F0"/>
    <w:rsid w:val="0015074B"/>
    <w:rsid w:val="001577DA"/>
    <w:rsid w:val="001649BB"/>
    <w:rsid w:val="00185133"/>
    <w:rsid w:val="00197B51"/>
    <w:rsid w:val="001A7BB1"/>
    <w:rsid w:val="001B27B9"/>
    <w:rsid w:val="001D30B0"/>
    <w:rsid w:val="001D7596"/>
    <w:rsid w:val="001E1DB9"/>
    <w:rsid w:val="001F0C90"/>
    <w:rsid w:val="001F5432"/>
    <w:rsid w:val="00205C6A"/>
    <w:rsid w:val="00215A8B"/>
    <w:rsid w:val="002213DF"/>
    <w:rsid w:val="00222642"/>
    <w:rsid w:val="00223D72"/>
    <w:rsid w:val="00230211"/>
    <w:rsid w:val="00230D39"/>
    <w:rsid w:val="00231399"/>
    <w:rsid w:val="002351D0"/>
    <w:rsid w:val="00236090"/>
    <w:rsid w:val="0023741F"/>
    <w:rsid w:val="00241DB8"/>
    <w:rsid w:val="002459A8"/>
    <w:rsid w:val="00273BF2"/>
    <w:rsid w:val="00291C33"/>
    <w:rsid w:val="0029639D"/>
    <w:rsid w:val="002968EC"/>
    <w:rsid w:val="002A06EC"/>
    <w:rsid w:val="002A0C0A"/>
    <w:rsid w:val="002A0EC1"/>
    <w:rsid w:val="002A6CDE"/>
    <w:rsid w:val="002B13D5"/>
    <w:rsid w:val="002B165D"/>
    <w:rsid w:val="002C341A"/>
    <w:rsid w:val="002D6D89"/>
    <w:rsid w:val="002F6A81"/>
    <w:rsid w:val="002F734D"/>
    <w:rsid w:val="00311363"/>
    <w:rsid w:val="00313B47"/>
    <w:rsid w:val="003142F7"/>
    <w:rsid w:val="00321221"/>
    <w:rsid w:val="00321E27"/>
    <w:rsid w:val="0032494E"/>
    <w:rsid w:val="00326F90"/>
    <w:rsid w:val="0034549C"/>
    <w:rsid w:val="0034731E"/>
    <w:rsid w:val="00350E12"/>
    <w:rsid w:val="0035143B"/>
    <w:rsid w:val="00362EBB"/>
    <w:rsid w:val="003657A2"/>
    <w:rsid w:val="0036671E"/>
    <w:rsid w:val="00373D2F"/>
    <w:rsid w:val="00375A71"/>
    <w:rsid w:val="003B071F"/>
    <w:rsid w:val="003C66A1"/>
    <w:rsid w:val="003D00C8"/>
    <w:rsid w:val="003F1F6D"/>
    <w:rsid w:val="003F3C97"/>
    <w:rsid w:val="003F643A"/>
    <w:rsid w:val="003F7B47"/>
    <w:rsid w:val="00405385"/>
    <w:rsid w:val="0043324E"/>
    <w:rsid w:val="00445458"/>
    <w:rsid w:val="0045166E"/>
    <w:rsid w:val="0045411C"/>
    <w:rsid w:val="0045504B"/>
    <w:rsid w:val="00460AEE"/>
    <w:rsid w:val="004646F8"/>
    <w:rsid w:val="00464CE9"/>
    <w:rsid w:val="00484AD3"/>
    <w:rsid w:val="0049632F"/>
    <w:rsid w:val="004A4F03"/>
    <w:rsid w:val="004C0B5A"/>
    <w:rsid w:val="004C3114"/>
    <w:rsid w:val="004C4179"/>
    <w:rsid w:val="004C70FE"/>
    <w:rsid w:val="004D07A3"/>
    <w:rsid w:val="004E73A2"/>
    <w:rsid w:val="004E7E21"/>
    <w:rsid w:val="004F00B4"/>
    <w:rsid w:val="004F68CD"/>
    <w:rsid w:val="00504464"/>
    <w:rsid w:val="00510C42"/>
    <w:rsid w:val="0051356D"/>
    <w:rsid w:val="0051484F"/>
    <w:rsid w:val="005231F5"/>
    <w:rsid w:val="00532E0C"/>
    <w:rsid w:val="00576D52"/>
    <w:rsid w:val="005859D9"/>
    <w:rsid w:val="00585D9D"/>
    <w:rsid w:val="005A55D4"/>
    <w:rsid w:val="005C0424"/>
    <w:rsid w:val="005C6B2E"/>
    <w:rsid w:val="005D583D"/>
    <w:rsid w:val="005F5B37"/>
    <w:rsid w:val="00605828"/>
    <w:rsid w:val="00613308"/>
    <w:rsid w:val="00617C56"/>
    <w:rsid w:val="00623181"/>
    <w:rsid w:val="0062444A"/>
    <w:rsid w:val="00626659"/>
    <w:rsid w:val="006342CA"/>
    <w:rsid w:val="00641625"/>
    <w:rsid w:val="0065038D"/>
    <w:rsid w:val="00653B0E"/>
    <w:rsid w:val="00653BDC"/>
    <w:rsid w:val="00662029"/>
    <w:rsid w:val="006633DA"/>
    <w:rsid w:val="00665140"/>
    <w:rsid w:val="00666994"/>
    <w:rsid w:val="00667BFA"/>
    <w:rsid w:val="0069424D"/>
    <w:rsid w:val="0069457D"/>
    <w:rsid w:val="00694DED"/>
    <w:rsid w:val="006A033B"/>
    <w:rsid w:val="006A0CC3"/>
    <w:rsid w:val="006A2753"/>
    <w:rsid w:val="006B0EF9"/>
    <w:rsid w:val="006B6A9D"/>
    <w:rsid w:val="006C11B8"/>
    <w:rsid w:val="006C33EF"/>
    <w:rsid w:val="006C4A20"/>
    <w:rsid w:val="006D7154"/>
    <w:rsid w:val="006F3678"/>
    <w:rsid w:val="006F6A69"/>
    <w:rsid w:val="006F7E4C"/>
    <w:rsid w:val="007059F6"/>
    <w:rsid w:val="007069DF"/>
    <w:rsid w:val="00722DB4"/>
    <w:rsid w:val="0072348D"/>
    <w:rsid w:val="00723E01"/>
    <w:rsid w:val="00743F5E"/>
    <w:rsid w:val="00747EFC"/>
    <w:rsid w:val="00757726"/>
    <w:rsid w:val="0076041F"/>
    <w:rsid w:val="00762CF3"/>
    <w:rsid w:val="0076613D"/>
    <w:rsid w:val="00776B32"/>
    <w:rsid w:val="0078081B"/>
    <w:rsid w:val="00783217"/>
    <w:rsid w:val="00786F93"/>
    <w:rsid w:val="00794E9E"/>
    <w:rsid w:val="007A09CE"/>
    <w:rsid w:val="007A30A2"/>
    <w:rsid w:val="007A489B"/>
    <w:rsid w:val="007B5811"/>
    <w:rsid w:val="007B6F01"/>
    <w:rsid w:val="007C50CC"/>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7090"/>
    <w:rsid w:val="00837EB0"/>
    <w:rsid w:val="00857557"/>
    <w:rsid w:val="00876B15"/>
    <w:rsid w:val="0088234A"/>
    <w:rsid w:val="00885BB5"/>
    <w:rsid w:val="00885C5D"/>
    <w:rsid w:val="008907B9"/>
    <w:rsid w:val="008A4ABE"/>
    <w:rsid w:val="008A636A"/>
    <w:rsid w:val="008A6C32"/>
    <w:rsid w:val="008B2DB7"/>
    <w:rsid w:val="008C0005"/>
    <w:rsid w:val="008C2979"/>
    <w:rsid w:val="008C3C48"/>
    <w:rsid w:val="008C5DA5"/>
    <w:rsid w:val="008D0561"/>
    <w:rsid w:val="008E41E1"/>
    <w:rsid w:val="008F3D38"/>
    <w:rsid w:val="008F4726"/>
    <w:rsid w:val="008F710A"/>
    <w:rsid w:val="009062C6"/>
    <w:rsid w:val="009072AB"/>
    <w:rsid w:val="00913F68"/>
    <w:rsid w:val="00930DD9"/>
    <w:rsid w:val="00935795"/>
    <w:rsid w:val="0094544F"/>
    <w:rsid w:val="0095069C"/>
    <w:rsid w:val="0095149D"/>
    <w:rsid w:val="00957796"/>
    <w:rsid w:val="009674AA"/>
    <w:rsid w:val="009812EA"/>
    <w:rsid w:val="00982314"/>
    <w:rsid w:val="00995A26"/>
    <w:rsid w:val="00996F3F"/>
    <w:rsid w:val="009C3E0A"/>
    <w:rsid w:val="009D4B74"/>
    <w:rsid w:val="009E0504"/>
    <w:rsid w:val="009E253D"/>
    <w:rsid w:val="009E2B71"/>
    <w:rsid w:val="009F313F"/>
    <w:rsid w:val="009F780A"/>
    <w:rsid w:val="00A17A7A"/>
    <w:rsid w:val="00A3036C"/>
    <w:rsid w:val="00A35B7D"/>
    <w:rsid w:val="00A37DE3"/>
    <w:rsid w:val="00A4394F"/>
    <w:rsid w:val="00A51102"/>
    <w:rsid w:val="00A55D68"/>
    <w:rsid w:val="00A60827"/>
    <w:rsid w:val="00A702DD"/>
    <w:rsid w:val="00A87F8A"/>
    <w:rsid w:val="00A91307"/>
    <w:rsid w:val="00A94FCD"/>
    <w:rsid w:val="00AA1D8D"/>
    <w:rsid w:val="00AA715B"/>
    <w:rsid w:val="00AB6AA6"/>
    <w:rsid w:val="00AC7DE6"/>
    <w:rsid w:val="00AD31D2"/>
    <w:rsid w:val="00AE00F3"/>
    <w:rsid w:val="00B007C8"/>
    <w:rsid w:val="00B020A2"/>
    <w:rsid w:val="00B07F31"/>
    <w:rsid w:val="00B117DF"/>
    <w:rsid w:val="00B14F9D"/>
    <w:rsid w:val="00B17848"/>
    <w:rsid w:val="00B20507"/>
    <w:rsid w:val="00B21BF2"/>
    <w:rsid w:val="00B24A74"/>
    <w:rsid w:val="00B43B9A"/>
    <w:rsid w:val="00B47730"/>
    <w:rsid w:val="00B6054B"/>
    <w:rsid w:val="00B60E26"/>
    <w:rsid w:val="00B632F5"/>
    <w:rsid w:val="00B6360A"/>
    <w:rsid w:val="00B72891"/>
    <w:rsid w:val="00B80D24"/>
    <w:rsid w:val="00B8648F"/>
    <w:rsid w:val="00B970EE"/>
    <w:rsid w:val="00BB5A45"/>
    <w:rsid w:val="00BC1E7E"/>
    <w:rsid w:val="00BC2141"/>
    <w:rsid w:val="00BC6184"/>
    <w:rsid w:val="00BD393F"/>
    <w:rsid w:val="00BD4D8F"/>
    <w:rsid w:val="00BD51FE"/>
    <w:rsid w:val="00BD61CB"/>
    <w:rsid w:val="00BF1EFE"/>
    <w:rsid w:val="00C01673"/>
    <w:rsid w:val="00C05B36"/>
    <w:rsid w:val="00C104A9"/>
    <w:rsid w:val="00C1608D"/>
    <w:rsid w:val="00C1732E"/>
    <w:rsid w:val="00C32924"/>
    <w:rsid w:val="00C35789"/>
    <w:rsid w:val="00C42B38"/>
    <w:rsid w:val="00C461E5"/>
    <w:rsid w:val="00C51DFC"/>
    <w:rsid w:val="00C522A1"/>
    <w:rsid w:val="00C54B04"/>
    <w:rsid w:val="00C61245"/>
    <w:rsid w:val="00C6212D"/>
    <w:rsid w:val="00C623D4"/>
    <w:rsid w:val="00C669FF"/>
    <w:rsid w:val="00C757A1"/>
    <w:rsid w:val="00C918D6"/>
    <w:rsid w:val="00C93A16"/>
    <w:rsid w:val="00C93BFA"/>
    <w:rsid w:val="00CB0664"/>
    <w:rsid w:val="00CB6EED"/>
    <w:rsid w:val="00CE54B8"/>
    <w:rsid w:val="00CE5667"/>
    <w:rsid w:val="00CE644A"/>
    <w:rsid w:val="00CF270D"/>
    <w:rsid w:val="00D0055E"/>
    <w:rsid w:val="00D10F11"/>
    <w:rsid w:val="00D139F9"/>
    <w:rsid w:val="00D32E54"/>
    <w:rsid w:val="00D51669"/>
    <w:rsid w:val="00D571B1"/>
    <w:rsid w:val="00D66BED"/>
    <w:rsid w:val="00D67DF4"/>
    <w:rsid w:val="00D70260"/>
    <w:rsid w:val="00D934AE"/>
    <w:rsid w:val="00DA0FC2"/>
    <w:rsid w:val="00DA5F33"/>
    <w:rsid w:val="00DB207E"/>
    <w:rsid w:val="00DC2F57"/>
    <w:rsid w:val="00DD38F6"/>
    <w:rsid w:val="00DF0E82"/>
    <w:rsid w:val="00E0323C"/>
    <w:rsid w:val="00E14F09"/>
    <w:rsid w:val="00E40911"/>
    <w:rsid w:val="00E421EE"/>
    <w:rsid w:val="00E53F23"/>
    <w:rsid w:val="00E547B7"/>
    <w:rsid w:val="00E61112"/>
    <w:rsid w:val="00E7127C"/>
    <w:rsid w:val="00E7608C"/>
    <w:rsid w:val="00E819E5"/>
    <w:rsid w:val="00EA10C9"/>
    <w:rsid w:val="00EA7C45"/>
    <w:rsid w:val="00EB3386"/>
    <w:rsid w:val="00EC2CEC"/>
    <w:rsid w:val="00EC690C"/>
    <w:rsid w:val="00EE6FDE"/>
    <w:rsid w:val="00EF0754"/>
    <w:rsid w:val="00EF135E"/>
    <w:rsid w:val="00F22CE0"/>
    <w:rsid w:val="00F30F86"/>
    <w:rsid w:val="00F40F37"/>
    <w:rsid w:val="00F4165A"/>
    <w:rsid w:val="00F46789"/>
    <w:rsid w:val="00F46C20"/>
    <w:rsid w:val="00F53E24"/>
    <w:rsid w:val="00F6229F"/>
    <w:rsid w:val="00F67A3C"/>
    <w:rsid w:val="00F7337A"/>
    <w:rsid w:val="00F9135A"/>
    <w:rsid w:val="00FA776B"/>
    <w:rsid w:val="00FA79C6"/>
    <w:rsid w:val="00FB633B"/>
    <w:rsid w:val="00FC3918"/>
    <w:rsid w:val="00FC693F"/>
    <w:rsid w:val="00FD3665"/>
    <w:rsid w:val="00FE2516"/>
    <w:rsid w:val="00FF66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7A2"/>
    <w:rPr>
      <w:sz w:val="20"/>
      <w:szCs w:val="20"/>
    </w:rPr>
  </w:style>
  <w:style w:type="paragraph" w:styleId="Heading1">
    <w:name w:val="heading 1"/>
    <w:basedOn w:val="Normal"/>
    <w:next w:val="Normal"/>
    <w:link w:val="Heading1Char"/>
    <w:uiPriority w:val="9"/>
    <w:qFormat/>
    <w:rsid w:val="003657A2"/>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3657A2"/>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3657A2"/>
    <w:pPr>
      <w:pBdr>
        <w:top w:val="single" w:sz="6" w:space="2" w:color="4F81BD" w:themeColor="accent1"/>
        <w:left w:val="single" w:sz="6" w:space="2" w:color="4F81BD" w:themeColor="accent1"/>
      </w:pBdr>
      <w:spacing w:before="300" w:after="0"/>
      <w:outlineLvl w:val="2"/>
    </w:pPr>
    <w:rPr>
      <w:caps/>
      <w:color w:val="243F60" w:themeColor="accent1" w:themeShade="7F"/>
      <w:spacing w:val="15"/>
      <w:sz w:val="22"/>
      <w:szCs w:val="22"/>
    </w:rPr>
  </w:style>
  <w:style w:type="paragraph" w:styleId="Heading4">
    <w:name w:val="heading 4"/>
    <w:basedOn w:val="Normal"/>
    <w:next w:val="Normal"/>
    <w:link w:val="Heading4Char"/>
    <w:uiPriority w:val="9"/>
    <w:unhideWhenUsed/>
    <w:qFormat/>
    <w:rsid w:val="003657A2"/>
    <w:pPr>
      <w:pBdr>
        <w:top w:val="dotted" w:sz="6" w:space="2" w:color="4F81BD" w:themeColor="accent1"/>
        <w:left w:val="dotted" w:sz="6" w:space="2" w:color="4F81BD" w:themeColor="accent1"/>
      </w:pBdr>
      <w:spacing w:before="300" w:after="0"/>
      <w:outlineLvl w:val="3"/>
    </w:pPr>
    <w:rPr>
      <w:caps/>
      <w:color w:val="365F91" w:themeColor="accent1" w:themeShade="BF"/>
      <w:spacing w:val="10"/>
      <w:sz w:val="22"/>
      <w:szCs w:val="22"/>
    </w:rPr>
  </w:style>
  <w:style w:type="paragraph" w:styleId="Heading5">
    <w:name w:val="heading 5"/>
    <w:basedOn w:val="Normal"/>
    <w:next w:val="Normal"/>
    <w:link w:val="Heading5Char"/>
    <w:uiPriority w:val="9"/>
    <w:semiHidden/>
    <w:unhideWhenUsed/>
    <w:qFormat/>
    <w:rsid w:val="003657A2"/>
    <w:pPr>
      <w:pBdr>
        <w:bottom w:val="single" w:sz="6" w:space="1" w:color="4F81BD" w:themeColor="accent1"/>
      </w:pBdr>
      <w:spacing w:before="300" w:after="0"/>
      <w:outlineLvl w:val="4"/>
    </w:pPr>
    <w:rPr>
      <w:caps/>
      <w:color w:val="365F91" w:themeColor="accent1" w:themeShade="BF"/>
      <w:spacing w:val="10"/>
      <w:sz w:val="22"/>
      <w:szCs w:val="22"/>
    </w:rPr>
  </w:style>
  <w:style w:type="paragraph" w:styleId="Heading6">
    <w:name w:val="heading 6"/>
    <w:basedOn w:val="Normal"/>
    <w:next w:val="Normal"/>
    <w:link w:val="Heading6Char"/>
    <w:uiPriority w:val="9"/>
    <w:semiHidden/>
    <w:unhideWhenUsed/>
    <w:qFormat/>
    <w:rsid w:val="003657A2"/>
    <w:pPr>
      <w:pBdr>
        <w:bottom w:val="dotted" w:sz="6" w:space="1" w:color="4F81BD" w:themeColor="accent1"/>
      </w:pBdr>
      <w:spacing w:before="300" w:after="0"/>
      <w:outlineLvl w:val="5"/>
    </w:pPr>
    <w:rPr>
      <w:caps/>
      <w:color w:val="365F91" w:themeColor="accent1" w:themeShade="BF"/>
      <w:spacing w:val="10"/>
      <w:sz w:val="22"/>
      <w:szCs w:val="22"/>
    </w:rPr>
  </w:style>
  <w:style w:type="paragraph" w:styleId="Heading7">
    <w:name w:val="heading 7"/>
    <w:basedOn w:val="Normal"/>
    <w:next w:val="Normal"/>
    <w:link w:val="Heading7Char"/>
    <w:uiPriority w:val="9"/>
    <w:semiHidden/>
    <w:unhideWhenUsed/>
    <w:qFormat/>
    <w:rsid w:val="003657A2"/>
    <w:pPr>
      <w:spacing w:before="300" w:after="0"/>
      <w:outlineLvl w:val="6"/>
    </w:pPr>
    <w:rPr>
      <w:caps/>
      <w:color w:val="365F91" w:themeColor="accent1" w:themeShade="BF"/>
      <w:spacing w:val="10"/>
      <w:sz w:val="22"/>
      <w:szCs w:val="22"/>
    </w:rPr>
  </w:style>
  <w:style w:type="paragraph" w:styleId="Heading8">
    <w:name w:val="heading 8"/>
    <w:basedOn w:val="Normal"/>
    <w:next w:val="Normal"/>
    <w:link w:val="Heading8Char"/>
    <w:uiPriority w:val="9"/>
    <w:semiHidden/>
    <w:unhideWhenUsed/>
    <w:qFormat/>
    <w:rsid w:val="003657A2"/>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657A2"/>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3657A2"/>
    <w:pPr>
      <w:spacing w:before="0" w:after="0" w:line="240" w:lineRule="auto"/>
    </w:pPr>
  </w:style>
  <w:style w:type="character" w:customStyle="1" w:styleId="Heading1Char">
    <w:name w:val="Heading 1 Char"/>
    <w:basedOn w:val="DefaultParagraphFont"/>
    <w:link w:val="Heading1"/>
    <w:uiPriority w:val="9"/>
    <w:rsid w:val="003657A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3657A2"/>
    <w:rPr>
      <w:caps/>
      <w:spacing w:val="15"/>
      <w:shd w:val="clear" w:color="auto" w:fill="DBE5F1" w:themeFill="accent1" w:themeFillTint="33"/>
    </w:rPr>
  </w:style>
  <w:style w:type="character" w:customStyle="1" w:styleId="Heading3Char">
    <w:name w:val="Heading 3 Char"/>
    <w:basedOn w:val="DefaultParagraphFont"/>
    <w:link w:val="Heading3"/>
    <w:uiPriority w:val="9"/>
    <w:rsid w:val="003657A2"/>
    <w:rPr>
      <w:caps/>
      <w:color w:val="243F60" w:themeColor="accent1" w:themeShade="7F"/>
      <w:spacing w:val="15"/>
    </w:rPr>
  </w:style>
  <w:style w:type="paragraph" w:styleId="Title">
    <w:name w:val="Title"/>
    <w:basedOn w:val="Normal"/>
    <w:next w:val="Normal"/>
    <w:link w:val="TitleChar"/>
    <w:uiPriority w:val="10"/>
    <w:qFormat/>
    <w:rsid w:val="003657A2"/>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3657A2"/>
    <w:rPr>
      <w:caps/>
      <w:color w:val="4F81BD" w:themeColor="accent1"/>
      <w:spacing w:val="10"/>
      <w:kern w:val="28"/>
      <w:sz w:val="52"/>
      <w:szCs w:val="52"/>
    </w:rPr>
  </w:style>
  <w:style w:type="paragraph" w:styleId="Subtitle">
    <w:name w:val="Subtitle"/>
    <w:basedOn w:val="Normal"/>
    <w:next w:val="Normal"/>
    <w:link w:val="SubtitleChar"/>
    <w:uiPriority w:val="11"/>
    <w:qFormat/>
    <w:rsid w:val="003657A2"/>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657A2"/>
    <w:rPr>
      <w:caps/>
      <w:color w:val="595959" w:themeColor="text1" w:themeTint="A6"/>
      <w:spacing w:val="10"/>
      <w:sz w:val="24"/>
      <w:szCs w:val="24"/>
    </w:rPr>
  </w:style>
  <w:style w:type="paragraph" w:styleId="ListParagraph">
    <w:name w:val="List Paragraph"/>
    <w:basedOn w:val="Normal"/>
    <w:uiPriority w:val="34"/>
    <w:qFormat/>
    <w:rsid w:val="003657A2"/>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657A2"/>
    <w:rPr>
      <w:i/>
      <w:iCs/>
    </w:rPr>
  </w:style>
  <w:style w:type="character" w:customStyle="1" w:styleId="QuoteChar">
    <w:name w:val="Quote Char"/>
    <w:basedOn w:val="DefaultParagraphFont"/>
    <w:link w:val="Quote"/>
    <w:uiPriority w:val="29"/>
    <w:rsid w:val="003657A2"/>
    <w:rPr>
      <w:i/>
      <w:iCs/>
      <w:sz w:val="20"/>
      <w:szCs w:val="20"/>
    </w:rPr>
  </w:style>
  <w:style w:type="character" w:customStyle="1" w:styleId="Heading4Char">
    <w:name w:val="Heading 4 Char"/>
    <w:basedOn w:val="DefaultParagraphFont"/>
    <w:link w:val="Heading4"/>
    <w:uiPriority w:val="9"/>
    <w:rsid w:val="003657A2"/>
    <w:rPr>
      <w:caps/>
      <w:color w:val="365F91" w:themeColor="accent1" w:themeShade="BF"/>
      <w:spacing w:val="10"/>
    </w:rPr>
  </w:style>
  <w:style w:type="character" w:customStyle="1" w:styleId="Heading5Char">
    <w:name w:val="Heading 5 Char"/>
    <w:basedOn w:val="DefaultParagraphFont"/>
    <w:link w:val="Heading5"/>
    <w:uiPriority w:val="9"/>
    <w:semiHidden/>
    <w:rsid w:val="003657A2"/>
    <w:rPr>
      <w:caps/>
      <w:color w:val="365F91" w:themeColor="accent1" w:themeShade="BF"/>
      <w:spacing w:val="10"/>
    </w:rPr>
  </w:style>
  <w:style w:type="character" w:customStyle="1" w:styleId="Heading6Char">
    <w:name w:val="Heading 6 Char"/>
    <w:basedOn w:val="DefaultParagraphFont"/>
    <w:link w:val="Heading6"/>
    <w:uiPriority w:val="9"/>
    <w:semiHidden/>
    <w:rsid w:val="003657A2"/>
    <w:rPr>
      <w:caps/>
      <w:color w:val="365F91" w:themeColor="accent1" w:themeShade="BF"/>
      <w:spacing w:val="10"/>
    </w:rPr>
  </w:style>
  <w:style w:type="character" w:customStyle="1" w:styleId="Heading7Char">
    <w:name w:val="Heading 7 Char"/>
    <w:basedOn w:val="DefaultParagraphFont"/>
    <w:link w:val="Heading7"/>
    <w:uiPriority w:val="9"/>
    <w:semiHidden/>
    <w:rsid w:val="003657A2"/>
    <w:rPr>
      <w:caps/>
      <w:color w:val="365F91" w:themeColor="accent1" w:themeShade="BF"/>
      <w:spacing w:val="10"/>
    </w:rPr>
  </w:style>
  <w:style w:type="character" w:customStyle="1" w:styleId="Heading8Char">
    <w:name w:val="Heading 8 Char"/>
    <w:basedOn w:val="DefaultParagraphFont"/>
    <w:link w:val="Heading8"/>
    <w:uiPriority w:val="9"/>
    <w:semiHidden/>
    <w:rsid w:val="003657A2"/>
    <w:rPr>
      <w:caps/>
      <w:spacing w:val="10"/>
      <w:sz w:val="18"/>
      <w:szCs w:val="18"/>
    </w:rPr>
  </w:style>
  <w:style w:type="character" w:customStyle="1" w:styleId="Heading9Char">
    <w:name w:val="Heading 9 Char"/>
    <w:basedOn w:val="DefaultParagraphFont"/>
    <w:link w:val="Heading9"/>
    <w:uiPriority w:val="9"/>
    <w:semiHidden/>
    <w:rsid w:val="003657A2"/>
    <w:rPr>
      <w:i/>
      <w:caps/>
      <w:spacing w:val="10"/>
      <w:sz w:val="18"/>
      <w:szCs w:val="18"/>
    </w:rPr>
  </w:style>
  <w:style w:type="paragraph" w:styleId="Caption">
    <w:name w:val="caption"/>
    <w:basedOn w:val="Normal"/>
    <w:next w:val="Normal"/>
    <w:uiPriority w:val="35"/>
    <w:semiHidden/>
    <w:unhideWhenUsed/>
    <w:qFormat/>
    <w:rsid w:val="003657A2"/>
    <w:rPr>
      <w:b/>
      <w:bCs/>
      <w:color w:val="365F91" w:themeColor="accent1" w:themeShade="BF"/>
      <w:sz w:val="16"/>
      <w:szCs w:val="16"/>
    </w:rPr>
  </w:style>
  <w:style w:type="character" w:styleId="Strong">
    <w:name w:val="Strong"/>
    <w:uiPriority w:val="22"/>
    <w:qFormat/>
    <w:rsid w:val="003657A2"/>
    <w:rPr>
      <w:b/>
      <w:bCs/>
    </w:rPr>
  </w:style>
  <w:style w:type="character" w:styleId="Emphasis">
    <w:name w:val="Emphasis"/>
    <w:uiPriority w:val="20"/>
    <w:qFormat/>
    <w:rsid w:val="003657A2"/>
    <w:rPr>
      <w:caps/>
      <w:color w:val="243F60" w:themeColor="accent1" w:themeShade="7F"/>
      <w:spacing w:val="5"/>
    </w:rPr>
  </w:style>
  <w:style w:type="paragraph" w:styleId="IntenseQuote">
    <w:name w:val="Intense Quote"/>
    <w:basedOn w:val="Normal"/>
    <w:next w:val="Normal"/>
    <w:link w:val="IntenseQuoteChar"/>
    <w:uiPriority w:val="30"/>
    <w:qFormat/>
    <w:rsid w:val="003657A2"/>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3657A2"/>
    <w:rPr>
      <w:i/>
      <w:iCs/>
      <w:color w:val="4F81BD" w:themeColor="accent1"/>
      <w:sz w:val="20"/>
      <w:szCs w:val="20"/>
    </w:rPr>
  </w:style>
  <w:style w:type="character" w:styleId="SubtleEmphasis">
    <w:name w:val="Subtle Emphasis"/>
    <w:uiPriority w:val="19"/>
    <w:qFormat/>
    <w:rsid w:val="003657A2"/>
    <w:rPr>
      <w:i/>
      <w:iCs/>
      <w:color w:val="243F60" w:themeColor="accent1" w:themeShade="7F"/>
    </w:rPr>
  </w:style>
  <w:style w:type="character" w:styleId="IntenseEmphasis">
    <w:name w:val="Intense Emphasis"/>
    <w:uiPriority w:val="21"/>
    <w:qFormat/>
    <w:rsid w:val="003657A2"/>
    <w:rPr>
      <w:b/>
      <w:bCs/>
      <w:caps/>
      <w:color w:val="243F60" w:themeColor="accent1" w:themeShade="7F"/>
      <w:spacing w:val="10"/>
    </w:rPr>
  </w:style>
  <w:style w:type="character" w:styleId="SubtleReference">
    <w:name w:val="Subtle Reference"/>
    <w:uiPriority w:val="31"/>
    <w:qFormat/>
    <w:rsid w:val="003657A2"/>
    <w:rPr>
      <w:b/>
      <w:bCs/>
      <w:color w:val="4F81BD" w:themeColor="accent1"/>
    </w:rPr>
  </w:style>
  <w:style w:type="character" w:styleId="IntenseReference">
    <w:name w:val="Intense Reference"/>
    <w:uiPriority w:val="32"/>
    <w:qFormat/>
    <w:rsid w:val="003657A2"/>
    <w:rPr>
      <w:b/>
      <w:bCs/>
      <w:i/>
      <w:iCs/>
      <w:caps/>
      <w:color w:val="4F81BD" w:themeColor="accent1"/>
    </w:rPr>
  </w:style>
  <w:style w:type="character" w:styleId="BookTitle">
    <w:name w:val="Book Title"/>
    <w:uiPriority w:val="33"/>
    <w:qFormat/>
    <w:rsid w:val="003657A2"/>
    <w:rPr>
      <w:b/>
      <w:bCs/>
      <w:i/>
      <w:iCs/>
      <w:spacing w:val="9"/>
    </w:rPr>
  </w:style>
  <w:style w:type="paragraph" w:styleId="TOCHeading">
    <w:name w:val="TOC Heading"/>
    <w:basedOn w:val="Heading1"/>
    <w:next w:val="Normal"/>
    <w:uiPriority w:val="39"/>
    <w:semiHidden/>
    <w:unhideWhenUsed/>
    <w:qFormat/>
    <w:rsid w:val="003657A2"/>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3657A2"/>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oecd.org/content/dam/oecd/en/publications/reports/2025/10/enhancing-simplicity-to-foster-tax-certainty-and-growth_d42d5905/086f71ab-en.pdf?utm_source=chatgpt.com" TargetMode="External"/><Relationship Id="rId21" Type="http://schemas.openxmlformats.org/officeDocument/2006/relationships/hyperlink" Target="https://www.ilo.org/sites/default/files/wcmsp5/groups/public/%40dgreports/%40dcomm/%40publ/documents/publication/wcms_537846.pdf?utm_source=chatgpt.com" TargetMode="External"/><Relationship Id="rId42" Type="http://schemas.openxmlformats.org/officeDocument/2006/relationships/hyperlink" Target="https://www.oecd.org/content/dam/oecd/en/publications/reports/2013/11/taxation-of-dividend-interest-and-capital-gain-income_g17a239a/5k3wh96w246k-en.pdf?utm_source=chatgpt.com" TargetMode="External"/><Relationship Id="rId63" Type="http://schemas.openxmlformats.org/officeDocument/2006/relationships/hyperlink" Target="https://www.oecd.org/content/dam/oecd/en/publications/reports/2017/05/basic-income-as-a-policy-option_6d481cff/77d7fe00-en.pdf?utm_source=chatgpt.com" TargetMode="External"/><Relationship Id="rId84" Type="http://schemas.openxmlformats.org/officeDocument/2006/relationships/hyperlink" Target="https://shapingwork.mit.edu/wp-content/uploads/2023/10/acemoglu-restrepo-2019-automation-and-new-tasks-how-technology-displaces-and-reinstates-labor.pdf?utm_source=chatgpt.com" TargetMode="External"/><Relationship Id="rId138" Type="http://schemas.openxmlformats.org/officeDocument/2006/relationships/hyperlink" Target="https://www.eia.gov/todayinenergy/detail.php?id=21052&amp;utm_source=chatgpt.com" TargetMode="External"/><Relationship Id="rId159" Type="http://schemas.openxmlformats.org/officeDocument/2006/relationships/hyperlink" Target="https://valtioneuvosto.fi/en/-/1271139/perustulokokeilun-tulokset-tyollisyysvaikutukset-vahaisia-toimeentulo-ja-psyykkinen-terveys-koettiin-paremmaksi?utm_source=chatgpt.com" TargetMode="External"/><Relationship Id="rId170" Type="http://schemas.openxmlformats.org/officeDocument/2006/relationships/hyperlink" Target="https://www.elibrary.imf.org/view/journals/001/2022/052/article-A001-en.xml?utm_source=chatgpt.com" TargetMode="External"/><Relationship Id="rId107" Type="http://schemas.openxmlformats.org/officeDocument/2006/relationships/hyperlink" Target="https://www.fondsdereserve.fr/en/about/frr-missions/?utm_source=chatgpt.com" TargetMode="External"/><Relationship Id="rId11" Type="http://schemas.openxmlformats.org/officeDocument/2006/relationships/image" Target="media/image4.png"/><Relationship Id="rId32" Type="http://schemas.openxmlformats.org/officeDocument/2006/relationships/hyperlink" Target="https://www.adia.ae/en/purpose/responsible-long-term-investing/case-studies/santiago-principles?utm_source=chatgpt.com" TargetMode="External"/><Relationship Id="rId53" Type="http://schemas.openxmlformats.org/officeDocument/2006/relationships/hyperlink" Target="https://www.sciencedirect.com/science/article/abs/pii/S0929119921001620?utm_source=chatgpt.com" TargetMode="External"/><Relationship Id="rId74" Type="http://schemas.openxmlformats.org/officeDocument/2006/relationships/hyperlink" Target="https://www.reuters.com/world/europe/ecb-economists-improve-gdp-forecasting-with-chatgpt-2025-06-26/?utm_source=chatgpt.com" TargetMode="External"/><Relationship Id="rId128" Type="http://schemas.openxmlformats.org/officeDocument/2006/relationships/hyperlink" Target="https://pfd.alaska.gov/Division-Info/about-us?utm_source=chatgpt.com" TargetMode="External"/><Relationship Id="rId149" Type="http://schemas.openxmlformats.org/officeDocument/2006/relationships/hyperlink" Target="https://www.pbo.gov.au/about-budgets/budget-insights/budget-explainers/dividend-imputation-and-franking-credits?utm_source=chatgpt.com" TargetMode="External"/><Relationship Id="rId5" Type="http://schemas.openxmlformats.org/officeDocument/2006/relationships/webSettings" Target="webSettings.xml"/><Relationship Id="rId95" Type="http://schemas.openxmlformats.org/officeDocument/2006/relationships/hyperlink" Target="https://www.imf.org/en/blogs/articles/2017/04/12/drivers-of-declining-labor-share-of-income?utm_source=chatgpt.com" TargetMode="External"/><Relationship Id="rId160" Type="http://schemas.openxmlformats.org/officeDocument/2006/relationships/hyperlink" Target="https://valtioneuvosto.fi/en/-/1271139/perustulokokeilun-tulokset-tyollisyysvaikutukset-vahaisia-toimeentulo-ja-psyykkinen-terveys-koettiin-paremmaksi?utm_source=chatgpt.com" TargetMode="External"/><Relationship Id="rId22" Type="http://schemas.openxmlformats.org/officeDocument/2006/relationships/hyperlink" Target="https://www.imf.org/en/blogs/articles/2017/04/12/drivers-of-declining-labor-share-of-income?utm_source=chatgpt.com" TargetMode="External"/><Relationship Id="rId43" Type="http://schemas.openxmlformats.org/officeDocument/2006/relationships/hyperlink" Target="https://www.ato.gov.au/businesses-and-organisations/super-for-employers?utm_source=chatgpt.com" TargetMode="External"/><Relationship Id="rId64" Type="http://schemas.openxmlformats.org/officeDocument/2006/relationships/hyperlink" Target="https://www.imf.org/en/publications/policy-papers/issues/2016/12/31/sovereign-wealth-funds-a-work-agenda-pp4234?utm_source=chatgpt.com" TargetMode="External"/><Relationship Id="rId118" Type="http://schemas.openxmlformats.org/officeDocument/2006/relationships/hyperlink" Target="https://www.ifswf.org/santiago-principles?utm_source=chatgpt.com" TargetMode="External"/><Relationship Id="rId139" Type="http://schemas.openxmlformats.org/officeDocument/2006/relationships/hyperlink" Target="https://www.oecd.org/content/dam/oecd/en/publications/reports/2013/11/taxation-of-dividend-interest-and-capital-gain-income_g17a239a/5k3wh96w246k-en.pdf?utm_source=chatgpt.com" TargetMode="External"/><Relationship Id="rId85" Type="http://schemas.openxmlformats.org/officeDocument/2006/relationships/hyperlink" Target="https://shapingwork.mit.edu/wp-content/uploads/2023/10/acemoglu-restrepo-2019-automation-and-new-tasks-how-technology-displaces-and-reinstates-labor.pdf?utm_source=chatgpt.com" TargetMode="External"/><Relationship Id="rId150" Type="http://schemas.openxmlformats.org/officeDocument/2006/relationships/hyperlink" Target="https://www.ato.gov.au/businesses-and-organisations/corporate-tax-measures-and-assurance/imputation?utm_source=chatgpt.com" TargetMode="External"/><Relationship Id="rId171" Type="http://schemas.openxmlformats.org/officeDocument/2006/relationships/hyperlink" Target="https://www.reuters.com/world/europe/ecb-economists-improve-gdp-forecasting-with-chatgpt-2025-06-26/?utm_source=chatgpt.com" TargetMode="External"/><Relationship Id="rId12" Type="http://schemas.openxmlformats.org/officeDocument/2006/relationships/image" Target="media/image5.png"/><Relationship Id="rId33" Type="http://schemas.openxmlformats.org/officeDocument/2006/relationships/hyperlink" Target="https://www.oecd.org/en/publications/digital-technology-diffusion-in-the-age-of-ai_ebc2debe-en.html?utm_source=chatgpt.com" TargetMode="External"/><Relationship Id="rId108" Type="http://schemas.openxmlformats.org/officeDocument/2006/relationships/hyperlink" Target="https://www.fondsdereserve.fr/en/about/frr-missions/?utm_source=chatgpt.com" TargetMode="External"/><Relationship Id="rId129" Type="http://schemas.openxmlformats.org/officeDocument/2006/relationships/hyperlink" Target="https://pfd.alaska.gov/Division-Info/about-us?utm_source=chatgpt.com" TargetMode="External"/><Relationship Id="rId54" Type="http://schemas.openxmlformats.org/officeDocument/2006/relationships/hyperlink" Target="https://www.oecd.org/content/dam/oecd/en/publications/reports/2025/10/enhancing-simplicity-to-foster-tax-certainty-and-growth_d42d5905/086f71ab-en.pdf?utm_source=chatgpt.com" TargetMode="External"/><Relationship Id="rId75" Type="http://schemas.openxmlformats.org/officeDocument/2006/relationships/hyperlink" Target="https://www.reuters.com/world/europe/ecb-economists-improve-gdp-forecasting-with-chatgpt-2025-06-26/?utm_source=chatgpt.com" TargetMode="External"/><Relationship Id="rId96" Type="http://schemas.openxmlformats.org/officeDocument/2006/relationships/hyperlink" Target="https://www.bis.org/publ/work930.pdf?utm_source=chatgpt.com" TargetMode="External"/><Relationship Id="rId140" Type="http://schemas.openxmlformats.org/officeDocument/2006/relationships/hyperlink" Target="https://www.oecd.org/content/dam/oecd/en/publications/reports/2013/11/taxation-of-dividend-interest-and-capital-gain-income_g17a239a/5k3wh96w246k-en.pdf?utm_source=chatgpt.com" TargetMode="External"/><Relationship Id="rId161" Type="http://schemas.openxmlformats.org/officeDocument/2006/relationships/hyperlink" Target="https://www.nber.org/system/files/working_papers/w24312/revisions/w24312.rev0.pdf?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bis.org/publ/work930.pdf?utm_source=chatgpt.com" TargetMode="External"/><Relationship Id="rId28" Type="http://schemas.openxmlformats.org/officeDocument/2006/relationships/hyperlink" Target="https://www.insee.fr/fr/statistiques/4277630?sommaire=4318291&amp;utm_source=chatgpt.com" TargetMode="External"/><Relationship Id="rId49" Type="http://schemas.openxmlformats.org/officeDocument/2006/relationships/hyperlink" Target="https://www.pbo.gov.au/about-budgets/budget-insights/budget-explainers/dividend-imputation-and-franking-credits?utm_source=chatgpt.com" TargetMode="External"/><Relationship Id="rId114" Type="http://schemas.openxmlformats.org/officeDocument/2006/relationships/hyperlink" Target="https://www.imf.org/en/publications/policy-papers/issues/2016/12/31/sovereign-wealth-funds-a-work-agenda-pp4234?utm_source=chatgpt.com" TargetMode="External"/><Relationship Id="rId119" Type="http://schemas.openxmlformats.org/officeDocument/2006/relationships/hyperlink" Target="https://www.ifswf.org/santiago-principles?utm_source=chatgpt.com" TargetMode="External"/><Relationship Id="rId44" Type="http://schemas.openxmlformats.org/officeDocument/2006/relationships/hyperlink" Target="https://apfc.org/who-we-are/history-of-the-alaska-permanent-fund/?utm_source=chatgpt.com" TargetMode="External"/><Relationship Id="rId60" Type="http://schemas.openxmlformats.org/officeDocument/2006/relationships/hyperlink" Target="https://www.nber.org/system/files/working_papers/w24312/revisions/w24312.rev0.pdf?utm_source=chatgpt.com" TargetMode="External"/><Relationship Id="rId65" Type="http://schemas.openxmlformats.org/officeDocument/2006/relationships/hyperlink" Target="https://interoperable-europe.ec.europa.eu/collection/open-government/document/datagouvfr-french-open-platform-open-data?utm_source=chatgpt.com" TargetMode="External"/><Relationship Id="rId81" Type="http://schemas.openxmlformats.org/officeDocument/2006/relationships/hyperlink" Target="https://www.oecd.org/en/publications/digital-technology-diffusion-in-the-age-of-ai_ebc2debe-en.html?utm_source=chatgpt.com" TargetMode="External"/><Relationship Id="rId86" Type="http://schemas.openxmlformats.org/officeDocument/2006/relationships/hyperlink" Target="https://www.data.gouv.fr/?utm_source=chatgpt.com" TargetMode="External"/><Relationship Id="rId130" Type="http://schemas.openxmlformats.org/officeDocument/2006/relationships/hyperlink" Target="https://interoperable-europe.ec.europa.eu/collection/open-government/document/datagouvfr-french-open-platform-open-data?utm_source=chatgpt.com" TargetMode="External"/><Relationship Id="rId135" Type="http://schemas.openxmlformats.org/officeDocument/2006/relationships/hyperlink" Target="https://apfc.org/who-we-are/history-of-the-alaska-permanent-fund/?utm_source=chatgpt.com" TargetMode="External"/><Relationship Id="rId151" Type="http://schemas.openxmlformats.org/officeDocument/2006/relationships/hyperlink" Target="https://www.ato.gov.au/businesses-and-organisations/corporate-tax-measures-and-assurance/imputation?utm_source=chatgpt.com" TargetMode="External"/><Relationship Id="rId156" Type="http://schemas.openxmlformats.org/officeDocument/2006/relationships/hyperlink" Target="https://www.nber.org/system/files/working_papers/w31944/w31944.pdf?utm_source=chatgpt.com" TargetMode="External"/><Relationship Id="rId172" Type="http://schemas.openxmlformats.org/officeDocument/2006/relationships/hyperlink" Target="https://www.reuters.com/world/europe/ecb-economists-improve-gdp-forecasting-with-chatgpt-2025-06-26/?utm_source=chatgpt.com" TargetMode="External"/><Relationship Id="rId13" Type="http://schemas.openxmlformats.org/officeDocument/2006/relationships/image" Target="media/image6.png"/><Relationship Id="rId18" Type="http://schemas.openxmlformats.org/officeDocument/2006/relationships/hyperlink" Target="https://shapingwork.mit.edu/wp-content/uploads/2023/10/acemoglu-restrepo-2019-automation-and-new-tasks-how-technology-displaces-and-reinstates-labor.pdf?utm_source=chatgpt.com" TargetMode="External"/><Relationship Id="rId39" Type="http://schemas.openxmlformats.org/officeDocument/2006/relationships/hyperlink" Target="https://apfc.org/who-we-are/history-of-the-alaska-permanent-fund/?utm_source=chatgpt.com" TargetMode="External"/><Relationship Id="rId109" Type="http://schemas.openxmlformats.org/officeDocument/2006/relationships/hyperlink" Target="https://www.insee.fr/fr/statistiques/4277630?sommaire=4318291&amp;utm_source=chatgpt.com" TargetMode="External"/><Relationship Id="rId34" Type="http://schemas.openxmlformats.org/officeDocument/2006/relationships/hyperlink" Target="https://www.fondsdereserve.fr/en/about/frr-missions/?utm_source=chatgpt.com" TargetMode="External"/><Relationship Id="rId50" Type="http://schemas.openxmlformats.org/officeDocument/2006/relationships/hyperlink" Target="https://www.ato.gov.au/businesses-and-organisations/corporate-tax-measures-and-assurance/imputation?utm_source=chatgpt.com" TargetMode="External"/><Relationship Id="rId55" Type="http://schemas.openxmlformats.org/officeDocument/2006/relationships/hyperlink" Target="https://www.nber.org/system/files/working_papers/w31944/w31944.pdf?utm_source=chatgpt.com" TargetMode="External"/><Relationship Id="rId76" Type="http://schemas.openxmlformats.org/officeDocument/2006/relationships/hyperlink" Target="https://www.oecd.org/en/publications/2025/06/government-at-a-glance-2025_70e14c6c/full-report/transparency-of-public-information_60a963c4.html?utm_source=chatgpt.com" TargetMode="External"/><Relationship Id="rId97" Type="http://schemas.openxmlformats.org/officeDocument/2006/relationships/hyperlink" Target="https://www.bis.org/publ/work930.pdf?utm_source=chatgpt.com" TargetMode="External"/><Relationship Id="rId104" Type="http://schemas.openxmlformats.org/officeDocument/2006/relationships/hyperlink" Target="https://www.oecd.org/en/publications/2025/06/government-at-a-glance-2025_70e14c6c/full-report/transparency-of-public-information_60a963c4.html?utm_source=chatgpt.com" TargetMode="External"/><Relationship Id="rId120" Type="http://schemas.openxmlformats.org/officeDocument/2006/relationships/hyperlink" Target="https://www.adia.ae/en/purpose/responsible-long-term-investing/case-studies/santiago-principles?utm_source=chatgpt.com" TargetMode="External"/><Relationship Id="rId125" Type="http://schemas.openxmlformats.org/officeDocument/2006/relationships/hyperlink" Target="https://onlinelibrary.wiley.com/doi/full/10.1002/pop4.398?utm_source=chatgpt.com" TargetMode="External"/><Relationship Id="rId141" Type="http://schemas.openxmlformats.org/officeDocument/2006/relationships/hyperlink" Target="https://www.oecd.org/content/dam/oecd/en/publications/reports/2013/11/taxation-of-dividend-interest-and-capital-gain-income_g17a239a/5k3wh96w246k-en.pdf?utm_source=chatgpt.com" TargetMode="External"/><Relationship Id="rId146" Type="http://schemas.openxmlformats.org/officeDocument/2006/relationships/hyperlink" Target="https://www.apra.gov.au/news-and-publications/apra-releases-superannuation-statistics-for-december-2025?utm_source=chatgpt.com" TargetMode="External"/><Relationship Id="rId167" Type="http://schemas.openxmlformats.org/officeDocument/2006/relationships/hyperlink" Target="https://www.bis.org/ifc/publ/ifcb50_15.pdf?utm_source=chatgpt.com" TargetMode="External"/><Relationship Id="rId7" Type="http://schemas.openxmlformats.org/officeDocument/2006/relationships/endnotes" Target="endnotes.xml"/><Relationship Id="rId71" Type="http://schemas.openxmlformats.org/officeDocument/2006/relationships/hyperlink" Target="https://www.bis.org/publ/work930.pdf?utm_source=chatgpt.com" TargetMode="External"/><Relationship Id="rId92" Type="http://schemas.openxmlformats.org/officeDocument/2006/relationships/hyperlink" Target="https://www.ilo.org/sites/default/files/wcmsp5/groups/public/%40dgreports/%40dcomm/%40publ/documents/publication/wcms_537846.pdf?utm_source=chatgpt.com" TargetMode="External"/><Relationship Id="rId162" Type="http://schemas.openxmlformats.org/officeDocument/2006/relationships/hyperlink" Target="https://www.nber.org/system/files/working_papers/w24312/revisions/w24312.rev0.pdf?utm_source=chatgpt.com" TargetMode="External"/><Relationship Id="rId2" Type="http://schemas.openxmlformats.org/officeDocument/2006/relationships/numbering" Target="numbering.xml"/><Relationship Id="rId29" Type="http://schemas.openxmlformats.org/officeDocument/2006/relationships/hyperlink" Target="https://www.imf.org/en/publications/policy-papers/issues/2016/12/31/sovereign-wealth-funds-a-work-agenda-pp4234?utm_source=chatgpt.com" TargetMode="External"/><Relationship Id="rId24" Type="http://schemas.openxmlformats.org/officeDocument/2006/relationships/hyperlink" Target="https://www.ilo.org/sites/default/files/wcmsp5/groups/public/%40dgreports/%40dcomm/%40publ/documents/publication/wcms_537846.pdf?utm_source=chatgpt.com" TargetMode="External"/><Relationship Id="rId40" Type="http://schemas.openxmlformats.org/officeDocument/2006/relationships/hyperlink" Target="https://www.eia.gov/todayinenergy/detail.php?id=21052&amp;utm_source=chatgpt.com" TargetMode="External"/><Relationship Id="rId45" Type="http://schemas.openxmlformats.org/officeDocument/2006/relationships/hyperlink" Target="https://www.apra.gov.au/news-and-publications/apra-releases-superannuation-statistics-for-december-2025?utm_source=chatgpt.com" TargetMode="External"/><Relationship Id="rId66" Type="http://schemas.openxmlformats.org/officeDocument/2006/relationships/hyperlink" Target="https://www.data.gouv.fr/?utm_source=chatgpt.com" TargetMode="External"/><Relationship Id="rId87" Type="http://schemas.openxmlformats.org/officeDocument/2006/relationships/hyperlink" Target="https://www.data.gouv.fr/?utm_source=chatgpt.com" TargetMode="External"/><Relationship Id="rId110" Type="http://schemas.openxmlformats.org/officeDocument/2006/relationships/hyperlink" Target="https://www.insee.fr/fr/statistiques/4277630?sommaire=4318291&amp;utm_source=chatgpt.com" TargetMode="External"/><Relationship Id="rId115" Type="http://schemas.openxmlformats.org/officeDocument/2006/relationships/hyperlink" Target="https://www.oecd.org/content/dam/oecd/en/publications/reports/2025/10/enhancing-simplicity-to-foster-tax-certainty-and-growth_d42d5905/086f71ab-en.pdf?utm_source=chatgpt.com" TargetMode="External"/><Relationship Id="rId131" Type="http://schemas.openxmlformats.org/officeDocument/2006/relationships/hyperlink" Target="https://interoperable-europe.ec.europa.eu/collection/open-government/document/datagouvfr-french-open-platform-open-data?utm_source=chatgpt.com" TargetMode="External"/><Relationship Id="rId136" Type="http://schemas.openxmlformats.org/officeDocument/2006/relationships/hyperlink" Target="https://apfc.org/who-we-are/history-of-the-alaska-permanent-fund/?utm_source=chatgpt.com" TargetMode="External"/><Relationship Id="rId157" Type="http://schemas.openxmlformats.org/officeDocument/2006/relationships/hyperlink" Target="https://ec.europa.eu/social/BlobServlet?docId=20846&amp;langId=en&amp;utm_source=chatgpt.com" TargetMode="External"/><Relationship Id="rId61" Type="http://schemas.openxmlformats.org/officeDocument/2006/relationships/hyperlink" Target="https://onlinelibrary.wiley.com/doi/full/10.1002/pop4.398?utm_source=chatgpt.com" TargetMode="External"/><Relationship Id="rId82" Type="http://schemas.openxmlformats.org/officeDocument/2006/relationships/hyperlink" Target="https://www.oecd.org/en/publications/digital-technology-diffusion-in-the-age-of-ai_ebc2debe-en.html?utm_source=chatgpt.com" TargetMode="External"/><Relationship Id="rId152" Type="http://schemas.openxmlformats.org/officeDocument/2006/relationships/hyperlink" Target="https://www.sciencedirect.com/science/article/abs/pii/S0929119921001620?utm_source=chatgpt.com" TargetMode="External"/><Relationship Id="rId173" Type="http://schemas.openxmlformats.org/officeDocument/2006/relationships/footer" Target="footer1.xml"/><Relationship Id="rId19" Type="http://schemas.openxmlformats.org/officeDocument/2006/relationships/hyperlink" Target="https://www.data.gouv.fr/?utm_source=chatgpt.com" TargetMode="External"/><Relationship Id="rId14" Type="http://schemas.openxmlformats.org/officeDocument/2006/relationships/image" Target="media/image7.png"/><Relationship Id="rId30" Type="http://schemas.openxmlformats.org/officeDocument/2006/relationships/hyperlink" Target="https://www.oecd.org/content/dam/oecd/en/publications/reports/2025/10/enhancing-simplicity-to-foster-tax-certainty-and-growth_d42d5905/086f71ab-en.pdf?utm_source=chatgpt.com" TargetMode="External"/><Relationship Id="rId35" Type="http://schemas.openxmlformats.org/officeDocument/2006/relationships/hyperlink" Target="https://www.ilo.org/sites/default/files/wcmsp5/groups/public/%40asia/%40ro-bangkok/%40ilo-beijing/documents/briefingnote/wcms_749634.pdf?utm_source=chatgpt.com" TargetMode="External"/><Relationship Id="rId56" Type="http://schemas.openxmlformats.org/officeDocument/2006/relationships/hyperlink" Target="https://interoperable-europe.ec.europa.eu/collection/open-government/document/datagouvfr-french-open-platform-open-data?utm_source=chatgpt.com" TargetMode="External"/><Relationship Id="rId77" Type="http://schemas.openxmlformats.org/officeDocument/2006/relationships/hyperlink" Target="https://www.jstor.org/stable/2006600?utm_source=chatgpt.com" TargetMode="External"/><Relationship Id="rId100" Type="http://schemas.openxmlformats.org/officeDocument/2006/relationships/hyperlink" Target="https://www.oecd.org/en/data/indicators/trust-in-government.html?utm_source=chatgpt.com" TargetMode="External"/><Relationship Id="rId105" Type="http://schemas.openxmlformats.org/officeDocument/2006/relationships/hyperlink" Target="https://www.fondsdereserve.fr/en/about/frr-missions/?utm_source=chatgpt.com" TargetMode="External"/><Relationship Id="rId126" Type="http://schemas.openxmlformats.org/officeDocument/2006/relationships/hyperlink" Target="https://onlinelibrary.wiley.com/doi/full/10.1002/pop4.398?utm_source=chatgpt.com" TargetMode="External"/><Relationship Id="rId147" Type="http://schemas.openxmlformats.org/officeDocument/2006/relationships/hyperlink" Target="https://www.apra.gov.au/news-and-publications/apra-releases-superannuation-statistics-for-december-2025?utm_source=chatgpt.com" TargetMode="External"/><Relationship Id="rId168" Type="http://schemas.openxmlformats.org/officeDocument/2006/relationships/hyperlink" Target="https://www.bis.org/ifc/publ/ifcb50_15.pdf?utm_source=chatgpt.com" TargetMode="External"/><Relationship Id="rId8" Type="http://schemas.openxmlformats.org/officeDocument/2006/relationships/image" Target="media/image1.png"/><Relationship Id="rId51" Type="http://schemas.openxmlformats.org/officeDocument/2006/relationships/hyperlink" Target="https://www.sciencedirect.com/science/article/abs/pii/S0929119921001620?utm_source=chatgpt.com" TargetMode="External"/><Relationship Id="rId72" Type="http://schemas.openxmlformats.org/officeDocument/2006/relationships/hyperlink" Target="https://www.elibrary.imf.org/view/journals/001/2022/052/article-A001-en.xml?utm_source=chatgpt.com" TargetMode="External"/><Relationship Id="rId93" Type="http://schemas.openxmlformats.org/officeDocument/2006/relationships/hyperlink" Target="https://www.ilo.org/sites/default/files/wcmsp5/groups/public/%40dgreports/%40dcomm/%40publ/documents/publication/wcms_537846.pdf?utm_source=chatgpt.com" TargetMode="External"/><Relationship Id="rId98" Type="http://schemas.openxmlformats.org/officeDocument/2006/relationships/hyperlink" Target="https://www.bis.org/publ/work930.pdf?utm_source=chatgpt.com" TargetMode="External"/><Relationship Id="rId121" Type="http://schemas.openxmlformats.org/officeDocument/2006/relationships/hyperlink" Target="https://www.adia.ae/en/purpose/responsible-long-term-investing/case-studies/santiago-principles?utm_source=chatgpt.com" TargetMode="External"/><Relationship Id="rId142" Type="http://schemas.openxmlformats.org/officeDocument/2006/relationships/hyperlink" Target="https://www.oecd.org/content/dam/oecd/en/publications/reports/2013/11/taxation-of-dividend-interest-and-capital-gain-income_g17a239a/5k3wh96w246k-en.pdf?utm_source=chatgpt.com" TargetMode="External"/><Relationship Id="rId163" Type="http://schemas.openxmlformats.org/officeDocument/2006/relationships/hyperlink" Target="https://www.sciencedirect.com/science/article/pii/S0305750X1830024X?utm_source=chatgpt.com" TargetMode="External"/><Relationship Id="rId3" Type="http://schemas.openxmlformats.org/officeDocument/2006/relationships/styles" Target="styles.xml"/><Relationship Id="rId25" Type="http://schemas.openxmlformats.org/officeDocument/2006/relationships/hyperlink" Target="https://www.oecd.org/en/data/indicators/trust-in-government.html?utm_source=chatgpt.com" TargetMode="External"/><Relationship Id="rId46" Type="http://schemas.openxmlformats.org/officeDocument/2006/relationships/hyperlink" Target="https://www.apra.gov.au/news-and-publications/apra-releases-superannuation-statistics-for-december-2025?utm_source=chatgpt.com" TargetMode="External"/><Relationship Id="rId67" Type="http://schemas.openxmlformats.org/officeDocument/2006/relationships/hyperlink" Target="https://labo.societenumerique.gouv.fr/en/articles/ten-year-open-public-data-lopen-data-starts-a-new-step/?utm_source=chatgpt.com" TargetMode="External"/><Relationship Id="rId116" Type="http://schemas.openxmlformats.org/officeDocument/2006/relationships/hyperlink" Target="https://www.oecd.org/content/dam/oecd/en/publications/reports/2025/10/enhancing-simplicity-to-foster-tax-certainty-and-growth_d42d5905/086f71ab-en.pdf?utm_source=chatgpt.com" TargetMode="External"/><Relationship Id="rId137" Type="http://schemas.openxmlformats.org/officeDocument/2006/relationships/hyperlink" Target="https://www.eia.gov/todayinenergy/detail.php?id=21052&amp;utm_source=chatgpt.com" TargetMode="External"/><Relationship Id="rId158" Type="http://schemas.openxmlformats.org/officeDocument/2006/relationships/hyperlink" Target="https://ec.europa.eu/social/BlobServlet?docId=20846&amp;langId=en&amp;utm_source=chatgpt.com" TargetMode="External"/><Relationship Id="rId20" Type="http://schemas.openxmlformats.org/officeDocument/2006/relationships/hyperlink" Target="https://reports.weforum.org/docs/WEF_Future_of_Jobs_Report_2025.pdf?utm_source=chatgpt.com" TargetMode="External"/><Relationship Id="rId41" Type="http://schemas.openxmlformats.org/officeDocument/2006/relationships/hyperlink" Target="https://www.imf.org/en/publications/policy-papers/issues/2016/12/31/sovereign-wealth-funds-a-work-agenda-pp4234?utm_source=chatgpt.com" TargetMode="External"/><Relationship Id="rId62" Type="http://schemas.openxmlformats.org/officeDocument/2006/relationships/hyperlink" Target="https://www.sciencedirect.com/science/article/pii/S0305750X1830024X?utm_source=chatgpt.com" TargetMode="External"/><Relationship Id="rId83" Type="http://schemas.openxmlformats.org/officeDocument/2006/relationships/hyperlink" Target="https://www.oecd.org/en/publications/digital-technology-diffusion-in-the-age-of-ai_ebc2debe-en.html?utm_source=chatgpt.com" TargetMode="External"/><Relationship Id="rId88" Type="http://schemas.openxmlformats.org/officeDocument/2006/relationships/hyperlink" Target="https://www.data.gouv.fr/?utm_source=chatgpt.com" TargetMode="External"/><Relationship Id="rId111" Type="http://schemas.openxmlformats.org/officeDocument/2006/relationships/hyperlink" Target="https://www.imf.org/en/publications/policy-papers/issues/2016/12/31/sovereign-wealth-funds-a-work-agenda-pp4234?utm_source=chatgpt.com" TargetMode="External"/><Relationship Id="rId132" Type="http://schemas.openxmlformats.org/officeDocument/2006/relationships/hyperlink" Target="https://interoperable-europe.ec.europa.eu/collection/open-government/document/datagouvfr-french-open-platform-open-data?utm_source=chatgpt.com" TargetMode="External"/><Relationship Id="rId153" Type="http://schemas.openxmlformats.org/officeDocument/2006/relationships/hyperlink" Target="https://www.sciencedirect.com/science/article/abs/pii/S0929119921001620?utm_source=chatgpt.com" TargetMode="External"/><Relationship Id="rId174" Type="http://schemas.openxmlformats.org/officeDocument/2006/relationships/footer" Target="footer2.xml"/><Relationship Id="rId15" Type="http://schemas.openxmlformats.org/officeDocument/2006/relationships/hyperlink" Target="https://www.jstor.org/stable/2006600?utm_source=chatgpt.com" TargetMode="External"/><Relationship Id="rId36" Type="http://schemas.openxmlformats.org/officeDocument/2006/relationships/hyperlink" Target="https://onlinelibrary.wiley.com/doi/full/10.1002/pop4.398?utm_source=chatgpt.com" TargetMode="External"/><Relationship Id="rId57" Type="http://schemas.openxmlformats.org/officeDocument/2006/relationships/hyperlink" Target="https://ec.europa.eu/social/BlobServlet?docId=20846&amp;langId=en&amp;utm_source=chatgpt.com" TargetMode="External"/><Relationship Id="rId106" Type="http://schemas.openxmlformats.org/officeDocument/2006/relationships/hyperlink" Target="https://www.fondsdereserve.fr/en/about/frr-missions/?utm_source=chatgpt.com" TargetMode="External"/><Relationship Id="rId127" Type="http://schemas.openxmlformats.org/officeDocument/2006/relationships/hyperlink" Target="https://pfd.alaska.gov/Division-Info/about-us?utm_source=chatgpt.com" TargetMode="External"/><Relationship Id="rId10" Type="http://schemas.openxmlformats.org/officeDocument/2006/relationships/image" Target="media/image3.png"/><Relationship Id="rId31" Type="http://schemas.openxmlformats.org/officeDocument/2006/relationships/hyperlink" Target="https://www.ifswf.org/santiago-principles?utm_source=chatgpt.com" TargetMode="External"/><Relationship Id="rId52" Type="http://schemas.openxmlformats.org/officeDocument/2006/relationships/hyperlink" Target="https://www.sciencedirect.com/science/article/abs/pii/S0929119921001620?utm_source=chatgpt.com" TargetMode="External"/><Relationship Id="rId73" Type="http://schemas.openxmlformats.org/officeDocument/2006/relationships/hyperlink" Target="https://www.oecd.org/en/data/indicators/trust-in-government.html?utm_source=chatgpt.com" TargetMode="External"/><Relationship Id="rId78" Type="http://schemas.openxmlformats.org/officeDocument/2006/relationships/hyperlink" Target="https://www.oecd.org/content/dam/oecd/en/publications/reports/2017/05/basic-income-as-a-policy-option_6d481cff/77d7fe00-en.pdf?utm_source=chatgpt.com" TargetMode="External"/><Relationship Id="rId94" Type="http://schemas.openxmlformats.org/officeDocument/2006/relationships/hyperlink" Target="https://www.imf.org/en/blogs/articles/2017/04/12/drivers-of-declining-labor-share-of-income?utm_source=chatgpt.com" TargetMode="External"/><Relationship Id="rId99" Type="http://schemas.openxmlformats.org/officeDocument/2006/relationships/hyperlink" Target="https://www.oecd.org/en/data/indicators/trust-in-government.html?utm_source=chatgpt.com" TargetMode="External"/><Relationship Id="rId101" Type="http://schemas.openxmlformats.org/officeDocument/2006/relationships/hyperlink" Target="https://www.oecd.org/en/data/indicators/trust-in-government.html?utm_source=chatgpt.com" TargetMode="External"/><Relationship Id="rId122" Type="http://schemas.openxmlformats.org/officeDocument/2006/relationships/hyperlink" Target="https://www.ilo.org/sites/default/files/wcmsp5/groups/public/%40asia/%40ro-bangkok/%40ilo-beijing/documents/briefingnote/wcms_749634.pdf?utm_source=chatgpt.com" TargetMode="External"/><Relationship Id="rId143" Type="http://schemas.openxmlformats.org/officeDocument/2006/relationships/hyperlink" Target="https://www.ato.gov.au/businesses-and-organisations/super-for-employers?utm_source=chatgpt.com" TargetMode="External"/><Relationship Id="rId148" Type="http://schemas.openxmlformats.org/officeDocument/2006/relationships/hyperlink" Target="https://www.pbo.gov.au/about-budgets/budget-insights/budget-explainers/dividend-imputation-and-franking-credits?utm_source=chatgpt.com" TargetMode="External"/><Relationship Id="rId164" Type="http://schemas.openxmlformats.org/officeDocument/2006/relationships/hyperlink" Target="https://www.sciencedirect.com/science/article/pii/S0305750X1830024X?utm_source=chatgpt.com" TargetMode="External"/><Relationship Id="rId169" Type="http://schemas.openxmlformats.org/officeDocument/2006/relationships/hyperlink" Target="https://www.elibrary.imf.org/view/journals/001/2022/052/article-A001-en.xml?utm_source=chatgpt.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www.oecd.org/en/publications/2025/06/government-at-a-glance-2025_70e14c6c/full-report/transparency-of-public-information_60a963c4.html?utm_source=chatgpt.com" TargetMode="External"/><Relationship Id="rId47" Type="http://schemas.openxmlformats.org/officeDocument/2006/relationships/hyperlink" Target="https://www.oecd.org/content/dam/oecd/en/publications/reports/2013/11/taxation-of-dividend-interest-and-capital-gain-income_g17a239a/5k3wh96w246k-en.pdf?utm_source=chatgpt.com" TargetMode="External"/><Relationship Id="rId68" Type="http://schemas.openxmlformats.org/officeDocument/2006/relationships/hyperlink" Target="https://www.oecd.org/en/publications/2025/06/government-at-a-glance-2025_70e14c6c/full-report/transparency-of-public-information_60a963c4.html?utm_source=chatgpt.com" TargetMode="External"/><Relationship Id="rId89" Type="http://schemas.openxmlformats.org/officeDocument/2006/relationships/hyperlink" Target="https://reports.weforum.org/docs/WEF_Future_of_Jobs_Report_2025.pdf?utm_source=chatgpt.com" TargetMode="External"/><Relationship Id="rId112" Type="http://schemas.openxmlformats.org/officeDocument/2006/relationships/hyperlink" Target="https://www.imf.org/en/publications/policy-papers/issues/2016/12/31/sovereign-wealth-funds-a-work-agenda-pp4234?utm_source=chatgpt.com" TargetMode="External"/><Relationship Id="rId133" Type="http://schemas.openxmlformats.org/officeDocument/2006/relationships/hyperlink" Target="https://interoperable-europe.ec.europa.eu/collection/open-government/document/datagouvfr-french-open-platform-open-data?utm_source=chatgpt.com" TargetMode="External"/><Relationship Id="rId154" Type="http://schemas.openxmlformats.org/officeDocument/2006/relationships/hyperlink" Target="https://www.sciencedirect.com/science/article/abs/pii/S0929119921001620?utm_source=chatgpt.com" TargetMode="External"/><Relationship Id="rId175" Type="http://schemas.openxmlformats.org/officeDocument/2006/relationships/fontTable" Target="fontTable.xml"/><Relationship Id="rId16" Type="http://schemas.openxmlformats.org/officeDocument/2006/relationships/hyperlink" Target="https://www.oecd.org/content/dam/oecd/en/publications/reports/2017/05/basic-income-as-a-policy-option_6d481cff/77d7fe00-en.pdf?utm_source=chatgpt.com" TargetMode="External"/><Relationship Id="rId37" Type="http://schemas.openxmlformats.org/officeDocument/2006/relationships/hyperlink" Target="https://pfd.alaska.gov/Division-Info/about-us?utm_source=chatgpt.com" TargetMode="External"/><Relationship Id="rId58" Type="http://schemas.openxmlformats.org/officeDocument/2006/relationships/hyperlink" Target="https://valtioneuvosto.fi/en/-/1271139/perustulokokeilun-tulokset-tyollisyysvaikutukset-vahaisia-toimeentulo-ja-psyykkinen-terveys-koettiin-paremmaksi?utm_source=chatgpt.com" TargetMode="External"/><Relationship Id="rId79" Type="http://schemas.openxmlformats.org/officeDocument/2006/relationships/hyperlink" Target="https://www.oecd.org/content/dam/oecd/en/publications/reports/2017/05/basic-income-as-a-policy-option_6d481cff/77d7fe00-en.pdf?utm_source=chatgpt.com" TargetMode="External"/><Relationship Id="rId102" Type="http://schemas.openxmlformats.org/officeDocument/2006/relationships/hyperlink" Target="https://www.oecd.org/en/publications/2025/06/government-at-a-glance-2025_70e14c6c/full-report/transparency-of-public-information_60a963c4.html?utm_source=chatgpt.com" TargetMode="External"/><Relationship Id="rId123" Type="http://schemas.openxmlformats.org/officeDocument/2006/relationships/hyperlink" Target="https://www.ilo.org/sites/default/files/wcmsp5/groups/public/%40asia/%40ro-bangkok/%40ilo-beijing/documents/briefingnote/wcms_749634.pdf?utm_source=chatgpt.com" TargetMode="External"/><Relationship Id="rId144" Type="http://schemas.openxmlformats.org/officeDocument/2006/relationships/hyperlink" Target="https://www.ato.gov.au/businesses-and-organisations/super-for-employers?utm_source=chatgpt.com" TargetMode="External"/><Relationship Id="rId90" Type="http://schemas.openxmlformats.org/officeDocument/2006/relationships/hyperlink" Target="https://reports.weforum.org/docs/WEF_Future_of_Jobs_Report_2025.pdf?utm_source=chatgpt.com" TargetMode="External"/><Relationship Id="rId165" Type="http://schemas.openxmlformats.org/officeDocument/2006/relationships/hyperlink" Target="https://labo.societenumerique.gouv.fr/en/articles/ten-year-open-public-data-lopen-data-starts-a-new-step/?utm_source=chatgpt.com" TargetMode="External"/><Relationship Id="rId27" Type="http://schemas.openxmlformats.org/officeDocument/2006/relationships/hyperlink" Target="https://www.fondsdereserve.fr/en/about/frr-missions/?utm_source=chatgpt.com" TargetMode="External"/><Relationship Id="rId48" Type="http://schemas.openxmlformats.org/officeDocument/2006/relationships/hyperlink" Target="https://www.oecd.org/content/dam/oecd/en/publications/reports/2013/11/taxation-of-dividend-interest-and-capital-gain-income_g17a239a/5k3wh96w246k-en.pdf?utm_source=chatgpt.com" TargetMode="External"/><Relationship Id="rId69" Type="http://schemas.openxmlformats.org/officeDocument/2006/relationships/hyperlink" Target="https://www.fondsdereserve.fr/en/about/frr-missions/?utm_source=chatgpt.com" TargetMode="External"/><Relationship Id="rId113" Type="http://schemas.openxmlformats.org/officeDocument/2006/relationships/hyperlink" Target="https://www.imf.org/en/publications/policy-papers/issues/2016/12/31/sovereign-wealth-funds-a-work-agenda-pp4234?utm_source=chatgpt.com" TargetMode="External"/><Relationship Id="rId134" Type="http://schemas.openxmlformats.org/officeDocument/2006/relationships/hyperlink" Target="https://apfc.org/who-we-are/history-of-the-alaska-permanent-fund/?utm_source=chatgpt.com" TargetMode="External"/><Relationship Id="rId80" Type="http://schemas.openxmlformats.org/officeDocument/2006/relationships/hyperlink" Target="https://www.oecd.org/content/dam/oecd/en/publications/reports/2017/05/basic-income-as-a-policy-option_6d481cff/77d7fe00-en.pdf?utm_source=chatgpt.com" TargetMode="External"/><Relationship Id="rId155" Type="http://schemas.openxmlformats.org/officeDocument/2006/relationships/hyperlink" Target="https://www.nber.org/system/files/working_papers/w31944/w31944.pdf?utm_source=chatgpt.com" TargetMode="External"/><Relationship Id="rId176" Type="http://schemas.openxmlformats.org/officeDocument/2006/relationships/theme" Target="theme/theme1.xml"/><Relationship Id="rId17" Type="http://schemas.openxmlformats.org/officeDocument/2006/relationships/hyperlink" Target="https://www.oecd.org/en/publications/digital-technology-diffusion-in-the-age-of-ai_ebc2debe-en.html?utm_source=chatgpt.com" TargetMode="External"/><Relationship Id="rId38" Type="http://schemas.openxmlformats.org/officeDocument/2006/relationships/hyperlink" Target="https://interoperable-europe.ec.europa.eu/collection/open-government/document/datagouvfr-french-open-platform-open-data?utm_source=chatgpt.com" TargetMode="External"/><Relationship Id="rId59" Type="http://schemas.openxmlformats.org/officeDocument/2006/relationships/hyperlink" Target="https://pfd.alaska.gov/Division-Info/about-us?utm_source=chatgpt.com" TargetMode="External"/><Relationship Id="rId103" Type="http://schemas.openxmlformats.org/officeDocument/2006/relationships/hyperlink" Target="https://www.oecd.org/en/publications/2025/06/government-at-a-glance-2025_70e14c6c/full-report/transparency-of-public-information_60a963c4.html?utm_source=chatgpt.com" TargetMode="External"/><Relationship Id="rId124" Type="http://schemas.openxmlformats.org/officeDocument/2006/relationships/hyperlink" Target="https://onlinelibrary.wiley.com/doi/full/10.1002/pop4.398?utm_source=chatgpt.com" TargetMode="External"/><Relationship Id="rId70" Type="http://schemas.openxmlformats.org/officeDocument/2006/relationships/hyperlink" Target="https://www.bis.org/ifc/publ/ifcb50_15.pdf?utm_source=chatgpt.com" TargetMode="External"/><Relationship Id="rId91" Type="http://schemas.openxmlformats.org/officeDocument/2006/relationships/hyperlink" Target="https://www.ilo.org/sites/default/files/wcmsp5/groups/public/%40dgreports/%40dcomm/%40publ/documents/publication/wcms_537846.pdf?utm_source=chatgpt.com" TargetMode="External"/><Relationship Id="rId145" Type="http://schemas.openxmlformats.org/officeDocument/2006/relationships/hyperlink" Target="https://www.apra.gov.au/news-and-publications/apra-releases-superannuation-statistics-for-december-2025?utm_source=chatgpt.com" TargetMode="External"/><Relationship Id="rId166" Type="http://schemas.openxmlformats.org/officeDocument/2006/relationships/hyperlink" Target="https://labo.societenumerique.gouv.fr/en/articles/ten-year-open-public-data-lopen-data-starts-a-new-ste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31</Pages>
  <Words>16240</Words>
  <Characters>97119</Characters>
  <Application>Microsoft Office Word</Application>
  <DocSecurity>0</DocSecurity>
  <Lines>1471</Lines>
  <Paragraphs>839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6</cp:revision>
  <cp:lastPrinted>2026-03-04T07:30:00Z</cp:lastPrinted>
  <dcterms:created xsi:type="dcterms:W3CDTF">2026-03-04T07:30:00Z</dcterms:created>
  <dcterms:modified xsi:type="dcterms:W3CDTF">2026-03-04T23:09:00Z</dcterms:modified>
  <cp:category/>
</cp:coreProperties>
</file>