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332C" w14:textId="77777777" w:rsidR="00CE6055" w:rsidRDefault="00CE6055" w:rsidP="00CE6055">
      <w:pPr>
        <w:pStyle w:val="Heading1"/>
      </w:pPr>
      <w:r>
        <w:t>Policy architecture summary</w:t>
      </w:r>
    </w:p>
    <w:p w14:paraId="242ED443" w14:textId="77777777" w:rsidR="00CE6055" w:rsidRDefault="00CE6055" w:rsidP="00CE6055">
      <w:r>
        <w:t>In the New Loop model, these policy mechanisms are not asserted as "the answer." Instead, they are parameterized control rules whose job is to keep aggregate demand, investment incentives, and distributional outcomes inside a viable region as automation shifts the wage/profit split.</w:t>
      </w:r>
    </w:p>
    <w:p w14:paraId="3391C770" w14:textId="77777777" w:rsidR="00CE6055" w:rsidRDefault="00CE6055" w:rsidP="00CE6055">
      <w:r>
        <w:t>The main instruments are:</w:t>
      </w:r>
    </w:p>
    <w:p w14:paraId="7A9CD6E5" w14:textId="77777777" w:rsidR="00CE6055" w:rsidRDefault="00CE6055" w:rsidP="00CE6055">
      <w:pPr>
        <w:pStyle w:val="ListBullet"/>
        <w:tabs>
          <w:tab w:val="num" w:pos="360"/>
        </w:tabs>
        <w:ind w:left="360" w:hanging="360"/>
      </w:pPr>
      <w:r>
        <w:t>Social Wealth Trust (FUND): accumulates equity over time, subject to an explicit ownership cap.</w:t>
      </w:r>
    </w:p>
    <w:p w14:paraId="6DED0CC5" w14:textId="77777777" w:rsidR="00CE6055" w:rsidRDefault="00CE6055" w:rsidP="00CE6055">
      <w:pPr>
        <w:pStyle w:val="ListBullet"/>
        <w:tabs>
          <w:tab w:val="num" w:pos="360"/>
        </w:tabs>
        <w:ind w:left="360" w:hanging="360"/>
      </w:pPr>
      <w:r>
        <w:t>Universal Basic Income (UBI): defined as a baseline real-income pool with a non-decreasing ratchet.</w:t>
      </w:r>
    </w:p>
    <w:p w14:paraId="3A0FCBE4" w14:textId="77777777" w:rsidR="00CE6055" w:rsidRDefault="00CE6055" w:rsidP="00CE6055">
      <w:pPr>
        <w:pStyle w:val="ListBullet"/>
        <w:tabs>
          <w:tab w:val="num" w:pos="360"/>
        </w:tabs>
        <w:ind w:left="360" w:hanging="360"/>
      </w:pPr>
      <w:r>
        <w:t xml:space="preserve">VAT plus </w:t>
      </w:r>
      <w:proofErr w:type="spellStart"/>
      <w:r>
        <w:t>prebate</w:t>
      </w:r>
      <w:proofErr w:type="spellEnd"/>
      <w:r>
        <w:t>: a broad consumption tax paired with a targeted low-income VAT credit.</w:t>
      </w:r>
    </w:p>
    <w:p w14:paraId="0B0DBA14" w14:textId="77777777" w:rsidR="00CE6055" w:rsidRDefault="00CE6055" w:rsidP="00CE6055">
      <w:pPr>
        <w:pStyle w:val="ListBullet"/>
        <w:tabs>
          <w:tab w:val="num" w:pos="360"/>
        </w:tabs>
        <w:ind w:left="360" w:hanging="360"/>
      </w:pPr>
      <w:r>
        <w:t>Marginal income tax: applied above a percentile-defined cutoff; UBI excluded from the income-tax base.</w:t>
      </w:r>
    </w:p>
    <w:p w14:paraId="28A85959" w14:textId="77777777" w:rsidR="00CE6055" w:rsidRDefault="00CE6055" w:rsidP="00CE6055">
      <w:pPr>
        <w:pStyle w:val="ListBullet"/>
        <w:tabs>
          <w:tab w:val="num" w:pos="360"/>
        </w:tabs>
        <w:ind w:left="360" w:hanging="360"/>
      </w:pPr>
      <w:r>
        <w:t>Corporate income tax: may rise automatically as wage payments fall relative to baseline.</w:t>
      </w:r>
    </w:p>
    <w:p w14:paraId="5D787B21" w14:textId="77777777" w:rsidR="00CE6055" w:rsidRDefault="00CE6055" w:rsidP="00CE6055">
      <w:pPr>
        <w:pStyle w:val="ListBullet"/>
        <w:tabs>
          <w:tab w:val="num" w:pos="360"/>
        </w:tabs>
        <w:ind w:left="360" w:hanging="360"/>
      </w:pPr>
      <w:r>
        <w:t xml:space="preserve">Optional surplus </w:t>
      </w:r>
      <w:proofErr w:type="gramStart"/>
      <w:r>
        <w:t>recycling:</w:t>
      </w:r>
      <w:proofErr w:type="gramEnd"/>
      <w:r>
        <w:t xml:space="preserve"> rebates a share of net government deposits back to households.</w:t>
      </w:r>
    </w:p>
    <w:p w14:paraId="72188BFC" w14:textId="77777777" w:rsidR="00CE6055" w:rsidRDefault="00CE6055" w:rsidP="00CE6055">
      <w:pPr>
        <w:pStyle w:val="ListBullet"/>
        <w:tabs>
          <w:tab w:val="num" w:pos="360"/>
        </w:tabs>
        <w:ind w:left="360" w:hanging="360"/>
      </w:pPr>
      <w:r>
        <w:t>Monetary/credit rules: overdrafts convert automatically to credit (no hard default) to avoid demand collapses from cascading defaults.</w:t>
      </w:r>
    </w:p>
    <w:p w14:paraId="32BF2B13" w14:textId="77777777" w:rsidR="00CE6055" w:rsidRDefault="00CE6055" w:rsidP="00CE6055">
      <w:pPr>
        <w:pStyle w:val="ListBullet"/>
        <w:tabs>
          <w:tab w:val="num" w:pos="360"/>
        </w:tabs>
        <w:ind w:left="360" w:hanging="360"/>
      </w:pPr>
      <w:r>
        <w:t>Indexed mortgages to alleviate deflationary risk of default and lender collapse.</w:t>
      </w:r>
    </w:p>
    <w:p w14:paraId="3E271BAD" w14:textId="76E628B9" w:rsidR="00287819" w:rsidRDefault="00287819" w:rsidP="00287819">
      <w:pPr>
        <w:pStyle w:val="Heading1"/>
      </w:pPr>
      <w:r>
        <w:t>1. Social Wealth Trust Fund</w:t>
      </w:r>
    </w:p>
    <w:p w14:paraId="7D5DA318" w14:textId="77777777" w:rsidR="00287819" w:rsidRDefault="00287819" w:rsidP="00287819">
      <w:pPr>
        <w:pStyle w:val="Heading2"/>
      </w:pPr>
      <w:r>
        <w:t>1.1 Activation trigger</w:t>
      </w:r>
    </w:p>
    <w:p w14:paraId="0C46DB77" w14:textId="77777777" w:rsidR="00287819" w:rsidRDefault="00287819" w:rsidP="00287819">
      <w:r>
        <w:t>Policy choice: FUND activates only when household debt-service stress exceeds a threshold, so the Trust behaves like an automatic stabilizer rather than a permanently active institution.</w:t>
      </w:r>
    </w:p>
    <w:p w14:paraId="155E0E91" w14:textId="77777777" w:rsidR="00287819" w:rsidRDefault="00287819" w:rsidP="00287819">
      <w:r>
        <w:t>Implementation note: The trigger metric is last-quarter household debt-service stress measured at the upper tail. The model takes the maximum of (</w:t>
      </w:r>
      <w:proofErr w:type="spellStart"/>
      <w:r>
        <w:t>i</w:t>
      </w:r>
      <w:proofErr w:type="spellEnd"/>
      <w:r>
        <w:t xml:space="preserve">)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w:t>
      </w:r>
      <w:proofErr w:type="spellStart"/>
      <w:r>
        <w:t>trust_trigger_dti</w:t>
      </w:r>
      <w:proofErr w:type="spellEnd"/>
      <w:r>
        <w:t>.</w:t>
      </w:r>
    </w:p>
    <w:p w14:paraId="54619C34" w14:textId="77777777" w:rsidR="00287819" w:rsidRDefault="00287819" w:rsidP="00287819">
      <w:pPr>
        <w:pStyle w:val="Heading2"/>
      </w:pPr>
      <w:r>
        <w:t>1.2 Leveraged launch (optional)</w:t>
      </w:r>
    </w:p>
    <w:p w14:paraId="3FB25454" w14:textId="77777777" w:rsidR="00287819" w:rsidRDefault="00287819" w:rsidP="00287819">
      <w:r>
        <w:t>Policy choice: On activation, FUND may be jump-started using bank-created credit, accelerating broad ownership rather than relying only on gradual accumulation.</w:t>
      </w:r>
    </w:p>
    <w:p w14:paraId="3759E166" w14:textId="77777777" w:rsidR="00287819" w:rsidRDefault="00287819" w:rsidP="00287819">
      <w:r>
        <w:t xml:space="preserve">Implementation note: If </w:t>
      </w:r>
      <w:proofErr w:type="spellStart"/>
      <w:r>
        <w:t>trust_launch_loan</w:t>
      </w:r>
      <w:proofErr w:type="spellEnd"/>
      <w:r>
        <w:t xml:space="preserve"> &gt; 0, the bank lends to FUND (creating FUND deposits) and FUND purchases 10% of each issuer’s outstanding shares (FA, FH, BANK) from the aggregate household sector, paying proceeds to households equally. If </w:t>
      </w:r>
      <w:proofErr w:type="spellStart"/>
      <w:r>
        <w:t>trust_launch_loan</w:t>
      </w:r>
      <w:proofErr w:type="spellEnd"/>
      <w:r>
        <w:t xml:space="preserve"> = 0, the Trust activates but skips this step.</w:t>
      </w:r>
    </w:p>
    <w:p w14:paraId="0E28D974" w14:textId="77777777" w:rsidR="00287819" w:rsidRDefault="00287819" w:rsidP="00287819">
      <w:pPr>
        <w:pStyle w:val="Heading2"/>
      </w:pPr>
      <w:r>
        <w:lastRenderedPageBreak/>
        <w:t>1.3 Ongoing social dilution (new share issuance) with an explicit cap</w:t>
      </w:r>
    </w:p>
    <w:p w14:paraId="502AF0FC" w14:textId="77777777" w:rsidR="00287819" w:rsidRDefault="00287819" w:rsidP="00287819">
      <w:r>
        <w:t>Policy choice: Firms can issue new equity allocated to FUND, diluting existing holders. This builds social ownership via dilution rather than explicit confiscation. A hard cap limits how far FUND’s ownership share can rise.</w:t>
      </w:r>
    </w:p>
    <w:p w14:paraId="1A6BD615" w14:textId="77777777" w:rsidR="00287819" w:rsidRDefault="00287819" w:rsidP="00287819">
      <w:r>
        <w:t>Implementation note: The model implements a steady dilution rate (annualized) until FUND reaches the configured ownership cap per issuer.</w:t>
      </w:r>
    </w:p>
    <w:p w14:paraId="360091A3" w14:textId="77777777" w:rsidR="00287819" w:rsidRDefault="00287819" w:rsidP="00287819">
      <w:pPr>
        <w:pStyle w:val="Heading2"/>
      </w:pPr>
      <w:r>
        <w:t>1.4 Debt-first rule for the Trust</w:t>
      </w:r>
    </w:p>
    <w:p w14:paraId="4EDFE1EC" w14:textId="77777777" w:rsidR="00287819" w:rsidRDefault="00287819" w:rsidP="00287819">
      <w:r>
        <w:t>Policy choice: If FUND has outstanding debt from a launch loan, FUND deposits are used first to pay down that debt before any transfers. Trust leverage is treated as temporary.</w:t>
      </w:r>
    </w:p>
    <w:p w14:paraId="7DEAEE0D" w14:textId="77777777" w:rsidR="00287819" w:rsidRDefault="00287819" w:rsidP="00287819">
      <w:pPr>
        <w:pStyle w:val="Heading2"/>
      </w:pPr>
      <w:r>
        <w:t>1.5 Treatment of residual Trust balances (optional)</w:t>
      </w:r>
    </w:p>
    <w:p w14:paraId="38BB6854" w14:textId="77777777" w:rsidR="00287819" w:rsidRDefault="00287819" w:rsidP="00287819">
      <w:r>
        <w:t>Policy choice: A configurable rule determines whether residual FUND balances remain ring-fenced for citizens via the Trust or may be swept to government as an additional fiscal backstop.</w:t>
      </w:r>
    </w:p>
    <w:p w14:paraId="089E1EE2" w14:textId="77777777" w:rsidR="00287819" w:rsidRDefault="00287819" w:rsidP="00287819">
      <w:pPr>
        <w:pStyle w:val="Heading1"/>
      </w:pPr>
      <w:r>
        <w:t>2. Universal Basic Income (UBI)</w:t>
      </w:r>
    </w:p>
    <w:p w14:paraId="351378B4" w14:textId="77777777" w:rsidR="00287819" w:rsidRDefault="00287819" w:rsidP="00287819">
      <w:pPr>
        <w:pStyle w:val="Heading2"/>
      </w:pPr>
      <w:r>
        <w:t>2.1 UBI targets a baseline real-income pool</w:t>
      </w:r>
    </w:p>
    <w:p w14:paraId="470A587F" w14:textId="77777777" w:rsidR="00287819" w:rsidRDefault="00287819" w:rsidP="00287819">
      <w:r>
        <w:t>Policy choice: UBI fills the gap between current market incomes and a target income pool defined in real terms from the baseline. Conceptually, it maintains a social income floor indexed to the price level.</w:t>
      </w:r>
    </w:p>
    <w:p w14:paraId="72F1E86F" w14:textId="77777777" w:rsidR="00287819" w:rsidRDefault="00287819" w:rsidP="00287819">
      <w:r>
        <w:t>Implementation note: The baseline target is stored in real terms and re-inflated each tick using the tax-exclusive producer price level P, not the VAT-inclusive consumer price.</w:t>
      </w:r>
    </w:p>
    <w:p w14:paraId="456EE488" w14:textId="77777777" w:rsidR="00287819" w:rsidRDefault="00287819" w:rsidP="00287819">
      <w:pPr>
        <w:pStyle w:val="Heading2"/>
      </w:pPr>
      <w:r>
        <w:t>2.2 UBI ratchet (non-decreasing)</w:t>
      </w:r>
    </w:p>
    <w:p w14:paraId="4A421923" w14:textId="77777777" w:rsidR="00287819" w:rsidRDefault="00287819" w:rsidP="00287819">
      <w:r>
        <w:t>Policy choice: Once UBI rises, it cannot fall. This models policy commitment and prevents the model from assuming procyclical rollbacks.</w:t>
      </w:r>
    </w:p>
    <w:p w14:paraId="64CB247C" w14:textId="77777777" w:rsidR="00287819" w:rsidRDefault="00287819" w:rsidP="00287819">
      <w:pPr>
        <w:pStyle w:val="Heading2"/>
      </w:pPr>
      <w:r>
        <w:t>2.3 UBI funding hierarchy (hybrid monetary and fiscal financing)</w:t>
      </w:r>
    </w:p>
    <w:p w14:paraId="6043A1E8" w14:textId="77777777" w:rsidR="00287819" w:rsidRDefault="00287819" w:rsidP="00287819">
      <w:r>
        <w:t>Policy choice: UBI is funded through a layered stack: a fixed share via issuance, then Trust deposits, then government deposits, with issuance again as the backstop.</w:t>
      </w:r>
    </w:p>
    <w:p w14:paraId="1DA71A99" w14:textId="77777777" w:rsidR="00287819" w:rsidRDefault="00287819" w:rsidP="00287819">
      <w:r>
        <w:t>Implementation note: The first-layer issuance share is configurable.</w:t>
      </w:r>
    </w:p>
    <w:p w14:paraId="2EB426D7" w14:textId="77777777" w:rsidR="00287819" w:rsidRDefault="00287819" w:rsidP="00287819">
      <w:pPr>
        <w:pStyle w:val="Heading1"/>
      </w:pPr>
      <w:r>
        <w:lastRenderedPageBreak/>
        <w:t>3. VAT plus low-income VAT credit (</w:t>
      </w:r>
      <w:proofErr w:type="spellStart"/>
      <w:r>
        <w:t>prebate</w:t>
      </w:r>
      <w:proofErr w:type="spellEnd"/>
      <w:r>
        <w:t>)</w:t>
      </w:r>
    </w:p>
    <w:p w14:paraId="5042D5FA" w14:textId="77777777" w:rsidR="00287819" w:rsidRDefault="00287819" w:rsidP="00287819">
      <w:pPr>
        <w:pStyle w:val="Heading2"/>
      </w:pPr>
      <w:r>
        <w:t>3.1 VAT as a tax-exclusive consumption wedge</w:t>
      </w:r>
    </w:p>
    <w:p w14:paraId="2F17C9CA" w14:textId="77777777" w:rsidR="00287819" w:rsidRDefault="00287819" w:rsidP="00287819">
      <w:r>
        <w:t>Policy choice: VAT raises consumer prices relative to producer prices, taxing consumption broadly and affecting real purchasing power.</w:t>
      </w:r>
    </w:p>
    <w:p w14:paraId="3EA5086D" w14:textId="77777777" w:rsidR="00287819" w:rsidRDefault="00287819" w:rsidP="00287819">
      <w:r>
        <w:t>Implementation note: Consumer price = producer price x (1 + VAT rate).</w:t>
      </w:r>
    </w:p>
    <w:p w14:paraId="5C41005B" w14:textId="77777777" w:rsidR="00287819" w:rsidRDefault="00287819" w:rsidP="00287819">
      <w:pPr>
        <w:pStyle w:val="Heading2"/>
      </w:pPr>
      <w:r>
        <w:t xml:space="preserve">3.2 </w:t>
      </w:r>
      <w:proofErr w:type="spellStart"/>
      <w:r>
        <w:t>Prebate</w:t>
      </w:r>
      <w:proofErr w:type="spellEnd"/>
      <w:r>
        <w:t xml:space="preserve"> for households below an eligibility cutoff</w:t>
      </w:r>
    </w:p>
    <w:p w14:paraId="44B79D31" w14:textId="77777777" w:rsidR="00287819" w:rsidRDefault="00287819" w:rsidP="00287819">
      <w:r>
        <w:t>Policy choice: A targeted VAT credit offsets regressive effects for lower-income households.</w:t>
      </w:r>
    </w:p>
    <w:p w14:paraId="53163D7C" w14:textId="77777777" w:rsidR="00287819" w:rsidRDefault="00287819" w:rsidP="00287819">
      <w:r>
        <w:t xml:space="preserve">Implementation note: The credit uses a poverty-line consumption proxy anchored to baseline average real consumption per household and scaled to nominal using P. VAT credit phases out linearly with rising income, from a </w:t>
      </w:r>
      <w:proofErr w:type="spellStart"/>
      <w:r>
        <w:t>start_percentile</w:t>
      </w:r>
      <w:proofErr w:type="spellEnd"/>
      <w:r>
        <w:t xml:space="preserve"> to an </w:t>
      </w:r>
      <w:proofErr w:type="spellStart"/>
      <w:r w:rsidRPr="00DB207E">
        <w:rPr>
          <w:i/>
          <w:iCs/>
        </w:rPr>
        <w:t>end_percentile</w:t>
      </w:r>
      <w:proofErr w:type="spellEnd"/>
      <w:r>
        <w:t xml:space="preserve"> which are parameters of the model.</w:t>
      </w:r>
    </w:p>
    <w:p w14:paraId="1741B257" w14:textId="77777777" w:rsidR="00287819" w:rsidRDefault="00287819" w:rsidP="00287819">
      <w:pPr>
        <w:pStyle w:val="Heading2"/>
      </w:pPr>
      <w:r>
        <w:t xml:space="preserve">3.3 Funding rule for the </w:t>
      </w:r>
      <w:proofErr w:type="spellStart"/>
      <w:r>
        <w:t>prebate</w:t>
      </w:r>
      <w:proofErr w:type="spellEnd"/>
    </w:p>
    <w:p w14:paraId="4E63637C" w14:textId="77777777" w:rsidR="00287819" w:rsidRDefault="00287819" w:rsidP="00287819">
      <w:r>
        <w:t xml:space="preserve">Policy choice: The </w:t>
      </w:r>
      <w:proofErr w:type="spellStart"/>
      <w:r>
        <w:t>prebate</w:t>
      </w:r>
      <w:proofErr w:type="spellEnd"/>
      <w:r>
        <w:t xml:space="preserve"> is guaranteed: paid from government </w:t>
      </w:r>
      <w:proofErr w:type="gramStart"/>
      <w:r>
        <w:t>deposits</w:t>
      </w:r>
      <w:proofErr w:type="gramEnd"/>
      <w:r>
        <w:t xml:space="preserve"> when possible, otherwise completed via issuance.</w:t>
      </w:r>
    </w:p>
    <w:p w14:paraId="55EC6882" w14:textId="77777777" w:rsidR="00287819" w:rsidRDefault="00287819" w:rsidP="00287819">
      <w:pPr>
        <w:pStyle w:val="Heading1"/>
      </w:pPr>
      <w:r>
        <w:t>4. Income tax design</w:t>
      </w:r>
    </w:p>
    <w:p w14:paraId="6972229C" w14:textId="77777777" w:rsidR="00287819" w:rsidRDefault="00287819" w:rsidP="00287819">
      <w:pPr>
        <w:pStyle w:val="Heading2"/>
      </w:pPr>
      <w:r>
        <w:t>4.1 Tax base excludes UBI</w:t>
      </w:r>
    </w:p>
    <w:p w14:paraId="5AA69D47" w14:textId="77777777" w:rsidR="00287819" w:rsidRDefault="00287819" w:rsidP="00287819">
      <w:r>
        <w:t>Policy choice: Income tax applies to market income (wages and dividends) and excludes UBI transfers from the tax base.</w:t>
      </w:r>
    </w:p>
    <w:p w14:paraId="44EC8821" w14:textId="77777777" w:rsidR="00287819" w:rsidRDefault="00287819" w:rsidP="00287819">
      <w:pPr>
        <w:pStyle w:val="Heading2"/>
      </w:pPr>
      <w:r>
        <w:t>4.2 Marginal tax above a percentile-defined cutoff</w:t>
      </w:r>
    </w:p>
    <w:p w14:paraId="412F43F0" w14:textId="77777777" w:rsidR="00287819" w:rsidRDefault="00287819" w:rsidP="00287819">
      <w:r>
        <w:t>Policy choice: The model uses a simple progressive structure: a zero-rate band up to a cutoff, then a flat marginal rate above it. The cutoff is defined each tick by an income percentile rather than a fixed nominal threshold.</w:t>
      </w:r>
    </w:p>
    <w:p w14:paraId="4D4E21E2" w14:textId="77777777" w:rsidR="00287819" w:rsidRDefault="00287819" w:rsidP="00287819">
      <w:pPr>
        <w:pStyle w:val="Heading1"/>
      </w:pPr>
      <w:r>
        <w:t>5. Corporate income tax</w:t>
      </w:r>
    </w:p>
    <w:p w14:paraId="4976B0D2" w14:textId="77777777" w:rsidR="00287819" w:rsidRDefault="00287819" w:rsidP="00287819">
      <w:pPr>
        <w:pStyle w:val="Heading2"/>
      </w:pPr>
      <w:r>
        <w:t>5.1 Broad corporate tax base</w:t>
      </w:r>
    </w:p>
    <w:p w14:paraId="696A3A55" w14:textId="77777777" w:rsidR="00287819" w:rsidRDefault="00287819" w:rsidP="00287819">
      <w:r>
        <w:t>Policy choice: Corporate profits are taxed upstream, before distribution or retention.</w:t>
      </w:r>
    </w:p>
    <w:p w14:paraId="2B4CCB1D" w14:textId="77777777" w:rsidR="00287819" w:rsidRDefault="00287819" w:rsidP="00287819">
      <w:pPr>
        <w:pStyle w:val="Heading2"/>
      </w:pPr>
      <w:r>
        <w:lastRenderedPageBreak/>
        <w:t>5.2 Dynamic corporate tax linked to wage decline (optional automatic stabilizer)</w:t>
      </w:r>
    </w:p>
    <w:p w14:paraId="3C18D128" w14:textId="77777777" w:rsidR="00287819" w:rsidRDefault="00287819" w:rsidP="00287819">
      <w:r>
        <w:t>Policy choice: The corporate tax rate can rise automatically as total wages fall relative to baseline, shifting the burden toward capital as labor income erodes.</w:t>
      </w:r>
    </w:p>
    <w:p w14:paraId="1F1CB929" w14:textId="77777777" w:rsidR="00287819" w:rsidRDefault="00287819" w:rsidP="00287819">
      <w:r>
        <w:t>Implementation note: The rate is clamped between configured minimum and maximum bounds.</w:t>
      </w:r>
    </w:p>
    <w:p w14:paraId="2BF81444" w14:textId="77777777" w:rsidR="00287819" w:rsidRDefault="00287819" w:rsidP="00287819">
      <w:pPr>
        <w:pStyle w:val="Heading1"/>
      </w:pPr>
      <w:r>
        <w:t>6. Government surplus recycling (optional)</w:t>
      </w:r>
    </w:p>
    <w:p w14:paraId="672E3B49" w14:textId="77777777" w:rsidR="00287819" w:rsidRDefault="00287819" w:rsidP="00287819">
      <w:r>
        <w:t>Policy choice: Government may rebate a share of its remaining deposits each tick back to households, preventing the government sector from becoming a passive fiscal sink.</w:t>
      </w:r>
    </w:p>
    <w:p w14:paraId="73A53D67" w14:textId="77777777" w:rsidR="00287819" w:rsidRDefault="00287819" w:rsidP="00287819">
      <w:r>
        <w:t>Implementation note: The rebate pool is a fraction of the post-transfer government balance. Distribution is proportional to each household’s taxes paid that tick (VAT wedge + income tax), or equal per household if no taxes were paid.</w:t>
      </w:r>
    </w:p>
    <w:p w14:paraId="2531891D" w14:textId="77777777" w:rsidR="00287819" w:rsidRDefault="00287819" w:rsidP="00287819">
      <w:pPr>
        <w:pStyle w:val="Heading1"/>
      </w:pPr>
      <w:r>
        <w:t>7. Monetary and credit regime (institutional rules)</w:t>
      </w:r>
    </w:p>
    <w:p w14:paraId="7865D833" w14:textId="77777777" w:rsidR="00287819" w:rsidRDefault="00287819" w:rsidP="00287819">
      <w:pPr>
        <w:pStyle w:val="Heading2"/>
      </w:pPr>
      <w:r>
        <w:t>7.1 Single loan interest rate</w:t>
      </w:r>
    </w:p>
    <w:p w14:paraId="76242558" w14:textId="77777777" w:rsidR="00287819" w:rsidRDefault="00287819" w:rsidP="00287819">
      <w:r>
        <w:t>Policy choice: The model uses a single quarterly loan rate applied to relevant credit balances.</w:t>
      </w:r>
    </w:p>
    <w:p w14:paraId="63B994BB" w14:textId="77777777" w:rsidR="00287819" w:rsidRDefault="00287819" w:rsidP="00287819">
      <w:pPr>
        <w:pStyle w:val="Heading2"/>
      </w:pPr>
      <w:r>
        <w:t>7.2 Household deleveraging rule with priority ordering</w:t>
      </w:r>
    </w:p>
    <w:p w14:paraId="618BBC33" w14:textId="77777777" w:rsidR="00287819" w:rsidRDefault="00287819" w:rsidP="00287819">
      <w:r>
        <w:t>Policy choice: Households repay principal in a cashflow-constrained manner, prioritizing revolving debt before mortgage debt.</w:t>
      </w:r>
    </w:p>
    <w:p w14:paraId="48BFCA71" w14:textId="77777777" w:rsidR="00287819" w:rsidRDefault="00287819" w:rsidP="00287819">
      <w:pPr>
        <w:pStyle w:val="Heading2"/>
      </w:pPr>
      <w:r>
        <w:t>7.3 Automatic overdraft-to-credit conversion (no hard default)</w:t>
      </w:r>
    </w:p>
    <w:p w14:paraId="00C629B2" w14:textId="77777777" w:rsidR="00287819" w:rsidRDefault="00287819" w:rsidP="00287819">
      <w:r>
        <w:t>Policy choice: If household deposits would go negative, the shortfall becomes revolving debt. Default cascades are not modeled; liquidity shortfalls are treated as bank credit expansion.</w:t>
      </w:r>
    </w:p>
    <w:p w14:paraId="4D3A4092" w14:textId="77777777" w:rsidR="00287819" w:rsidRDefault="00287819" w:rsidP="00287819">
      <w:r>
        <w:t>Risks: (</w:t>
      </w:r>
      <w:proofErr w:type="spellStart"/>
      <w:r>
        <w:t>i</w:t>
      </w:r>
      <w:proofErr w:type="spellEnd"/>
      <w:r>
        <w:t>) can create fiscal/Trust/issuance burden when gaps are large; (ii) can subsidize borrowers and banks simultaneously with distributional tradeoffs; (iii) adds parameter complexity and calibration sensitivity; (iv) does not replace the need to model real-world housing and default dynamics if the simulation is extended in that direction.</w:t>
      </w:r>
    </w:p>
    <w:p w14:paraId="4ECBEFA4" w14:textId="77777777" w:rsidR="00287819" w:rsidRDefault="00287819" w:rsidP="00287819">
      <w:r>
        <w:t>Advantages: (</w:t>
      </w:r>
      <w:proofErr w:type="spellStart"/>
      <w:r>
        <w:t>i</w:t>
      </w:r>
      <w:proofErr w:type="spellEnd"/>
      <w:r>
        <w:t>) reduces mortgage payment pressure in deflationary phases; (ii) lowers mortgage-driven overdraft stress; (iii) preserves bank capital incentives when neutralization is enabled; (iv) uses gradual adjustment (smoothing + corridor); (v) fully parameterized and switchable for stress testing.</w:t>
      </w:r>
    </w:p>
    <w:p w14:paraId="00B53A47" w14:textId="77777777" w:rsidR="00287819" w:rsidRDefault="00287819" w:rsidP="00287819">
      <w:pPr>
        <w:pStyle w:val="Heading2"/>
      </w:pPr>
      <w:r>
        <w:lastRenderedPageBreak/>
        <w:t>7.4 Mortgage indexing policy (deflation stabilization)</w:t>
      </w:r>
    </w:p>
    <w:p w14:paraId="43896526" w14:textId="77777777" w:rsidR="00287819" w:rsidRDefault="00287819" w:rsidP="00287819">
      <w:pPr>
        <w:rPr>
          <w:rFonts w:ascii="Times New Roman" w:eastAsia="Times New Roman" w:hAnsi="Times New Roman"/>
        </w:rPr>
      </w:pPr>
      <w:r>
        <w:t>The defining feature of a successful transition to machine-intelligence automation is hyper-abundance, which appears macroeconomically as severe structural deflation. Falling prices enlarge real purchasing power for current consumption, but they also expose a dangerous weakness in the inherited financial order. Mortgages, bonds, and other debt contracts remain fixed in nominal terms. As prices and incomes fall, the real burden of those fixed payments rises. Households are then driven toward overdraft and revolving-credit stress, which the model can approximate in a general way through its no-hard-default rule, but which is not a realistic long-run substitute for mortgage adjustment itself. This policy therefore makes the mortgage-relief channel explicit and parameterized.</w:t>
      </w:r>
    </w:p>
    <w:p w14:paraId="08FA34DB" w14:textId="77777777" w:rsidR="00287819" w:rsidRPr="00715120" w:rsidRDefault="00287819" w:rsidP="00287819">
      <w:r w:rsidRPr="00715120">
        <w:t>In a traditional economy, a 30-year fixed-rate mortgage is a cornerstone of middle-class financial stability. But in an AI-driven deflationary environment, where both prices and wage-incomes are falling rapidly, the </w:t>
      </w:r>
      <w:r w:rsidRPr="00715120">
        <w:rPr>
          <w:i/>
          <w:iCs/>
        </w:rPr>
        <w:t>real</w:t>
      </w:r>
      <w:r w:rsidRPr="00715120">
        <w:t> burden of that fixed nominal payment skyrockets. If a household's nominal income is cut in half by automation, a fixed $2,000 monthly mortgage effectively becomes a $4,000 monthly burden.</w:t>
      </w:r>
    </w:p>
    <w:p w14:paraId="01CA7088" w14:textId="77777777" w:rsidR="00287819" w:rsidRPr="00715120" w:rsidRDefault="00287819" w:rsidP="00287819">
      <w:r w:rsidRPr="00715120">
        <w:t>Historically, this triggers Irving Fisher’s classic debt-deflation spiral: households drastically slash consumption to service their crushing debt, which destroys aggregate demand, driving prices even lower</w:t>
      </w:r>
      <w:r>
        <w:t>.</w:t>
      </w:r>
      <w:r w:rsidRPr="00715120">
        <w:t xml:space="preserve"> </w:t>
      </w:r>
      <w:r>
        <w:t>U</w:t>
      </w:r>
      <w:r w:rsidRPr="00715120">
        <w:t>ltimately</w:t>
      </w:r>
      <w:r>
        <w:t xml:space="preserve">, </w:t>
      </w:r>
      <w:r w:rsidRPr="00715120">
        <w:t>mass defaults wipe out bank equity and freeze the credit system.</w:t>
      </w:r>
    </w:p>
    <w:p w14:paraId="4E4BC302" w14:textId="77777777" w:rsidR="00287819" w:rsidRPr="00715120" w:rsidRDefault="00287819" w:rsidP="00287819">
      <w:r>
        <w:t>T</w:t>
      </w:r>
      <w:r w:rsidRPr="00715120">
        <w:t xml:space="preserve">his dynamic </w:t>
      </w:r>
      <w:r>
        <w:t xml:space="preserve">also </w:t>
      </w:r>
      <w:r w:rsidRPr="00715120">
        <w:t xml:space="preserve">introduces a paralyzing "lock-in effect." If the nominal value of homes falls alongside the broader price level, households become trapped underwater. They </w:t>
      </w:r>
      <w:r>
        <w:t>can’t</w:t>
      </w:r>
      <w:r w:rsidRPr="00715120">
        <w:t xml:space="preserve"> sell their homes to move for new opportunities or downsize, </w:t>
      </w:r>
      <w:r>
        <w:t>which freezes</w:t>
      </w:r>
      <w:r w:rsidRPr="00715120">
        <w:t xml:space="preserve"> labor and housing mobility precisely when the economy requires maximum structural flexibility.</w:t>
      </w:r>
    </w:p>
    <w:p w14:paraId="4B850702" w14:textId="77777777" w:rsidR="00287819" w:rsidRDefault="00287819" w:rsidP="00287819">
      <w:pPr>
        <w:pStyle w:val="Heading3"/>
      </w:pPr>
      <w:r>
        <w:t xml:space="preserve">7.4.1 </w:t>
      </w:r>
      <w:r w:rsidRPr="00715120">
        <w:t xml:space="preserve">Policy Choice: Hybrid Index </w:t>
      </w:r>
      <w:r>
        <w:t xml:space="preserve">and </w:t>
      </w:r>
      <w:r w:rsidRPr="00715120">
        <w:t xml:space="preserve">Neutralization </w:t>
      </w:r>
    </w:p>
    <w:p w14:paraId="496ABC0E" w14:textId="77777777" w:rsidR="00287819" w:rsidRPr="00715120" w:rsidRDefault="00287819" w:rsidP="00287819">
      <w:r w:rsidRPr="00715120">
        <w:t>To preserve the capitalist credit engine and protect the fixed-income market (the primary asset base of the banking sector), </w:t>
      </w:r>
      <w:r>
        <w:rPr>
          <w:i/>
          <w:iCs/>
        </w:rPr>
        <w:t>New Loop</w:t>
      </w:r>
      <w:r w:rsidRPr="00715120">
        <w:t> introduces a dynamic indexing and neutralization mechanism. The policy explicitly rejects both the liquidation of the middle class (mass default) and the destruction of bank capital (forced loan write-downs).</w:t>
      </w:r>
    </w:p>
    <w:p w14:paraId="1EBD473F" w14:textId="77777777" w:rsidR="00287819" w:rsidRPr="00715120" w:rsidRDefault="00287819" w:rsidP="00287819">
      <w:r w:rsidRPr="00715120">
        <w:t>The policy operates in two steps:</w:t>
      </w:r>
    </w:p>
    <w:p w14:paraId="5E62ED6A" w14:textId="77777777" w:rsidR="00287819" w:rsidRDefault="00287819" w:rsidP="00287819">
      <w:pPr>
        <w:pStyle w:val="Heading4"/>
      </w:pPr>
      <w:r>
        <w:t>a</w:t>
      </w:r>
      <w:r w:rsidRPr="00715120">
        <w:t>. The Hybrid Index (Protecting the Household) </w:t>
      </w:r>
    </w:p>
    <w:p w14:paraId="143AD7D3" w14:textId="77777777" w:rsidR="00287819" w:rsidRPr="00715120" w:rsidRDefault="00287819" w:rsidP="00287819">
      <w:r w:rsidRPr="00715120">
        <w:t>The required contractual payment for legacy household debt is dynamically adjusted downward using a geometric blend of a Price Series and an Income Series. By tracking the </w:t>
      </w:r>
      <w:r>
        <w:rPr>
          <w:i/>
          <w:iCs/>
        </w:rPr>
        <w:t>existing</w:t>
      </w:r>
      <w:r w:rsidRPr="00715120">
        <w:rPr>
          <w:i/>
          <w:iCs/>
        </w:rPr>
        <w:t xml:space="preserve"> </w:t>
      </w:r>
      <w:r>
        <w:rPr>
          <w:i/>
          <w:iCs/>
        </w:rPr>
        <w:t>deflationary</w:t>
      </w:r>
      <w:r w:rsidRPr="00715120">
        <w:t> </w:t>
      </w:r>
      <w:r w:rsidRPr="00FB633B">
        <w:rPr>
          <w:i/>
          <w:iCs/>
        </w:rPr>
        <w:t>path</w:t>
      </w:r>
      <w:r w:rsidRPr="00715120">
        <w:t xml:space="preserve"> rather than the original origination amount, the relief scales precisely with the dual squeeze of the transition: it adjusts for both the drop in the cost of living and the collapse of the wage share.</w:t>
      </w:r>
    </w:p>
    <w:p w14:paraId="307664BD" w14:textId="77777777" w:rsidR="00287819" w:rsidRPr="00715120" w:rsidRDefault="00287819" w:rsidP="00287819">
      <w:r w:rsidRPr="00715120">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49036B25" w14:textId="77777777" w:rsidR="00287819" w:rsidRDefault="00287819" w:rsidP="00287819">
      <w:pPr>
        <w:pStyle w:val="Heading4"/>
      </w:pPr>
      <w:r>
        <w:lastRenderedPageBreak/>
        <w:t>b</w:t>
      </w:r>
      <w:r w:rsidRPr="00715120">
        <w:t>. The Neutralization Transfer (Protecting the Bondholder) </w:t>
      </w:r>
    </w:p>
    <w:p w14:paraId="23324508" w14:textId="77777777" w:rsidR="00287819" w:rsidRPr="00715120" w:rsidRDefault="00287819" w:rsidP="00287819">
      <w:r w:rsidRPr="00715120">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i/>
          <w:iCs/>
        </w:rPr>
        <w:t>Deflationary Gap</w:t>
      </w:r>
      <w:r w:rsidRPr="00715120">
        <w:t>.</w:t>
      </w:r>
    </w:p>
    <w:p w14:paraId="5A8F0E89" w14:textId="77777777" w:rsidR="00287819" w:rsidRPr="00715120" w:rsidRDefault="00287819" w:rsidP="00287819">
      <w:r w:rsidRPr="00715120">
        <w:t>The policy choice is to fund this gap through the macroeconomic state via a targeted transfer. The Government node steps in to make the banking sector whole, paying the gap</w:t>
      </w:r>
      <w:r>
        <w:t xml:space="preserve"> </w:t>
      </w:r>
      <w:r w:rsidRPr="00715120">
        <w:t>directly to the lenders.</w:t>
      </w:r>
    </w:p>
    <w:p w14:paraId="3D2D7450" w14:textId="77777777" w:rsidR="00287819" w:rsidRPr="0012325B" w:rsidRDefault="00287819" w:rsidP="00287819">
      <w:pPr>
        <w:pStyle w:val="Heading3"/>
      </w:pPr>
      <w:r>
        <w:t xml:space="preserve">7.4.2 </w:t>
      </w:r>
      <w:r w:rsidRPr="00715120">
        <w:t>Why It Works </w:t>
      </w:r>
    </w:p>
    <w:p w14:paraId="13D3F309" w14:textId="77777777" w:rsidR="00287819" w:rsidRPr="00F22CE0" w:rsidRDefault="00287819" w:rsidP="00287819">
      <w:pPr>
        <w:rPr>
          <w:rFonts w:ascii="Times New Roman" w:eastAsia="Times New Roman" w:hAnsi="Times New Roman"/>
        </w:rPr>
      </w:pPr>
      <w:r w:rsidRPr="00715120">
        <w:rPr>
          <w:rFonts w:eastAsia="Times New Roman" w:cs="Times New Roman"/>
          <w:color w:val="000000"/>
        </w:rPr>
        <w:t xml:space="preserve">The political economy of a "bank bailout" </w:t>
      </w:r>
      <w:r>
        <w:rPr>
          <w:rFonts w:eastAsia="Times New Roman" w:cs="Times New Roman"/>
          <w:color w:val="000000"/>
        </w:rPr>
        <w:t xml:space="preserve">can be </w:t>
      </w:r>
      <w:r w:rsidRPr="00715120">
        <w:rPr>
          <w:rFonts w:eastAsia="Times New Roman" w:cs="Times New Roman"/>
          <w:color w:val="000000"/>
        </w:rPr>
        <w:t xml:space="preserve">toxic, as it implies taxing human labor to save institutional capital. </w:t>
      </w:r>
      <w:r>
        <w:t>In the 2008 financial crisis, bank bailouts triggered generational political outrage because they were funded by public debt while households were left to default. T</w:t>
      </w:r>
      <w:r w:rsidRPr="00715120">
        <w:rPr>
          <w:rFonts w:eastAsia="Times New Roman" w:cs="Times New Roman"/>
          <w:color w:val="000000"/>
        </w:rPr>
        <w:t>his dynamic is inverted in the hyper-abundant automation scenario.</w:t>
      </w:r>
    </w:p>
    <w:p w14:paraId="451F6F2B" w14:textId="77777777" w:rsidR="00287819" w:rsidRPr="00715120" w:rsidRDefault="00287819" w:rsidP="00287819">
      <w:r>
        <w:t>A</w:t>
      </w:r>
      <w:r w:rsidRPr="00715120">
        <w:t xml:space="preserve">ggregate demand remains </w:t>
      </w:r>
      <w:r>
        <w:t xml:space="preserve">reasonably </w:t>
      </w:r>
      <w:r w:rsidRPr="00715120">
        <w:t xml:space="preserve">high </w:t>
      </w:r>
      <w:r>
        <w:t>b</w:t>
      </w:r>
      <w:r w:rsidRPr="00715120">
        <w:t xml:space="preserve">ecause the Trust and </w:t>
      </w:r>
      <w:r>
        <w:t>Universal Basic Income</w:t>
      </w:r>
      <w:r w:rsidRPr="00715120">
        <w:t xml:space="preserve"> keep the consumer base solvent</w:t>
      </w:r>
      <w:r>
        <w:t>.</w:t>
      </w:r>
      <w:r w:rsidRPr="00715120">
        <w:t xml:space="preserve"> </w:t>
      </w:r>
      <w:r>
        <w:t>The</w:t>
      </w:r>
      <w:r w:rsidRPr="00715120">
        <w:t xml:space="preserve"> highly automated corporate sector generates </w:t>
      </w:r>
      <w:proofErr w:type="gramStart"/>
      <w:r>
        <w:t>large</w:t>
      </w:r>
      <w:r w:rsidRPr="00715120">
        <w:t xml:space="preserve"> retained</w:t>
      </w:r>
      <w:proofErr w:type="gramEnd"/>
      <w:r w:rsidRPr="00715120">
        <w:t xml:space="preserve"> earnings</w:t>
      </w:r>
      <w:r>
        <w:t xml:space="preserve"> because demand is supported, though t</w:t>
      </w:r>
      <w:r w:rsidRPr="00715120">
        <w:t>he dynamic Corporate Tax and the VAT capture a portion of this surplus.</w:t>
      </w:r>
    </w:p>
    <w:p w14:paraId="61F8A8B9" w14:textId="77777777" w:rsidR="00287819" w:rsidRDefault="00287819" w:rsidP="00287819">
      <w:r w:rsidRPr="00715120">
        <w:t>Simulation runs demonstrate that these</w:t>
      </w:r>
      <w:r>
        <w:t xml:space="preserve"> </w:t>
      </w:r>
      <w:r w:rsidRPr="00715120">
        <w:t>endogenous tax receipts are sufficient to fully cover the </w:t>
      </w:r>
      <w:r>
        <w:t>bank support transfer</w:t>
      </w:r>
      <w:r w:rsidRPr="00715120">
        <w:t xml:space="preserve"> without triggering inflationary monetary issuance. </w:t>
      </w:r>
      <w:r>
        <w:t>H</w:t>
      </w:r>
      <w:r w:rsidRPr="00715120">
        <w:t>ouseholds keep their homes</w:t>
      </w:r>
      <w:r>
        <w:t xml:space="preserve"> </w:t>
      </w:r>
      <w:r w:rsidRPr="00715120">
        <w:t xml:space="preserve">and the transition to a high-wealth, low-wage economy crosses </w:t>
      </w:r>
      <w:r>
        <w:t>Fisher’s</w:t>
      </w:r>
      <w:r w:rsidRPr="00715120">
        <w:t xml:space="preserve"> "valley of death" with its financial infrastructure intact.</w:t>
      </w:r>
      <w:r>
        <w:t xml:space="preserve"> Because mortgage lenders are made whole from the corporate profits that automation is generating, supporting the lenders isn’t an unfair public burden. It is effectively a macroeconomic stability premium.</w:t>
      </w:r>
    </w:p>
    <w:p w14:paraId="1B6DB4D3" w14:textId="77777777" w:rsidR="00287819" w:rsidRDefault="00287819" w:rsidP="00287819">
      <w:pPr>
        <w:pStyle w:val="Heading3"/>
      </w:pPr>
      <w:r>
        <w:t>7.4.3 Mortgage index definition</w:t>
      </w:r>
    </w:p>
    <w:p w14:paraId="5ABEC08B" w14:textId="77777777" w:rsidR="00287819" w:rsidRDefault="00287819" w:rsidP="00287819">
      <w:r>
        <w:t>Each quarter, the model updates a mortgage index I based on a geometric blend of (</w:t>
      </w:r>
      <w:proofErr w:type="spellStart"/>
      <w:r>
        <w:t>i</w:t>
      </w:r>
      <w:proofErr w:type="spellEnd"/>
      <w:r>
        <w:t>) a price level series and (ii) a nominal household income series:</w:t>
      </w:r>
    </w:p>
    <w:p w14:paraId="62ED6FAF" w14:textId="77777777" w:rsidR="00287819" w:rsidRDefault="00287819" w:rsidP="00287819">
      <w:r>
        <w:t>Δ ln(</w:t>
      </w:r>
      <w:proofErr w:type="spellStart"/>
      <w:r>
        <w:t>I_t</w:t>
      </w:r>
      <w:proofErr w:type="spellEnd"/>
      <w:r>
        <w:t xml:space="preserve">) = </w:t>
      </w:r>
      <w:proofErr w:type="spellStart"/>
      <w:r>
        <w:t>w·Δ</w:t>
      </w:r>
      <w:proofErr w:type="spellEnd"/>
      <w:r>
        <w:t xml:space="preserve"> </w:t>
      </w:r>
      <w:proofErr w:type="gramStart"/>
      <w:r>
        <w:t>ln(</w:t>
      </w:r>
      <w:proofErr w:type="spellStart"/>
      <w:proofErr w:type="gramEnd"/>
      <w:r>
        <w:t>PriceSeries_t</w:t>
      </w:r>
      <w:proofErr w:type="spellEnd"/>
      <w:r>
        <w:t>) + (1−</w:t>
      </w:r>
      <w:proofErr w:type="gramStart"/>
      <w:r>
        <w:t>w)·</w:t>
      </w:r>
      <w:proofErr w:type="gramEnd"/>
      <w:r>
        <w:t xml:space="preserve">Δ </w:t>
      </w:r>
      <w:proofErr w:type="gramStart"/>
      <w:r>
        <w:t>ln(</w:t>
      </w:r>
      <w:proofErr w:type="spellStart"/>
      <w:proofErr w:type="gramEnd"/>
      <w:r>
        <w:t>IncomeSeries_t</w:t>
      </w:r>
      <w:proofErr w:type="spellEnd"/>
      <w:r>
        <w:t>)</w:t>
      </w:r>
    </w:p>
    <w:p w14:paraId="49E26896" w14:textId="77777777" w:rsidR="00287819" w:rsidRDefault="00287819" w:rsidP="00287819">
      <w:r>
        <w:t xml:space="preserve">where w is configurable (typical deflation-stabilization experiments use w ≈ 0.4). </w:t>
      </w:r>
      <w:proofErr w:type="spellStart"/>
      <w:r>
        <w:t>PriceSeries</w:t>
      </w:r>
      <w:proofErr w:type="spellEnd"/>
      <w:r>
        <w:t xml:space="preserve"> is usually the tax-exclusive producer price level P (or optionally a consumer price index), and </w:t>
      </w:r>
      <w:proofErr w:type="spellStart"/>
      <w:r>
        <w:t>IncomeSeries</w:t>
      </w:r>
      <w:proofErr w:type="spellEnd"/>
      <w:r>
        <w:t xml:space="preserve"> is usually aggregate nominal household income (with alternative definitions available for sensitivity tests).</w:t>
      </w:r>
    </w:p>
    <w:p w14:paraId="0DD31E6F" w14:textId="77777777" w:rsidR="00287819" w:rsidRDefault="00287819" w:rsidP="00287819">
      <w:r>
        <w:t>Policy choice: Apply optional EWMA smoothing to Δ ln(I) and then clamp the quarterly index change within a corridor (e.g., −2% to +2% per quarter), implemented in log space. This prevents abrupt payment jumps (borrower shock) and avoids large quarter-to-quarter swings in bank cashflow (lender whipsaw).</w:t>
      </w:r>
    </w:p>
    <w:p w14:paraId="774336ED" w14:textId="77777777" w:rsidR="00287819" w:rsidRDefault="00287819" w:rsidP="00287819">
      <w:pPr>
        <w:pStyle w:val="Heading3"/>
      </w:pPr>
      <w:r>
        <w:t>7.4.4 Required payment rule</w:t>
      </w:r>
    </w:p>
    <w:p w14:paraId="689F218C" w14:textId="77777777" w:rsidR="00287819" w:rsidRDefault="00287819" w:rsidP="00287819">
      <w:r>
        <w:t xml:space="preserve">When enabled, the borrower’s required mortgage payment is indexed using </w:t>
      </w:r>
      <w:proofErr w:type="spellStart"/>
      <w:r>
        <w:t>I_t</w:t>
      </w:r>
      <w:proofErr w:type="spellEnd"/>
      <w:r>
        <w:t>. Two modes exist:</w:t>
      </w:r>
    </w:p>
    <w:p w14:paraId="3BD6F703" w14:textId="77777777" w:rsidR="00287819" w:rsidRDefault="00287819" w:rsidP="00287819">
      <w:r>
        <w:t xml:space="preserve">• </w:t>
      </w:r>
      <w:proofErr w:type="spellStart"/>
      <w:r>
        <w:t>CurrentContractual</w:t>
      </w:r>
      <w:proofErr w:type="spellEnd"/>
      <w:r>
        <w:t xml:space="preserve"> (recommended default): </w:t>
      </w:r>
      <w:proofErr w:type="spellStart"/>
      <w:r>
        <w:t>RequiredPayment_t</w:t>
      </w:r>
      <w:proofErr w:type="spellEnd"/>
      <w:r>
        <w:t xml:space="preserve"> = </w:t>
      </w:r>
      <w:proofErr w:type="spellStart"/>
      <w:r>
        <w:t>ContractualPayment_t</w:t>
      </w:r>
      <w:proofErr w:type="spellEnd"/>
      <w:r>
        <w:t xml:space="preserve"> × </w:t>
      </w:r>
      <w:proofErr w:type="spellStart"/>
      <w:r>
        <w:t>I_t</w:t>
      </w:r>
      <w:proofErr w:type="spellEnd"/>
    </w:p>
    <w:p w14:paraId="40CF114C" w14:textId="77777777" w:rsidR="00287819" w:rsidRDefault="00287819" w:rsidP="00287819">
      <w:r>
        <w:t xml:space="preserve">• </w:t>
      </w:r>
      <w:proofErr w:type="spellStart"/>
      <w:r>
        <w:t>AnchoredBase</w:t>
      </w:r>
      <w:proofErr w:type="spellEnd"/>
      <w:r>
        <w:t xml:space="preserve"> (sensitivity test): </w:t>
      </w:r>
      <w:proofErr w:type="spellStart"/>
      <w:r>
        <w:t>RequiredPayment_t</w:t>
      </w:r>
      <w:proofErr w:type="spellEnd"/>
      <w:r>
        <w:t xml:space="preserve"> = </w:t>
      </w:r>
      <w:proofErr w:type="spellStart"/>
      <w:r>
        <w:t>BaselinePayment_at_Origination</w:t>
      </w:r>
      <w:proofErr w:type="spellEnd"/>
      <w:r>
        <w:t xml:space="preserve"> × </w:t>
      </w:r>
      <w:proofErr w:type="spellStart"/>
      <w:r>
        <w:t>I_t</w:t>
      </w:r>
      <w:proofErr w:type="spellEnd"/>
    </w:p>
    <w:p w14:paraId="62D756F7" w14:textId="77777777" w:rsidR="00287819" w:rsidRDefault="00287819" w:rsidP="00287819">
      <w:r>
        <w:lastRenderedPageBreak/>
        <w:t xml:space="preserve">Documentation note: In the model’s stylized mortgage structure, </w:t>
      </w:r>
      <w:proofErr w:type="spellStart"/>
      <w:r>
        <w:t>AnchoredBase</w:t>
      </w:r>
      <w:proofErr w:type="spellEnd"/>
      <w:r>
        <w:t xml:space="preserve"> can yield counterintuitive paths (required payments can exceed the contractual path later). </w:t>
      </w:r>
      <w:proofErr w:type="spellStart"/>
      <w:r>
        <w:t>CurrentContractual</w:t>
      </w:r>
      <w:proofErr w:type="spellEnd"/>
      <w:r>
        <w:t xml:space="preserve"> better matches the policy intent of providing relief when the macro environment weakens.</w:t>
      </w:r>
    </w:p>
    <w:p w14:paraId="7A303112" w14:textId="77777777" w:rsidR="00287819" w:rsidRDefault="00287819" w:rsidP="00287819">
      <w:pPr>
        <w:pStyle w:val="Heading3"/>
      </w:pPr>
      <w:r>
        <w:t>7.4.5 Neutralization rule</w:t>
      </w:r>
    </w:p>
    <w:p w14:paraId="25D77C99" w14:textId="77777777" w:rsidR="00287819" w:rsidRDefault="00287819" w:rsidP="00287819">
      <w:r>
        <w:t>Policy choice: If indexed required payments are below contractual payments, an explicit payment-gap can be recorded and (optionally) compensated to the banking sector:</w:t>
      </w:r>
    </w:p>
    <w:p w14:paraId="56D3B333" w14:textId="77777777" w:rsidR="00287819" w:rsidRDefault="00287819" w:rsidP="00287819">
      <w:proofErr w:type="spellStart"/>
      <w:r>
        <w:t>Gap_t</w:t>
      </w:r>
      <w:proofErr w:type="spellEnd"/>
      <w:r>
        <w:t xml:space="preserve"> = </w:t>
      </w:r>
      <w:proofErr w:type="gramStart"/>
      <w:r>
        <w:t>max(</w:t>
      </w:r>
      <w:proofErr w:type="gramEnd"/>
      <w:r>
        <w:t xml:space="preserve">0, </w:t>
      </w:r>
      <w:proofErr w:type="spellStart"/>
      <w:r>
        <w:t>ContractualPayment_t</w:t>
      </w:r>
      <w:proofErr w:type="spellEnd"/>
      <w:r>
        <w:t xml:space="preserve"> − </w:t>
      </w:r>
      <w:proofErr w:type="spellStart"/>
      <w:r>
        <w:t>RequiredPayment_t</w:t>
      </w:r>
      <w:proofErr w:type="spellEnd"/>
      <w:r>
        <w:t>)</w:t>
      </w:r>
    </w:p>
    <w:p w14:paraId="128E9F85" w14:textId="77777777" w:rsidR="00287819" w:rsidRDefault="00287819" w:rsidP="00287819">
      <w:r>
        <w:t xml:space="preserve">Neutralization can be active Always or only in </w:t>
      </w:r>
      <w:proofErr w:type="spellStart"/>
      <w:r>
        <w:t>StressOnly</w:t>
      </w:r>
      <w:proofErr w:type="spellEnd"/>
      <w:r>
        <w:t xml:space="preserve"> mode (recommended), where it switches on only when the model’s debt-service stress trigger indicates systemic stress (same design principle as Trust activation). Funding follows a configurable stack: GOV deposits → FUND deposits (optionally blocked while FUND has launch-loan debt) → ISSUANCE for any remainder. Optional caps can limit total neutralization per tick.</w:t>
      </w:r>
    </w:p>
    <w:p w14:paraId="048A6BB1" w14:textId="77777777" w:rsidR="00287819" w:rsidRDefault="00287819" w:rsidP="00287819">
      <w:pPr>
        <w:pStyle w:val="Heading3"/>
      </w:pPr>
      <w:r>
        <w:t>7.4.6 Execution and accounting</w:t>
      </w:r>
    </w:p>
    <w:p w14:paraId="4D520585" w14:textId="77777777" w:rsidR="00287819" w:rsidRPr="008F4726" w:rsidRDefault="00287819" w:rsidP="00287819">
      <w:r>
        <w:t>Households pay revolving interest plus the required mortgage payment. Mortgage payment is applied interest-first, principal-second; principal repayment reduces household mortgage balances and bank loan assets (stock-flow consistent). The existing no-default fallback remains: if household deposits would go negative after scheduled flows, the shortfall becomes revolving debt. This mortgage-indexing policy is intended to reduce how often mortgage service pushes households into that overdraft zone.</w:t>
      </w:r>
    </w:p>
    <w:p w14:paraId="5EAA9D33" w14:textId="77777777" w:rsidR="00287819" w:rsidRDefault="00287819" w:rsidP="00287819">
      <w:pPr>
        <w:pStyle w:val="Heading1"/>
      </w:pPr>
      <w:r>
        <w:t>8. Wage structure under automation (structural distribution rule)</w:t>
      </w:r>
    </w:p>
    <w:p w14:paraId="525D9E38" w14:textId="77777777" w:rsidR="00287819" w:rsidRDefault="00287819" w:rsidP="00287819">
      <w:r>
        <w:t xml:space="preserve">Policy choice: Wages are modeled as a share of sector revenue, and in the automation-linked sector the wage </w:t>
      </w:r>
      <w:proofErr w:type="gramStart"/>
      <w:r>
        <w:t>share</w:t>
      </w:r>
      <w:proofErr w:type="gramEnd"/>
      <w:r>
        <w:t xml:space="preserve"> declines with automation effectiveness. This embeds labor displacement directly in primary income formation.</w:t>
      </w:r>
    </w:p>
    <w:p w14:paraId="6C8BAB60" w14:textId="77777777" w:rsidR="00287819" w:rsidRDefault="00287819" w:rsidP="00287819">
      <w:pPr>
        <w:pStyle w:val="Heading1"/>
      </w:pPr>
      <w:r>
        <w:t>9. Price-level formation under automation</w:t>
      </w:r>
    </w:p>
    <w:p w14:paraId="453A6455" w14:textId="77777777" w:rsidR="00287819" w:rsidRDefault="00287819" w:rsidP="00287819">
      <w:r>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p>
    <w:p w14:paraId="6C27DE47" w14:textId="77777777" w:rsidR="00287819" w:rsidRDefault="00287819" w:rsidP="00287819">
      <w:r>
        <w:br w:type="page"/>
      </w:r>
    </w:p>
    <w:p w14:paraId="1D25D3E8" w14:textId="77777777" w:rsidR="00F1012B" w:rsidRDefault="00F1012B"/>
    <w:sectPr w:rsidR="00F1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num w:numId="1" w16cid:durableId="19138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19"/>
    <w:rsid w:val="0021203D"/>
    <w:rsid w:val="00287819"/>
    <w:rsid w:val="0045166E"/>
    <w:rsid w:val="00473B93"/>
    <w:rsid w:val="0053784C"/>
    <w:rsid w:val="00CE6055"/>
    <w:rsid w:val="00F1012B"/>
    <w:rsid w:val="00F6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429C"/>
  <w15:chartTrackingRefBased/>
  <w15:docId w15:val="{7B3F51E6-AACC-1E45-9757-922B2F31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819"/>
    <w:pPr>
      <w:spacing w:before="2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28781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8781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8781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87819"/>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87819"/>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8781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781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7819"/>
    <w:pPr>
      <w:keepNext/>
      <w:keepLines/>
      <w:spacing w:before="0"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7819"/>
    <w:pPr>
      <w:keepNext/>
      <w:keepLines/>
      <w:spacing w:before="0"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7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7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819"/>
    <w:rPr>
      <w:rFonts w:eastAsiaTheme="majorEastAsia" w:cstheme="majorBidi"/>
      <w:color w:val="272727" w:themeColor="text1" w:themeTint="D8"/>
    </w:rPr>
  </w:style>
  <w:style w:type="paragraph" w:styleId="Title">
    <w:name w:val="Title"/>
    <w:basedOn w:val="Normal"/>
    <w:next w:val="Normal"/>
    <w:link w:val="TitleChar"/>
    <w:uiPriority w:val="10"/>
    <w:qFormat/>
    <w:rsid w:val="00287819"/>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7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819"/>
    <w:pPr>
      <w:numPr>
        <w:ilvl w:val="1"/>
      </w:numPr>
      <w:spacing w:before="0"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7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81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7819"/>
    <w:rPr>
      <w:i/>
      <w:iCs/>
      <w:color w:val="404040" w:themeColor="text1" w:themeTint="BF"/>
    </w:rPr>
  </w:style>
  <w:style w:type="paragraph" w:styleId="ListParagraph">
    <w:name w:val="List Paragraph"/>
    <w:basedOn w:val="Normal"/>
    <w:uiPriority w:val="34"/>
    <w:qFormat/>
    <w:rsid w:val="00287819"/>
    <w:pPr>
      <w:spacing w:before="0"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87819"/>
    <w:rPr>
      <w:i/>
      <w:iCs/>
      <w:color w:val="0F4761" w:themeColor="accent1" w:themeShade="BF"/>
    </w:rPr>
  </w:style>
  <w:style w:type="paragraph" w:styleId="IntenseQuote">
    <w:name w:val="Intense Quote"/>
    <w:basedOn w:val="Normal"/>
    <w:next w:val="Normal"/>
    <w:link w:val="IntenseQuoteChar"/>
    <w:uiPriority w:val="30"/>
    <w:qFormat/>
    <w:rsid w:val="0028781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7819"/>
    <w:rPr>
      <w:i/>
      <w:iCs/>
      <w:color w:val="0F4761" w:themeColor="accent1" w:themeShade="BF"/>
    </w:rPr>
  </w:style>
  <w:style w:type="character" w:styleId="IntenseReference">
    <w:name w:val="Intense Reference"/>
    <w:basedOn w:val="DefaultParagraphFont"/>
    <w:uiPriority w:val="32"/>
    <w:qFormat/>
    <w:rsid w:val="00287819"/>
    <w:rPr>
      <w:b/>
      <w:bCs/>
      <w:smallCaps/>
      <w:color w:val="0F4761" w:themeColor="accent1" w:themeShade="BF"/>
      <w:spacing w:val="5"/>
    </w:rPr>
  </w:style>
  <w:style w:type="paragraph" w:styleId="ListBullet">
    <w:name w:val="List Bullet"/>
    <w:basedOn w:val="Normal"/>
    <w:uiPriority w:val="99"/>
    <w:unhideWhenUsed/>
    <w:rsid w:val="00CE605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2253</Words>
  <Characters>13473</Characters>
  <Application>Microsoft Office Word</Application>
  <DocSecurity>0</DocSecurity>
  <Lines>204</Lines>
  <Paragraphs>116</Paragraphs>
  <ScaleCrop>false</ScaleCrop>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2</cp:revision>
  <dcterms:created xsi:type="dcterms:W3CDTF">2026-03-04T21:55:00Z</dcterms:created>
  <dcterms:modified xsi:type="dcterms:W3CDTF">2026-03-04T21:58:00Z</dcterms:modified>
</cp:coreProperties>
</file>