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Deep Research Review</w:t>
      </w:r>
    </w:p>
    <w:p>
      <w:pPr>
        <w:jc w:val="center"/>
      </w:pPr>
      <w:r>
        <w:rPr>
          <w:i/>
          <w:color w:val="365F91"/>
          <w:sz w:val="30"/>
        </w:rPr>
        <w:t>The New Loop: A Future History of the AI Transition</w:t>
      </w:r>
    </w:p>
    <w:p>
      <w:pPr>
        <w:jc w:val="center"/>
      </w:pPr>
      <w:r>
        <w:rPr>
          <w:color w:val="5A5A5A"/>
          <w:sz w:val="22"/>
        </w:rPr>
        <w:t>Revised critique prepared for Roger Ison</w:t>
      </w:r>
    </w:p>
    <w:p>
      <w:pPr>
        <w:jc w:val="center"/>
      </w:pPr>
      <w:r>
        <w:rPr>
          <w:color w:val="5A5A5A"/>
          <w:sz w:val="20"/>
        </w:rPr>
        <w:t>March 7, 2026</w:t>
      </w:r>
    </w:p>
    <w:p/>
    <w:tbl>
      <w:tblPr>
        <w:tblW w:type="auto" w:w="0"/>
        <w:jc w:val="center"/>
        <w:tblLayout w:type="fixed"/>
        <w:tblLook w:firstColumn="1" w:firstRow="1" w:lastColumn="0" w:lastRow="0" w:noHBand="0" w:noVBand="1" w:val="04A0"/>
      </w:tblPr>
      <w:tblGrid>
        <w:gridCol w:w="9360"/>
      </w:tblGrid>
      <w:tr>
        <w:tc>
          <w:tcPr>
            <w:tcW w:type="dxa" w:w="9792"/>
            <w:shd w:fill="F3F6FA"/>
            <w:vAlign w:val="center"/>
          </w:tcPr>
          <w:p>
            <w:pPr>
              <w:spacing w:after="80"/>
            </w:pPr>
            <w:r>
              <w:rPr>
                <w:b/>
                <w:color w:val="1F395B"/>
                <w:sz w:val="22"/>
              </w:rPr>
              <w:t>Bottom line</w:t>
            </w:r>
          </w:p>
          <w:p>
            <w:pPr>
              <w:ind w:left="144"/>
            </w:pPr>
            <w:r>
              <w:rPr>
                <w:sz w:val="20"/>
              </w:rPr>
              <w:t>• The revised paper is strongest when read as a systems-level scenario argument: it treats the AI transition as a problem of linked cash flows, ownership structure, taxation, household solvency, and political legitimacy rather than as a single-policy debate.</w:t>
            </w:r>
          </w:p>
          <w:p>
            <w:pPr>
              <w:ind w:left="144"/>
            </w:pPr>
            <w:r>
              <w:rPr>
                <w:sz w:val="20"/>
              </w:rPr>
              <w:t>• The literature supports several central movements in the paper: automation can shift income from labor toward capital; weak household cash flow and debt overhang can become macro constraints; broad-based consumption taxation with direct compensation is usually better than exemption-heavy design; and debt contract design matters materially in disinflationary or deflationary environments.</w:t>
            </w:r>
          </w:p>
          <w:p>
            <w:pPr>
              <w:ind w:left="144"/>
            </w:pPr>
            <w:r>
              <w:rPr>
                <w:sz w:val="20"/>
              </w:rPr>
              <w:t>• The literature does not validate every exact mechanism in the scenario. The strongest open questions concern the size and politics of a Public Trust Fund capitalization path, the practical design of automation-responsive corporate taxation, and whether deflation becomes the dominant macro regime rather than one serious possibility among several.</w:t>
            </w:r>
          </w:p>
          <w:p>
            <w:pPr>
              <w:ind w:left="144"/>
            </w:pPr>
            <w:r>
              <w:rPr>
                <w:sz w:val="20"/>
              </w:rPr>
              <w:t>• A major correction to the earlier critique is required. The paper explicitly frames the transition as prolonged, perhaps 20 years or more. The right criticism is therefore not that the scenario is too accelerated in calendar time, but that some institutional and political transitions remain demanding even over a long horizon.</w:t>
            </w:r>
          </w:p>
        </w:tc>
      </w:tr>
    </w:tbl>
    <w:p/>
    <w:p>
      <w:pPr>
        <w:pStyle w:val="Heading1"/>
      </w:pPr>
      <w:r>
        <w:t>1. What the revised paper is doing</w:t>
      </w:r>
    </w:p>
    <w:p>
      <w:r>
        <w:t>The paper is not a point forecast. It is a future-history scenario designed to make an interacting policy architecture visible. Its explicit concern is that advanced artificial intelligence and automation may weaken the wage-based circulation of purchasing power that supports capitalist demand, and that isolated policy debates, such as Universal Basic Income by itself, are therefore inadequate to the problem.[1]</w:t>
      </w:r>
    </w:p>
    <w:p>
      <w:r>
        <w:t>The revised draft is clear that the transition is meant to unfold over a long interval. In the policy narrative, the conference 'understood from the outset that this transition would be long, perhaps twenty years or more.' That matters analytically. It moves the question away from sudden-collapse rhetoric and toward medium-run sequencing, governance, measurement, and adaptation.[1]</w:t>
      </w:r>
    </w:p>
    <w:p>
      <w:pPr>
        <w:pStyle w:val="Heading1"/>
      </w:pPr>
      <w:r>
        <w:t>2. Core ideas and key movements of the story</w:t>
      </w:r>
    </w:p>
    <w:p>
      <w:r>
        <w:rPr>
          <w:b/>
        </w:rPr>
        <w:t>Movement A: automation weakens labor's share and strengthens capital income.</w:t>
      </w:r>
      <w:r>
        <w:t xml:space="preserve"> This is the paper's foundational move and it is well grounded. Task-displacement theory and subsequent empirical work support the claim that automation can reduce labor's share unless new labor-complementary tasks arise quickly enough to offset the displacement effect.[2][3]</w:t>
      </w:r>
    </w:p>
    <w:p>
      <w:r>
        <w:rPr>
          <w:b/>
        </w:rPr>
        <w:t>Movement B: early disruption is likely to be concentrated in cognitive and information work.</w:t>
      </w:r>
      <w:r>
        <w:t xml:space="preserve"> Recent exposure studies broadly support this. IMF, ILO, NBER, and Anthropic work all point to heavy exposure in clerical, professional, programming, and other information-dense occupations. At the same time, the most recent evidence does not yet show an economy-wide employment collapse. Effects so far appear more clearly in task composition, hiring patterns, and entry-level opportunity than in aggregate unemployment.[3][4][5][6][7]</w:t>
      </w:r>
    </w:p>
    <w:p>
      <w:r>
        <w:rPr>
          <w:b/>
        </w:rPr>
        <w:t>Movement C: weakened wage flow can produce demand fragility even if productivity rises.</w:t>
      </w:r>
      <w:r>
        <w:t xml:space="preserve"> This is one of the paper's strongest system-level insights. The literature does not usually state the issue in the paper's 'Old Loop/New Loop' language, but it strongly supports the underlying mechanism: when household balance sheets are fragile and debt expansion substitutes for income growth, future growth becomes more vulnerable.[13][14]</w:t>
      </w:r>
    </w:p>
    <w:p>
      <w:r>
        <w:rPr>
          <w:b/>
        </w:rPr>
        <w:t>Movement D: the transition could become disinflationary or deflationary.</w:t>
      </w:r>
      <w:r>
        <w:t xml:space="preserve"> This is plausible, but less settled than the paper sometimes suggests. BIS, IMF, and OECD work support the possibility that AI raises supply, compresses some costs, and lowers inflationary pressure. But the same literature also leaves room for strong investment demand, transitional bottlenecks, uneven adoption, and complementary labor demand that can produce mixed or even inflationary episodes. Deflation is therefore a serious scenario, not a confirmed baseline.[8][9][10][11][12]</w:t>
      </w:r>
    </w:p>
    <w:p>
      <w:r>
        <w:rPr>
          <w:b/>
        </w:rPr>
        <w:t>Movement E: a durable response must alter ownership as well as transfers.</w:t>
      </w:r>
      <w:r>
        <w:t xml:space="preserve"> This is the paper's most distinctive normative and structural claim. Existing research supports the importance of concentrated capital ownership as a distributional problem, but the literature is much stronger on the goal of broader ownership than on any single capitalization formula.[2][3][22][23]</w:t>
      </w:r>
    </w:p>
    <w:p>
      <w:pPr>
        <w:pStyle w:val="Heading1"/>
      </w:pPr>
      <w:r>
        <w:t>3. Policy architecture and interaction</w:t>
      </w:r>
    </w:p>
    <w:p>
      <w:r>
        <w:t>The revised paper's main strength is that the policies are not redundant. Each addresses a different transmission channel in the same macro system. The table below summarizes the architecture.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088"/>
            <w:vAlign w:val="center"/>
            <w:shd w:fill="D9E5F3"/>
          </w:tcPr>
          <w:p>
            <w:pPr>
              <w:jc w:val="center"/>
            </w:pPr>
            <w:r>
              <w:rPr>
                <w:b/>
                <w:sz w:val="18"/>
              </w:rPr>
              <w:t>Policy element</w:t>
            </w:r>
          </w:p>
        </w:tc>
        <w:tc>
          <w:tcPr>
            <w:tcW w:type="dxa" w:w="3024"/>
            <w:vAlign w:val="center"/>
            <w:shd w:fill="D9E5F3"/>
          </w:tcPr>
          <w:p>
            <w:pPr>
              <w:jc w:val="center"/>
            </w:pPr>
            <w:r>
              <w:rPr>
                <w:b/>
                <w:sz w:val="18"/>
              </w:rPr>
              <w:t>Intended function in the paper</w:t>
            </w:r>
          </w:p>
        </w:tc>
        <w:tc>
          <w:tcPr>
            <w:tcW w:type="dxa" w:w="2088"/>
            <w:vAlign w:val="center"/>
            <w:shd w:fill="D9E5F3"/>
          </w:tcPr>
          <w:p>
            <w:pPr>
              <w:jc w:val="center"/>
            </w:pPr>
            <w:r>
              <w:rPr>
                <w:b/>
                <w:sz w:val="18"/>
              </w:rPr>
              <w:t>Literature support</w:t>
            </w:r>
          </w:p>
        </w:tc>
        <w:tc>
          <w:tcPr>
            <w:tcW w:type="dxa" w:w="2304"/>
            <w:vAlign w:val="center"/>
            <w:shd w:fill="D9E5F3"/>
          </w:tcPr>
          <w:p>
            <w:pPr>
              <w:jc w:val="center"/>
            </w:pPr>
            <w:r>
              <w:rPr>
                <w:b/>
                <w:sz w:val="18"/>
              </w:rPr>
              <w:t>Main open question</w:t>
            </w:r>
          </w:p>
        </w:tc>
      </w:tr>
      <w:tr>
        <w:tc>
          <w:tcPr>
            <w:tcW w:type="dxa" w:w="2088"/>
            <w:vAlign w:val="center"/>
          </w:tcPr>
          <w:p>
            <w:pPr>
              <w:spacing w:after="40"/>
              <w:jc w:val="center"/>
            </w:pPr>
            <w:r>
              <w:rPr>
                <w:sz w:val="18"/>
              </w:rPr>
              <w:t>Public Trust Fund</w:t>
            </w:r>
          </w:p>
        </w:tc>
        <w:tc>
          <w:tcPr>
            <w:tcW w:type="dxa" w:w="3024"/>
            <w:vAlign w:val="center"/>
          </w:tcPr>
          <w:p>
            <w:pPr>
              <w:spacing w:after="40"/>
              <w:jc w:val="left"/>
            </w:pPr>
            <w:r>
              <w:rPr>
                <w:sz w:val="18"/>
              </w:rPr>
              <w:t>Broadens claims on capital income as labor's share falls; creates a citizen stake in profitability.</w:t>
            </w:r>
          </w:p>
        </w:tc>
        <w:tc>
          <w:tcPr>
            <w:tcW w:type="dxa" w:w="2088"/>
            <w:vAlign w:val="center"/>
          </w:tcPr>
          <w:p>
            <w:pPr>
              <w:spacing w:after="40"/>
              <w:jc w:val="center"/>
            </w:pPr>
            <w:r>
              <w:rPr>
                <w:sz w:val="18"/>
              </w:rPr>
              <w:t>Strong on objective.[22][23]</w:t>
            </w:r>
          </w:p>
        </w:tc>
        <w:tc>
          <w:tcPr>
            <w:tcW w:type="dxa" w:w="2304"/>
            <w:vAlign w:val="center"/>
          </w:tcPr>
          <w:p>
            <w:pPr>
              <w:spacing w:after="40"/>
              <w:jc w:val="left"/>
            </w:pPr>
            <w:r>
              <w:rPr>
                <w:sz w:val="18"/>
              </w:rPr>
              <w:t>Weak to moderate on the exact dilution path and political durability.</w:t>
            </w:r>
          </w:p>
        </w:tc>
      </w:tr>
      <w:tr>
        <w:tc>
          <w:tcPr>
            <w:tcW w:type="dxa" w:w="2088"/>
            <w:vAlign w:val="center"/>
          </w:tcPr>
          <w:p>
            <w:pPr>
              <w:spacing w:after="40"/>
              <w:jc w:val="center"/>
            </w:pPr>
            <w:r>
              <w:rPr>
                <w:sz w:val="18"/>
              </w:rPr>
              <w:t>Universal Basic Income</w:t>
            </w:r>
          </w:p>
        </w:tc>
        <w:tc>
          <w:tcPr>
            <w:tcW w:type="dxa" w:w="3024"/>
            <w:vAlign w:val="center"/>
          </w:tcPr>
          <w:p>
            <w:pPr>
              <w:spacing w:after="40"/>
              <w:jc w:val="left"/>
            </w:pPr>
            <w:r>
              <w:rPr>
                <w:sz w:val="18"/>
              </w:rPr>
              <w:t>Stabilizes household cash flow across the life cycle and during work disruption.</w:t>
            </w:r>
          </w:p>
        </w:tc>
        <w:tc>
          <w:tcPr>
            <w:tcW w:type="dxa" w:w="2088"/>
            <w:vAlign w:val="center"/>
          </w:tcPr>
          <w:p>
            <w:pPr>
              <w:spacing w:after="40"/>
              <w:jc w:val="center"/>
            </w:pPr>
            <w:r>
              <w:rPr>
                <w:sz w:val="18"/>
              </w:rPr>
              <w:t>Mixed but usable.[20][21]</w:t>
            </w:r>
          </w:p>
        </w:tc>
        <w:tc>
          <w:tcPr>
            <w:tcW w:type="dxa" w:w="2304"/>
            <w:vAlign w:val="center"/>
          </w:tcPr>
          <w:p>
            <w:pPr>
              <w:spacing w:after="40"/>
              <w:jc w:val="left"/>
            </w:pPr>
            <w:r>
              <w:rPr>
                <w:sz w:val="18"/>
              </w:rPr>
              <w:t>Cost, labor-supply effects, and calibration inside a larger package.</w:t>
            </w:r>
          </w:p>
        </w:tc>
      </w:tr>
      <w:tr>
        <w:tc>
          <w:tcPr>
            <w:tcW w:type="dxa" w:w="2088"/>
            <w:vAlign w:val="center"/>
          </w:tcPr>
          <w:p>
            <w:pPr>
              <w:spacing w:after="40"/>
              <w:jc w:val="center"/>
            </w:pPr>
            <w:r>
              <w:rPr>
                <w:sz w:val="18"/>
              </w:rPr>
              <w:t>VAT with rebate</w:t>
            </w:r>
          </w:p>
        </w:tc>
        <w:tc>
          <w:tcPr>
            <w:tcW w:type="dxa" w:w="3024"/>
            <w:vAlign w:val="center"/>
          </w:tcPr>
          <w:p>
            <w:pPr>
              <w:spacing w:after="40"/>
              <w:jc w:val="left"/>
            </w:pPr>
            <w:r>
              <w:rPr>
                <w:sz w:val="18"/>
              </w:rPr>
              <w:t>Rebuilds fiscal capacity from consumption rather than wages, while protecting lower-income households.</w:t>
            </w:r>
          </w:p>
        </w:tc>
        <w:tc>
          <w:tcPr>
            <w:tcW w:type="dxa" w:w="2088"/>
            <w:vAlign w:val="center"/>
          </w:tcPr>
          <w:p>
            <w:pPr>
              <w:spacing w:after="40"/>
              <w:jc w:val="center"/>
            </w:pPr>
            <w:r>
              <w:rPr>
                <w:sz w:val="18"/>
              </w:rPr>
              <w:t>Strong.[17][18][19]</w:t>
            </w:r>
          </w:p>
        </w:tc>
        <w:tc>
          <w:tcPr>
            <w:tcW w:type="dxa" w:w="2304"/>
            <w:vAlign w:val="center"/>
          </w:tcPr>
          <w:p>
            <w:pPr>
              <w:spacing w:after="40"/>
              <w:jc w:val="left"/>
            </w:pPr>
            <w:r>
              <w:rPr>
                <w:sz w:val="18"/>
              </w:rPr>
              <w:t>Administrative design of real-time or near-real-time compensation.</w:t>
            </w:r>
          </w:p>
        </w:tc>
      </w:tr>
      <w:tr>
        <w:tc>
          <w:tcPr>
            <w:tcW w:type="dxa" w:w="2088"/>
            <w:vAlign w:val="center"/>
          </w:tcPr>
          <w:p>
            <w:pPr>
              <w:spacing w:after="40"/>
              <w:jc w:val="center"/>
            </w:pPr>
            <w:r>
              <w:rPr>
                <w:sz w:val="18"/>
              </w:rPr>
              <w:t>Automation-responsive corporate tax</w:t>
            </w:r>
          </w:p>
        </w:tc>
        <w:tc>
          <w:tcPr>
            <w:tcW w:type="dxa" w:w="3024"/>
            <w:vAlign w:val="center"/>
          </w:tcPr>
          <w:p>
            <w:pPr>
              <w:spacing w:after="40"/>
              <w:jc w:val="left"/>
            </w:pPr>
            <w:r>
              <w:rPr>
                <w:sz w:val="18"/>
              </w:rPr>
              <w:t>Makes the tax base follow the shift from wage income toward profits and automation rents.</w:t>
            </w:r>
          </w:p>
        </w:tc>
        <w:tc>
          <w:tcPr>
            <w:tcW w:type="dxa" w:w="2088"/>
            <w:vAlign w:val="center"/>
          </w:tcPr>
          <w:p>
            <w:pPr>
              <w:spacing w:after="40"/>
              <w:jc w:val="center"/>
            </w:pPr>
            <w:r>
              <w:rPr>
                <w:sz w:val="18"/>
              </w:rPr>
              <w:t>Conceptually relevant, but formula-specific evidence is thin.[3][8]</w:t>
            </w:r>
          </w:p>
        </w:tc>
        <w:tc>
          <w:tcPr>
            <w:tcW w:type="dxa" w:w="2304"/>
            <w:vAlign w:val="center"/>
          </w:tcPr>
          <w:p>
            <w:pPr>
              <w:spacing w:after="40"/>
              <w:jc w:val="left"/>
            </w:pPr>
            <w:r>
              <w:rPr>
                <w:sz w:val="18"/>
              </w:rPr>
              <w:t>Avoidance, cross-border arbitrage, and investment timing.</w:t>
            </w:r>
          </w:p>
        </w:tc>
      </w:tr>
      <w:tr>
        <w:tc>
          <w:tcPr>
            <w:tcW w:type="dxa" w:w="2088"/>
            <w:vAlign w:val="center"/>
          </w:tcPr>
          <w:p>
            <w:pPr>
              <w:spacing w:after="40"/>
              <w:jc w:val="center"/>
            </w:pPr>
            <w:r>
              <w:rPr>
                <w:sz w:val="18"/>
              </w:rPr>
              <w:t>Mortgage indexation with lender make-whole</w:t>
            </w:r>
          </w:p>
        </w:tc>
        <w:tc>
          <w:tcPr>
            <w:tcW w:type="dxa" w:w="3024"/>
            <w:vAlign w:val="center"/>
          </w:tcPr>
          <w:p>
            <w:pPr>
              <w:spacing w:after="40"/>
              <w:jc w:val="left"/>
            </w:pPr>
            <w:r>
              <w:rPr>
                <w:sz w:val="18"/>
              </w:rPr>
              <w:t>Prevents fixed nominal debt from amplifying deflation and household insolvency.</w:t>
            </w:r>
          </w:p>
        </w:tc>
        <w:tc>
          <w:tcPr>
            <w:tcW w:type="dxa" w:w="2088"/>
            <w:vAlign w:val="center"/>
          </w:tcPr>
          <w:p>
            <w:pPr>
              <w:spacing w:after="40"/>
              <w:jc w:val="center"/>
            </w:pPr>
            <w:r>
              <w:rPr>
                <w:sz w:val="18"/>
              </w:rPr>
              <w:t>Analytically credible.[15][16]</w:t>
            </w:r>
          </w:p>
        </w:tc>
        <w:tc>
          <w:tcPr>
            <w:tcW w:type="dxa" w:w="2304"/>
            <w:vAlign w:val="center"/>
          </w:tcPr>
          <w:p>
            <w:pPr>
              <w:spacing w:after="40"/>
              <w:jc w:val="left"/>
            </w:pPr>
            <w:r>
              <w:rPr>
                <w:sz w:val="18"/>
              </w:rPr>
              <w:t>Administrative complexity and fiscal exposure if adopted at scale.</w:t>
            </w:r>
          </w:p>
        </w:tc>
      </w:tr>
    </w:tbl>
    <w:p>
      <w:r>
        <w:t>The most persuasive interaction in the package is this: broader ownership plus direct household cash-flow support can preserve customer demand, which in turn protects the incentive for private firms to keep investing. The main negative interaction risk is sequencing. If firms face dilution, higher effective taxation, and uncertain demand before the stabilizing side of the package is credible, capital resistance could intensify even if the model eventually balances.[1][3][8][22]</w:t>
      </w:r>
    </w:p>
    <w:p>
      <w:pPr>
        <w:pStyle w:val="Heading1"/>
      </w:pPr>
      <w:r>
        <w:t>4. Where the literature strongly supports the paper</w:t>
      </w:r>
    </w:p>
    <w:p>
      <w:r>
        <w:t>First, the paper is right to treat automation as distributional, not merely technological. The strongest literature repeatedly shows that automation can raise output while worsening labor's relative position unless offset by new tasks, new institutions, or both.[2][3]</w:t>
      </w:r>
    </w:p>
    <w:p>
      <w:r>
        <w:t>Second, the paper is right that exposure is disproportionately concentrated in white-collar and information-heavy work. Recent AI evidence does not abolish uncertainty, but it does confirm that software, administrative, clerical, and analytical occupations are among the most exposed categories.[3][4][5][6][7]</w:t>
      </w:r>
    </w:p>
    <w:p>
      <w:r>
        <w:t>Third, the paper is right that weak household income flow and fixed debt can become macro constraints. Household debt research strongly supports the idea that debt-financed continuity can defer, but also amplify, later weakness.[13][14]</w:t>
      </w:r>
    </w:p>
    <w:p>
      <w:r>
        <w:t>Fourth, the value-added-tax-with-rebate idea is among the paper's best-supported design choices. OECD and IMF work consistently favor broad-base VAT systems with direct compensation over complex exemption-heavy systems when distributional protection is the goal.[17][18][19]</w:t>
      </w:r>
    </w:p>
    <w:p>
      <w:r>
        <w:t>Fifth, the mortgage section is analytically serious. The literature on state-contingent mortgage design directly supports the claim that rigid nominal debt can worsen downturn dynamics and that indexed or otherwise state-contingent structures can reduce macro instability.[15][16]</w:t>
      </w:r>
    </w:p>
    <w:p>
      <w:pPr>
        <w:pStyle w:val="Heading1"/>
      </w:pPr>
      <w:r>
        <w:t>5. Where the literature qualifies or does not yet confirm the paper</w:t>
      </w:r>
    </w:p>
    <w:p>
      <w:r>
        <w:t>The paper's broad ownership objective is better supported than its specific capitalization mechanics. A national or citizen wealth fund is plausible in principle, and sovereign-fund governance literature makes clear what would be needed: passivity, transparency, fiduciary discipline, and insulation from day-to-day politics.[22] But the literature does not validate any particular annual dilution rate, cap, or political acceptance path.</w:t>
      </w:r>
    </w:p>
    <w:p>
      <w:r>
        <w:t>The paper's corporate-tax mechanism is structurally intelligent, but still mostly an original proposal. Research supports the need to rethink tax systems as production becomes more intangible and capital-intensive, yet it does not establish that a tax linked to aggregate wage-share decline is the best practical instrument. International avoidance, measurement disputes, and timing effects remain major open issues.[3][8][18]</w:t>
      </w:r>
    </w:p>
    <w:p>
      <w:r>
        <w:t>The macro regime remains uncertain. The paper leans deflationary, and that may prove directionally correct in some countries or sectors. However, current institutional research is more conditional than categorical. AI could be strongly disinflationary in some channels while still producing investment booms, labor complementarities, and supply bottlenecks in others.[8][9][10][11][12]</w:t>
      </w:r>
    </w:p>
    <w:p>
      <w:r>
        <w:t>Universal Basic Income remains best defended here as one component of a broader architecture, not as a standalone answer. Permanent cash-transfer evidence is more encouraging than many critics assume, but recent guaranteed-income experiments still show measurable labor-supply effects and do not by themselves establish macro sufficiency.[20][21]</w:t>
      </w:r>
    </w:p>
    <w:p>
      <w:r>
        <w:t>The France-first narrative is plausible as a storytelling device, but the literature does not prove that France is the uniquely natural first mover. What can be said in its favor is narrower: France already has administrative familiarity with VAT, social transfers, and a public reserve fund structure, which makes the scenario institutionally legible rather than fanciful.[19][23]</w:t>
      </w:r>
    </w:p>
    <w:p>
      <w:pPr>
        <w:pStyle w:val="Heading1"/>
      </w:pPr>
      <w:r>
        <w:t>6. Corrections to the earlier critique</w:t>
      </w:r>
    </w:p>
    <w:p>
      <w:r>
        <w:t>The prior critique was useful, especially in assembling literature, but several judgments should now be tightened or corrected. The key corrections are these: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880"/>
            <w:shd w:fill="D9E5F3"/>
          </w:tcPr>
          <w:p>
            <w:pPr>
              <w:jc w:val="center"/>
            </w:pPr>
            <w:r>
              <w:rPr>
                <w:b/>
                <w:sz w:val="18"/>
              </w:rPr>
              <w:t>Issue</w:t>
            </w:r>
          </w:p>
        </w:tc>
        <w:tc>
          <w:tcPr>
            <w:tcW w:type="dxa" w:w="3384"/>
            <w:shd w:fill="D9E5F3"/>
          </w:tcPr>
          <w:p>
            <w:pPr>
              <w:jc w:val="center"/>
            </w:pPr>
            <w:r>
              <w:rPr>
                <w:b/>
                <w:sz w:val="18"/>
              </w:rPr>
              <w:t>Revised judgment</w:t>
            </w:r>
          </w:p>
        </w:tc>
        <w:tc>
          <w:tcPr>
            <w:tcW w:type="dxa" w:w="2880"/>
            <w:shd w:fill="D9E5F3"/>
          </w:tcPr>
          <w:p>
            <w:pPr>
              <w:jc w:val="center"/>
            </w:pPr>
            <w:r>
              <w:rPr>
                <w:b/>
                <w:sz w:val="18"/>
              </w:rPr>
              <w:t>Reason</w:t>
            </w:r>
          </w:p>
        </w:tc>
      </w:tr>
      <w:tr>
        <w:tc>
          <w:tcPr>
            <w:tcW w:type="dxa" w:w="2880"/>
            <w:vAlign w:val="center"/>
          </w:tcPr>
          <w:p>
            <w:pPr>
              <w:spacing w:after="40"/>
            </w:pPr>
            <w:r>
              <w:rPr>
                <w:sz w:val="18"/>
              </w:rPr>
              <w:t>Narrative speed</w:t>
            </w:r>
          </w:p>
        </w:tc>
        <w:tc>
          <w:tcPr>
            <w:tcW w:type="dxa" w:w="3384"/>
            <w:vAlign w:val="center"/>
          </w:tcPr>
          <w:p>
            <w:pPr>
              <w:spacing w:after="40"/>
            </w:pPr>
            <w:r>
              <w:rPr>
                <w:sz w:val="18"/>
              </w:rPr>
              <w:t>Do not say the scenario is too accelerated.</w:t>
            </w:r>
          </w:p>
        </w:tc>
        <w:tc>
          <w:tcPr>
            <w:tcW w:type="dxa" w:w="2880"/>
            <w:vAlign w:val="center"/>
          </w:tcPr>
          <w:p>
            <w:pPr>
              <w:spacing w:after="40"/>
            </w:pPr>
            <w:r>
              <w:rPr>
                <w:sz w:val="18"/>
              </w:rPr>
              <w:t>The paper explicitly frames the transition as prolonged, perhaps 20 years or more.[1]</w:t>
            </w:r>
          </w:p>
        </w:tc>
      </w:tr>
      <w:tr>
        <w:tc>
          <w:tcPr>
            <w:tcW w:type="dxa" w:w="2880"/>
            <w:vAlign w:val="center"/>
          </w:tcPr>
          <w:p>
            <w:pPr>
              <w:spacing w:after="40"/>
            </w:pPr>
            <w:r>
              <w:rPr>
                <w:sz w:val="18"/>
              </w:rPr>
              <w:t>Labor-market evidence</w:t>
            </w:r>
          </w:p>
        </w:tc>
        <w:tc>
          <w:tcPr>
            <w:tcW w:type="dxa" w:w="3384"/>
            <w:vAlign w:val="center"/>
          </w:tcPr>
          <w:p>
            <w:pPr>
              <w:spacing w:after="40"/>
            </w:pPr>
            <w:r>
              <w:rPr>
                <w:sz w:val="18"/>
              </w:rPr>
              <w:t>Do say current evidence stops short of confirming mass unemployment.</w:t>
            </w:r>
          </w:p>
        </w:tc>
        <w:tc>
          <w:tcPr>
            <w:tcW w:type="dxa" w:w="2880"/>
            <w:vAlign w:val="center"/>
          </w:tcPr>
          <w:p>
            <w:pPr>
              <w:spacing w:after="40"/>
            </w:pPr>
            <w:r>
              <w:rPr>
                <w:sz w:val="18"/>
              </w:rPr>
              <w:t>Recent work shows exposure and early labor-market adjustments, but not a general collapse so far.[3][4][5][7]</w:t>
            </w:r>
          </w:p>
        </w:tc>
      </w:tr>
      <w:tr>
        <w:tc>
          <w:tcPr>
            <w:tcW w:type="dxa" w:w="2880"/>
            <w:vAlign w:val="center"/>
          </w:tcPr>
          <w:p>
            <w:pPr>
              <w:spacing w:after="40"/>
            </w:pPr>
            <w:r>
              <w:rPr>
                <w:sz w:val="18"/>
              </w:rPr>
              <w:t>Deflation claim</w:t>
            </w:r>
          </w:p>
        </w:tc>
        <w:tc>
          <w:tcPr>
            <w:tcW w:type="dxa" w:w="3384"/>
            <w:vAlign w:val="center"/>
          </w:tcPr>
          <w:p>
            <w:pPr>
              <w:spacing w:after="40"/>
            </w:pPr>
            <w:r>
              <w:rPr>
                <w:sz w:val="18"/>
              </w:rPr>
              <w:t>Treat deflation as a serious possibility, not a settled baseline.</w:t>
            </w:r>
          </w:p>
        </w:tc>
        <w:tc>
          <w:tcPr>
            <w:tcW w:type="dxa" w:w="2880"/>
            <w:vAlign w:val="center"/>
          </w:tcPr>
          <w:p>
            <w:pPr>
              <w:spacing w:after="40"/>
            </w:pPr>
            <w:r>
              <w:rPr>
                <w:sz w:val="18"/>
              </w:rPr>
              <w:t>Institutional macro literature points to mixed outcomes depending on substitution, investment, and diffusion paths.[8][9][10][11][12]</w:t>
            </w:r>
          </w:p>
        </w:tc>
      </w:tr>
      <w:tr>
        <w:tc>
          <w:tcPr>
            <w:tcW w:type="dxa" w:w="2880"/>
            <w:vAlign w:val="center"/>
          </w:tcPr>
          <w:p>
            <w:pPr>
              <w:spacing w:after="40"/>
            </w:pPr>
            <w:r>
              <w:rPr>
                <w:sz w:val="18"/>
              </w:rPr>
              <w:t>Ownership analysis</w:t>
            </w:r>
          </w:p>
        </w:tc>
        <w:tc>
          <w:tcPr>
            <w:tcW w:type="dxa" w:w="3384"/>
            <w:vAlign w:val="center"/>
          </w:tcPr>
          <w:p>
            <w:pPr>
              <w:spacing w:after="40"/>
            </w:pPr>
            <w:r>
              <w:rPr>
                <w:sz w:val="18"/>
              </w:rPr>
              <w:t>Keep the structural praise, but separate goal from implementation.</w:t>
            </w:r>
          </w:p>
        </w:tc>
        <w:tc>
          <w:tcPr>
            <w:tcW w:type="dxa" w:w="2880"/>
            <w:vAlign w:val="center"/>
          </w:tcPr>
          <w:p>
            <w:pPr>
              <w:spacing w:after="40"/>
            </w:pPr>
            <w:r>
              <w:rPr>
                <w:sz w:val="18"/>
              </w:rPr>
              <w:t>Broader ownership is well motivated; exact capitalization rules are not yet empirically validated.[22][23]</w:t>
            </w:r>
          </w:p>
        </w:tc>
      </w:tr>
    </w:tbl>
    <w:p>
      <w:pPr>
        <w:pStyle w:val="Heading1"/>
      </w:pPr>
      <w:r>
        <w:t>7. Recommendations for the next revision of the paper</w:t>
      </w:r>
    </w:p>
    <w:p>
      <w:r>
        <w:t>• State even earlier that the scenario is a modeled policy family, not a singular prophecy. The current draft already gestures in that direction. Making it explicit on the first page would prevent readers from mistaking a structural scenario for a rigid forecast.</w:t>
      </w:r>
    </w:p>
    <w:p>
      <w:r>
        <w:t>• Keep the deflation thesis, but present it as the paper's central working scenario rather than as the only plausible macro regime. A short paragraph acknowledging mixed inflation paths would increase credibility without weakening the story.</w:t>
      </w:r>
    </w:p>
    <w:p>
      <w:r>
        <w:t>• Add one compact paragraph on the governance of the Public Trust Fund. Readers will want to know, immediately, that the fund is imagined as passive, rules-bound, and legally insulated from ministerial direction.</w:t>
      </w:r>
    </w:p>
    <w:p>
      <w:r>
        <w:t>• Clarify the trigger and measurement logic for automation-responsive corporate taxation. The idea is interesting, but readers will want to know what national variables are measured, how revisions are handled, and how avoidance through accounting or multinational allocation is constrained.</w:t>
      </w:r>
    </w:p>
    <w:p>
      <w:r>
        <w:t>• Preserve the mortgage section. It is one of the most original and analytically credible parts of the paper. If anything, it deserves one sentence explaining that the purpose is to stop nominal rigidity from destabilizing both households and banks in a disinflationary transition.</w:t>
      </w:r>
    </w:p>
    <w:p>
      <w:pPr>
        <w:pStyle w:val="Heading1"/>
      </w:pPr>
      <w:r>
        <w:t>8. Overall assessment</w:t>
      </w:r>
    </w:p>
    <w:p>
      <w:r>
        <w:t>The revised paper remains ambitious, but it is now easier to defend on its own terms. Its central contribution is not any single instrument. It is the insistence that an AI transition must be analyzed as a linked system of ownership, purchasing power, taxation, debt contracts, and political legitimacy.[1]</w:t>
      </w:r>
    </w:p>
    <w:p>
      <w:r>
        <w:t>That systems insight is the paper's strongest achievement, and the literature largely supports it. The biggest areas of uncertainty lie not in the broad diagnosis, but in macro-regime uncertainty and in the implementation details of the ownership and tax mechanisms.[8][9][10][11][12][22]</w:t>
      </w:r>
    </w:p>
    <w:p>
      <w:r>
        <w:t>My bottom-line judgment is therefore favorable but qualified: the paper is structurally serious, directionally well supported, and markedly improved when read as a long-horizon scenario architecture. Its best next step is not to retreat from boldness, but to sharpen the governance and calibration details that would make the architecture more politically and administratively legible.</w:t>
      </w:r>
    </w:p>
    <w:p>
      <w:pPr>
        <w:pStyle w:val="Heading1"/>
      </w:pPr>
      <w:r>
        <w:t>References</w:t>
      </w:r>
    </w:p>
    <w:p>
      <w:pPr>
        <w:pStyle w:val="Ref"/>
      </w:pPr>
      <w:r>
        <w:t>[1] Roger E. Ison. The New Loop: A Future History of the AI Transition. Revised manuscript dated March 7, 2026. User-supplied document.</w:t>
      </w:r>
    </w:p>
    <w:p>
      <w:pPr>
        <w:pStyle w:val="Ref"/>
      </w:pPr>
      <w:r>
        <w:t xml:space="preserve">[2] Acemoglu, Daron, and Pascual Restrepo. 2019. "Automation and New Tasks: How Technology Displaces and Reinstates Labor." Journal of Economic Perspectives 33 (2): 3-30. DOI: 10.1257/jep.33.2.3. </w:t>
      </w:r>
      <w:hyperlink r:id="rId9">
        <w:r>
          <w:rPr>
            <w:color w:val="0563C1"/>
            <w:u w:val="single"/>
          </w:rPr>
          <w:t>[Link]</w:t>
        </w:r>
      </w:hyperlink>
    </w:p>
    <w:p>
      <w:pPr>
        <w:pStyle w:val="Ref"/>
      </w:pPr>
      <w:r>
        <w:t xml:space="preserve">[3] Cazzaniga, Mauro, Florence Jaumotte, Longji Li, Giovanni Melina, Augustus J. Panton, Carlo Pizzinelli, Emma J. Rockall, and Marina Mendes Tavares. 2024. "Gen-AI: Artificial Intelligence and the Future of Work." IMF Staff Discussion Note SDN/2024/001. DOI: 10.5089/9798400262548.006. </w:t>
      </w:r>
      <w:hyperlink r:id="rId10">
        <w:r>
          <w:rPr>
            <w:color w:val="0563C1"/>
            <w:u w:val="single"/>
          </w:rPr>
          <w:t>[Link]</w:t>
        </w:r>
      </w:hyperlink>
    </w:p>
    <w:p>
      <w:pPr>
        <w:pStyle w:val="Ref"/>
      </w:pPr>
      <w:r>
        <w:t xml:space="preserve">[4] Gmyrek, Paweł, Janine Berg, Karol Kamiński, Filip Konopczyński, Agnieszka Ładna, Balint Nafradi, Konrad Rosłaniec, and Marek Troszyński. 2025. Generative AI and Jobs: A Refined Global Index of Occupational Exposure. ILO Working Paper 140. DOI: 10.54394/HETP0387. </w:t>
      </w:r>
      <w:hyperlink r:id="rId11">
        <w:r>
          <w:rPr>
            <w:color w:val="0563C1"/>
            <w:u w:val="single"/>
          </w:rPr>
          <w:t>[Link]</w:t>
        </w:r>
      </w:hyperlink>
    </w:p>
    <w:p>
      <w:pPr>
        <w:pStyle w:val="Ref"/>
      </w:pPr>
      <w:r>
        <w:t xml:space="preserve">[5] Hampole, Menaka, Dimitris Papanikolaou, Lawrence D.W. Schmidt, and Bryan Seegmiller. 2025. "Artificial Intelligence and the Labor Market." NBER Working Paper 33509. February 2025, revised September 2025. DOI: 10.3386/w33509. </w:t>
      </w:r>
      <w:hyperlink r:id="rId12">
        <w:r>
          <w:rPr>
            <w:color w:val="0563C1"/>
            <w:u w:val="single"/>
          </w:rPr>
          <w:t>[Link]</w:t>
        </w:r>
      </w:hyperlink>
    </w:p>
    <w:p>
      <w:pPr>
        <w:pStyle w:val="Ref"/>
      </w:pPr>
      <w:r>
        <w:t xml:space="preserve">[6] Appel, Ruth, Maxim Massenkoff, Peter McCrory, Miles McCain, Ryan Heller, Tyler Neylon, and Alex Tamkin. 2026. Anthropic Economic Index Report: Economic Primitives. Anthropic, January 15, 2026. </w:t>
      </w:r>
      <w:hyperlink r:id="rId13">
        <w:r>
          <w:rPr>
            <w:color w:val="0563C1"/>
            <w:u w:val="single"/>
          </w:rPr>
          <w:t>[Link]</w:t>
        </w:r>
      </w:hyperlink>
    </w:p>
    <w:p>
      <w:pPr>
        <w:pStyle w:val="Ref"/>
      </w:pPr>
      <w:r>
        <w:t xml:space="preserve">[7] Anthropic. 2026. "Labor Market Impacts of AI: A New Measure and Early Evidence." March 5, 2026. </w:t>
      </w:r>
      <w:hyperlink r:id="rId14">
        <w:r>
          <w:rPr>
            <w:color w:val="0563C1"/>
            <w:u w:val="single"/>
          </w:rPr>
          <w:t>[Link]</w:t>
        </w:r>
      </w:hyperlink>
    </w:p>
    <w:p>
      <w:pPr>
        <w:pStyle w:val="Ref"/>
      </w:pPr>
      <w:r>
        <w:t xml:space="preserve">[8] Filippucci, Francesco, Peter Gal, Cecilia Jona-Lasinio, Alvaro Leandro, and Giuseppe Nicoletti. 2024. "The Impact of Artificial Intelligence on Productivity, Distribution and Growth: Key Mechanisms, Initial Evidence and Policy Challenges." OECD Artificial Intelligence Papers, No. 15. DOI: 10.1787/8d900037-en. </w:t>
      </w:r>
      <w:hyperlink r:id="rId15">
        <w:r>
          <w:rPr>
            <w:color w:val="0563C1"/>
            <w:u w:val="single"/>
          </w:rPr>
          <w:t>[Link]</w:t>
        </w:r>
      </w:hyperlink>
    </w:p>
    <w:p>
      <w:pPr>
        <w:pStyle w:val="Ref"/>
      </w:pPr>
      <w:r>
        <w:t xml:space="preserve">[9] Filippucci, Francesco, Peter Gal, Katharina Laengle, Matthias Schief, and others. 2025. "Macroeconomic Productivity Gains from Artificial Intelligence in G7 Economies." OECD Artificial Intelligence Papers, No. 41. DOI: 10.1787/a5319ab5-en. </w:t>
      </w:r>
      <w:hyperlink r:id="rId16">
        <w:r>
          <w:rPr>
            <w:color w:val="0563C1"/>
            <w:u w:val="single"/>
          </w:rPr>
          <w:t>[Link]</w:t>
        </w:r>
      </w:hyperlink>
    </w:p>
    <w:p>
      <w:pPr>
        <w:pStyle w:val="Ref"/>
      </w:pPr>
      <w:r>
        <w:t xml:space="preserve">[10] Aldasoro, Iñaki, Sebastian Doerr, Leonardo Gambacorta, and Daniel Rees. 2024. "The Impact of Artificial Intelligence on Output and Inflation." BIS Working Papers No. 1179. </w:t>
      </w:r>
      <w:hyperlink r:id="rId17">
        <w:r>
          <w:rPr>
            <w:color w:val="0563C1"/>
            <w:u w:val="single"/>
          </w:rPr>
          <w:t>[Link]</w:t>
        </w:r>
      </w:hyperlink>
    </w:p>
    <w:p>
      <w:pPr>
        <w:pStyle w:val="Ref"/>
      </w:pPr>
      <w:r>
        <w:t xml:space="preserve">[11] Cerutti, Eugenio M., Antonio I. Garcia Pascual, Yosuke Kido, Longji Li, Giovanni Melina, Marina Mendes Tavares, and Philippe Wingender. 2025. "The Global Impact of AI: Mind the Gap." IMF Working Paper WP/25/76. DOI: 10.5089/9798229008570.001. </w:t>
      </w:r>
      <w:hyperlink r:id="rId18">
        <w:r>
          <w:rPr>
            <w:color w:val="0563C1"/>
            <w:u w:val="single"/>
          </w:rPr>
          <w:t>[Link]</w:t>
        </w:r>
      </w:hyperlink>
    </w:p>
    <w:p>
      <w:pPr>
        <w:pStyle w:val="Ref"/>
      </w:pPr>
      <w:r>
        <w:t xml:space="preserve">[12] Bank for International Settlements. 2024. "Artificial Intelligence and the Economy: Implications for Central Banks." Annual Economic Report 2024, Chapter III. </w:t>
      </w:r>
      <w:hyperlink r:id="rId19">
        <w:r>
          <w:rPr>
            <w:color w:val="0563C1"/>
            <w:u w:val="single"/>
          </w:rPr>
          <w:t>[Link]</w:t>
        </w:r>
      </w:hyperlink>
    </w:p>
    <w:p>
      <w:pPr>
        <w:pStyle w:val="Ref"/>
      </w:pPr>
      <w:r>
        <w:t xml:space="preserve">[13] Alter, Adrian, Alan Feng, and Nico Valckx. 2018. "Understanding the Macro-Financial Effects of Household Debt: A Global Perspective." IMF Working Paper WP/18/76. </w:t>
      </w:r>
      <w:hyperlink r:id="rId20">
        <w:r>
          <w:rPr>
            <w:color w:val="0563C1"/>
            <w:u w:val="single"/>
          </w:rPr>
          <w:t>[Link]</w:t>
        </w:r>
      </w:hyperlink>
    </w:p>
    <w:p>
      <w:pPr>
        <w:pStyle w:val="Ref"/>
      </w:pPr>
      <w:r>
        <w:t xml:space="preserve">[14] Lombardi, Marco Jacopo, Madhusudan Mohanty, and Ilhyock Shim. 2017. "The Real Effects of Household Debt in the Short and Long Run." BIS Working Papers No. 607. </w:t>
      </w:r>
      <w:hyperlink r:id="rId21">
        <w:r>
          <w:rPr>
            <w:color w:val="0563C1"/>
            <w:u w:val="single"/>
          </w:rPr>
          <w:t>[Link]</w:t>
        </w:r>
      </w:hyperlink>
    </w:p>
    <w:p>
      <w:pPr>
        <w:pStyle w:val="Ref"/>
      </w:pPr>
      <w:r>
        <w:t xml:space="preserve">[15] Campbell, John Y., Nuno Clara, and João F. Cocco. 2021. "Structuring Mortgages for Macroeconomic Stability." Journal of Finance 76 (5): 2525-2576. </w:t>
      </w:r>
      <w:hyperlink r:id="rId22">
        <w:r>
          <w:rPr>
            <w:color w:val="0563C1"/>
            <w:u w:val="single"/>
          </w:rPr>
          <w:t>[Link]</w:t>
        </w:r>
      </w:hyperlink>
    </w:p>
    <w:p>
      <w:pPr>
        <w:pStyle w:val="Ref"/>
      </w:pPr>
      <w:r>
        <w:t xml:space="preserve">[16] Piskorski, Tomasz, and Amit Seru. 2018. "Mortgage Market Design: Lessons from the Great Recession." Brookings Papers on Economic Activity, Spring 2018: 429-513. </w:t>
      </w:r>
      <w:hyperlink r:id="rId23">
        <w:r>
          <w:rPr>
            <w:color w:val="0563C1"/>
            <w:u w:val="single"/>
          </w:rPr>
          <w:t>[Link]</w:t>
        </w:r>
      </w:hyperlink>
    </w:p>
    <w:p>
      <w:pPr>
        <w:pStyle w:val="Ref"/>
      </w:pPr>
      <w:r>
        <w:t xml:space="preserve">[17] de la Feria, Rita, and Artur Swistak. 2024. "Designing a Progressive VAT." IMF Working Paper WP/24/78. DOI: 10.5089/9798400271830.001. </w:t>
      </w:r>
      <w:hyperlink r:id="rId24">
        <w:r>
          <w:rPr>
            <w:color w:val="0563C1"/>
            <w:u w:val="single"/>
          </w:rPr>
          <w:t>[Link]</w:t>
        </w:r>
      </w:hyperlink>
    </w:p>
    <w:p>
      <w:pPr>
        <w:pStyle w:val="Ref"/>
      </w:pPr>
      <w:r>
        <w:t xml:space="preserve">[18] de Mooij, Ruud, Shafik Hebous, and Michael Keen. 2025. "Efficiency Aspects of the Value Added Tax." IMF Working Paper WP/25/165. DOI: 10.5089/9798229016124.001. </w:t>
      </w:r>
      <w:hyperlink r:id="rId25">
        <w:r>
          <w:rPr>
            <w:color w:val="0563C1"/>
            <w:u w:val="single"/>
          </w:rPr>
          <w:t>[Link]</w:t>
        </w:r>
      </w:hyperlink>
    </w:p>
    <w:p>
      <w:pPr>
        <w:pStyle w:val="Ref"/>
      </w:pPr>
      <w:r>
        <w:t xml:space="preserve">[19] OECD. 2024. Consumption Tax Trends 2024: VAT/GST and Excise, Core Design Features and Trends. Paris: OECD Publishing. </w:t>
      </w:r>
      <w:hyperlink r:id="rId26">
        <w:r>
          <w:rPr>
            <w:color w:val="0563C1"/>
            <w:u w:val="single"/>
          </w:rPr>
          <w:t>[Link]</w:t>
        </w:r>
      </w:hyperlink>
    </w:p>
    <w:p>
      <w:pPr>
        <w:pStyle w:val="Ref"/>
      </w:pPr>
      <w:r>
        <w:t xml:space="preserve">[20] Jones, Damon, and Ioana Marinescu. 2022. "The Labor Market Impacts of Universal and Permanent Cash Transfers: Evidence from the Alaska Permanent Fund." American Economic Journal: Economic Policy 14 (2): 315-340. DOI: 10.1257/pol.20190299. </w:t>
      </w:r>
      <w:hyperlink r:id="rId27">
        <w:r>
          <w:rPr>
            <w:color w:val="0563C1"/>
            <w:u w:val="single"/>
          </w:rPr>
          <w:t>[Link]</w:t>
        </w:r>
      </w:hyperlink>
    </w:p>
    <w:p>
      <w:pPr>
        <w:pStyle w:val="Ref"/>
      </w:pPr>
      <w:r>
        <w:t xml:space="preserve">[21] Vivalt, Eva, Elizabeth Rhodes, Alexander W. Bartik, David E. Broockman, Patrick Krause, and Sarah Miller. 2024. "The Employment Effects of a Guaranteed Income: Experimental Evidence from Two U.S. States." NBER Working Paper 32719. July 2024, revised January 2026. DOI: 10.3386/w32719. </w:t>
      </w:r>
      <w:hyperlink r:id="rId28">
        <w:r>
          <w:rPr>
            <w:color w:val="0563C1"/>
            <w:u w:val="single"/>
          </w:rPr>
          <w:t>[Link]</w:t>
        </w:r>
      </w:hyperlink>
    </w:p>
    <w:p>
      <w:pPr>
        <w:pStyle w:val="Ref"/>
      </w:pPr>
      <w:r>
        <w:t xml:space="preserve">[22] International Working Group of Sovereign Wealth Funds. 2008. Sovereign Wealth Funds: Generally Accepted Principles and Practices, 'Santiago Principles.' </w:t>
      </w:r>
      <w:hyperlink r:id="rId29">
        <w:r>
          <w:rPr>
            <w:color w:val="0563C1"/>
            <w:u w:val="single"/>
          </w:rPr>
          <w:t>[Link]</w:t>
        </w:r>
      </w:hyperlink>
    </w:p>
    <w:p>
      <w:pPr>
        <w:pStyle w:val="Ref"/>
      </w:pPr>
      <w:r>
        <w:t xml:space="preserve">[23] Fonds de réserve pour les retraites (FRR). Official website and governance materials, accessed March 7, 2026. </w:t>
      </w:r>
      <w:hyperlink r:id="rId30">
        <w:r>
          <w:rPr>
            <w:color w:val="0563C1"/>
            <w:u w:val="single"/>
          </w:rPr>
          <w:t>[Link]</w:t>
        </w:r>
      </w:hyperlink>
    </w:p>
    <w:sectPr>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9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39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sz w:val="18"/>
    </w:rPr>
  </w:style>
  <w:style w:type="paragraph" w:customStyle="1" w:styleId="Ref">
    <w:name w:val="Ref"/>
    <w:basedOn w:val="Normal"/>
    <w:pPr>
      <w:spacing w:after="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aweb.org/articles?id=10.1257/jep.33.2.3" TargetMode="External"/><Relationship Id="rId10" Type="http://schemas.openxmlformats.org/officeDocument/2006/relationships/hyperlink" Target="https://www.imf.org/en/publications/staff-discussion-notes/issues/2024/01/14/gen-ai-artificial-intelligence-and-the-future-of-work-542379" TargetMode="External"/><Relationship Id="rId11" Type="http://schemas.openxmlformats.org/officeDocument/2006/relationships/hyperlink" Target="https://www.ilo.org/publications/generative-ai-and-jobs-refined-global-index-occupational-exposure" TargetMode="External"/><Relationship Id="rId12" Type="http://schemas.openxmlformats.org/officeDocument/2006/relationships/hyperlink" Target="https://www.nber.org/papers/w33509" TargetMode="External"/><Relationship Id="rId13" Type="http://schemas.openxmlformats.org/officeDocument/2006/relationships/hyperlink" Target="https://www.anthropic.com/research/economic-index-primitives" TargetMode="External"/><Relationship Id="rId14" Type="http://schemas.openxmlformats.org/officeDocument/2006/relationships/hyperlink" Target="https://www.anthropic.com/research/labor-market-impacts" TargetMode="External"/><Relationship Id="rId15" Type="http://schemas.openxmlformats.org/officeDocument/2006/relationships/hyperlink" Target="https://www.oecd.org/en/publications/the-impact-of-artificial-intelligence-on-productivity-distribution-and-growth_8d900037-en.html" TargetMode="External"/><Relationship Id="rId16" Type="http://schemas.openxmlformats.org/officeDocument/2006/relationships/hyperlink" Target="https://www.oecd.org/en/publications/macroeconomic-productivity-gains-from-artificial-intelligence-in-g7-economies_a5319ab5-en.html" TargetMode="External"/><Relationship Id="rId17" Type="http://schemas.openxmlformats.org/officeDocument/2006/relationships/hyperlink" Target="https://www.bis.org/publ/work1179.htm" TargetMode="External"/><Relationship Id="rId18" Type="http://schemas.openxmlformats.org/officeDocument/2006/relationships/hyperlink" Target="https://www.imf.org/en/publications/wp/issues/2025/04/11/the-global-impact-of-ai-mind-the-gap-566129" TargetMode="External"/><Relationship Id="rId19" Type="http://schemas.openxmlformats.org/officeDocument/2006/relationships/hyperlink" Target="https://www.bis.org/publ/arpdf/ar2024e3.htm" TargetMode="External"/><Relationship Id="rId20" Type="http://schemas.openxmlformats.org/officeDocument/2006/relationships/hyperlink" Target="https://www.imf.org/en/Publications/WP/Issues/2018/03/23/Understanding-the-Macro-Financial-Effects-of-Household-Debt-A-Global-Perspective-45784" TargetMode="External"/><Relationship Id="rId21" Type="http://schemas.openxmlformats.org/officeDocument/2006/relationships/hyperlink" Target="https://www.bis.org/publ/work607.htm" TargetMode="External"/><Relationship Id="rId22" Type="http://schemas.openxmlformats.org/officeDocument/2006/relationships/hyperlink" Target="https://www.nber.org/papers/w27676" TargetMode="External"/><Relationship Id="rId23" Type="http://schemas.openxmlformats.org/officeDocument/2006/relationships/hyperlink" Target="https://www.brookings.edu/articles/mortgage-market-design-lessons-from-the-great-recession/" TargetMode="External"/><Relationship Id="rId24" Type="http://schemas.openxmlformats.org/officeDocument/2006/relationships/hyperlink" Target="https://www.imf.org/en/publications/wp/issues/2024/04/05/designing-a-progressive-vat-546923" TargetMode="External"/><Relationship Id="rId25" Type="http://schemas.openxmlformats.org/officeDocument/2006/relationships/hyperlink" Target="https://www.imf.org/en/publications/wp/issues/2025/08/21/efficiency-aspects-of-the-value-added-tax-568251" TargetMode="External"/><Relationship Id="rId26" Type="http://schemas.openxmlformats.org/officeDocument/2006/relationships/hyperlink" Target="https://www.oecd.org/tax/consumption/consumption-tax-trends.htm" TargetMode="External"/><Relationship Id="rId27" Type="http://schemas.openxmlformats.org/officeDocument/2006/relationships/hyperlink" Target="https://www.aeaweb.org/articles?id=10.1257/pol.20190299" TargetMode="External"/><Relationship Id="rId28" Type="http://schemas.openxmlformats.org/officeDocument/2006/relationships/hyperlink" Target="https://www.nber.org/papers/w32719" TargetMode="External"/><Relationship Id="rId29" Type="http://schemas.openxmlformats.org/officeDocument/2006/relationships/hyperlink" Target="https://www.ifswf.org/santiago-principles-landing/santiago-principles" TargetMode="External"/><Relationship Id="rId30" Type="http://schemas.openxmlformats.org/officeDocument/2006/relationships/hyperlink" Target="https://www.fondsdereserv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