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21F4" w14:textId="77777777" w:rsidR="00C113FA" w:rsidRDefault="00000000">
      <w:pPr>
        <w:spacing w:after="120"/>
        <w:jc w:val="center"/>
      </w:pPr>
      <w:r>
        <w:rPr>
          <w:b/>
          <w:bCs/>
          <w:color w:val="1F3864"/>
          <w:sz w:val="44"/>
          <w:szCs w:val="44"/>
        </w:rPr>
        <w:t>Detailed Critique and Literature Review</w:t>
      </w:r>
    </w:p>
    <w:p w14:paraId="007B517E" w14:textId="77777777" w:rsidR="00C113FA" w:rsidRDefault="00000000">
      <w:pPr>
        <w:spacing w:after="80"/>
        <w:jc w:val="center"/>
      </w:pPr>
      <w:r>
        <w:rPr>
          <w:i/>
          <w:iCs/>
          <w:color w:val="2E5090"/>
          <w:sz w:val="28"/>
          <w:szCs w:val="28"/>
        </w:rPr>
        <w:t>“The New Loop: A Future History of the AI Transition”</w:t>
      </w:r>
    </w:p>
    <w:p w14:paraId="15F20151" w14:textId="77777777" w:rsidR="00C113FA" w:rsidRDefault="00000000">
      <w:pPr>
        <w:spacing w:after="480"/>
        <w:jc w:val="center"/>
      </w:pPr>
      <w:r>
        <w:rPr>
          <w:i/>
          <w:iCs/>
          <w:color w:val="666666"/>
        </w:rPr>
        <w:t>Roger Ison  |  Prepared March 7,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8042"/>
      </w:tblGrid>
      <w:tr w:rsidR="00C113FA" w14:paraId="48E8987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tcPr>
          <w:p w14:paraId="0029348B" w14:textId="77777777" w:rsidR="00C113FA" w:rsidRDefault="00000000">
            <w:pPr>
              <w:jc w:val="center"/>
            </w:pPr>
            <w:r>
              <w:rPr>
                <w:b/>
                <w:bCs/>
                <w:color w:val="FFFFFF"/>
                <w:sz w:val="20"/>
                <w:szCs w:val="20"/>
              </w:rPr>
              <w:t>OVERVIEW</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47D170FE" w14:textId="77777777" w:rsidR="00C113FA" w:rsidRDefault="00000000">
            <w:pPr>
              <w:jc w:val="both"/>
            </w:pPr>
            <w:r>
              <w:rPr>
                <w:sz w:val="21"/>
                <w:szCs w:val="21"/>
              </w:rPr>
              <w:t>This critique evaluates the scenario paper on its own terms as a future-history argument, assesses each policy proposal against the scholarly and policy literature, identifies what is novel, and gives a judgment on whether the main point and conclusions are well supported. Section references follow the structure of the paper itself.</w:t>
            </w:r>
          </w:p>
        </w:tc>
      </w:tr>
    </w:tbl>
    <w:p w14:paraId="1E2DED71" w14:textId="77777777" w:rsidR="00C113FA" w:rsidRDefault="00C113FA">
      <w:pPr>
        <w:spacing w:after="100"/>
      </w:pPr>
    </w:p>
    <w:p w14:paraId="62FAC437" w14:textId="77777777" w:rsidR="00C113FA" w:rsidRDefault="00C113FA">
      <w:pPr>
        <w:spacing w:after="100"/>
      </w:pPr>
    </w:p>
    <w:p w14:paraId="49466CB6" w14:textId="77777777" w:rsidR="00C113FA" w:rsidRDefault="00000000">
      <w:pPr>
        <w:pStyle w:val="Heading1"/>
        <w:pBdr>
          <w:bottom w:val="single" w:sz="6" w:space="4" w:color="1F3864"/>
        </w:pBdr>
      </w:pPr>
      <w:r>
        <w:t>1. What the Paper Is Doing — and What Kind of Argument It Makes</w:t>
      </w:r>
    </w:p>
    <w:p w14:paraId="2DC57030" w14:textId="77777777" w:rsidR="00C113FA" w:rsidRDefault="00000000">
      <w:pPr>
        <w:spacing w:before="60" w:after="140"/>
        <w:jc w:val="both"/>
      </w:pPr>
      <w:r>
        <w:t>The New Loop is not a forecast, a policy white paper, or an academic article. It is a purposeful future-history narrative designed to make the structure of an economic transition visible. The author is explicit about this: the scenario “is purposeful storytelling” whose goal is to show how multiple policy mechanisms interact within a single economic system, and to provide a “basis for more disciplined public discussion.”</w:t>
      </w:r>
    </w:p>
    <w:p w14:paraId="0A6DB4C3" w14:textId="77777777" w:rsidR="00C113FA" w:rsidRDefault="00000000">
      <w:pPr>
        <w:spacing w:before="60" w:after="140"/>
        <w:jc w:val="both"/>
      </w:pPr>
      <w:r>
        <w:t>That methodological choice has important consequences for how the paper should be evaluated. Future-history is a legitimate intellectual genre with distinguished precedents—Shell’s global scenarios, the Club of Rome’s Limits to Growth, and Keynes’s “Economic Possibilities for Our Grandchildren” all use narrative imagination to make structural arguments that formal modeling alone cannot carry. The right question is therefore not “will this happen?” but “is the causal architecture internally coherent, are the policy proposals well-designed, and is the systemic argument well supported by what we know?”</w:t>
      </w:r>
    </w:p>
    <w:p w14:paraId="2DBC4FB8" w14:textId="77777777" w:rsidR="00C113FA" w:rsidRDefault="00000000">
      <w:pPr>
        <w:spacing w:before="60" w:after="140"/>
        <w:jc w:val="both"/>
      </w:pPr>
      <w:r>
        <w:t>Against those criteria the paper performs well. Its ambition—to treat the AI transition as a systems-engineering problem in income circulation rather than a single-policy debate—is both appropriate and underserved in the existing literature. Its main analytical move, naming the wage-based circular flow as “the Old Loop” and framing the policy task as constructing a replacement, is an intellectually productive simplification rather than a distortion.</w:t>
      </w:r>
    </w:p>
    <w:p w14:paraId="2C4B0622" w14:textId="77777777" w:rsidR="00C113FA" w:rsidRDefault="00C113FA">
      <w:pPr>
        <w:spacing w:after="100"/>
      </w:pPr>
    </w:p>
    <w:p w14:paraId="55371A58" w14:textId="77777777" w:rsidR="00C113FA" w:rsidRDefault="00000000">
      <w:pPr>
        <w:pStyle w:val="Heading1"/>
        <w:pBdr>
          <w:bottom w:val="single" w:sz="6" w:space="4" w:color="1F3864"/>
        </w:pBdr>
      </w:pPr>
      <w:r>
        <w:t>2. Issues Raised by the Paper</w:t>
      </w:r>
    </w:p>
    <w:p w14:paraId="3DFA938F" w14:textId="77777777" w:rsidR="00C113FA" w:rsidRDefault="00000000">
      <w:pPr>
        <w:spacing w:before="60" w:after="140"/>
        <w:jc w:val="both"/>
      </w:pPr>
      <w:r>
        <w:t>The paper raises five analytically distinct problems. Each deserves independent assessment against the literature.</w:t>
      </w:r>
    </w:p>
    <w:p w14:paraId="50FBBCE0" w14:textId="77777777" w:rsidR="00C113FA" w:rsidRDefault="00000000">
      <w:pPr>
        <w:pStyle w:val="Heading2"/>
      </w:pPr>
      <w:r>
        <w:t>2.1 The Income Architecture Problem</w:t>
      </w:r>
    </w:p>
    <w:p w14:paraId="6489B4BD" w14:textId="77777777" w:rsidR="00C113FA" w:rsidRDefault="00000000">
      <w:pPr>
        <w:spacing w:before="60" w:after="140"/>
        <w:jc w:val="both"/>
      </w:pPr>
      <w:r>
        <w:t xml:space="preserve">The central issue is that automation shifts value-added away from wages toward profits. The paper frames this as a systemic threat to demand: if wage income was historically the dominant </w:t>
      </w:r>
      <w:r>
        <w:lastRenderedPageBreak/>
        <w:t>channel through which purchasing power reached households, and that channel narrows, then aggregate demand weakens relative to productive capacity.</w:t>
      </w:r>
    </w:p>
    <w:p w14:paraId="11E7AEEC" w14:textId="77777777" w:rsidR="00C113FA" w:rsidRDefault="00000000">
      <w:pPr>
        <w:spacing w:before="60" w:after="140"/>
        <w:jc w:val="both"/>
      </w:pPr>
      <w:r>
        <w:t>This is the paper’s most important and best-supported claim. Acemoglu and Restrepo’s task-displacement framework (2019, Journal of Economic Perspectives) provides the canonical modern treatment: automation destroys labor-complementary tasks faster than new tasks are created, causing labor’s share to fall. The IMF’s 2024 Staff Discussion Note on Gen-AI confirms that high-income, information-dense occupations are heavily exposed — a departure from earlier automation waves that hit routine manual work first. The OECD AI Papers (Nos. 15 and 41) find directional support for the productivity-without-broad-employment-gain pattern the paper describes.</w:t>
      </w:r>
    </w:p>
    <w:p w14:paraId="002E5BAB" w14:textId="77777777" w:rsidR="00C113FA" w:rsidRDefault="00000000">
      <w:pPr>
        <w:spacing w:before="60" w:after="140"/>
        <w:jc w:val="both"/>
      </w:pPr>
      <w:r>
        <w:t>The paper’s framing is stronger than it acknowledges. Kaldor’s stylized fact of a roughly stable labor share held for most of the 20th century; recent OECD data shows that share declining in most advanced economies since the 1980s, with AI likely to accelerate rather than originate the trend. The paper’s claim is therefore not speculative — it describes an acceleration of a documented trend.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3C9A656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5090"/>
            <w:tcMar>
              <w:top w:w="120" w:type="dxa"/>
              <w:left w:w="120" w:type="dxa"/>
              <w:bottom w:w="120" w:type="dxa"/>
              <w:right w:w="120" w:type="dxa"/>
            </w:tcMar>
          </w:tcPr>
          <w:p w14:paraId="0D7F70FD"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6D1E406C" w14:textId="77777777" w:rsidR="00C113FA" w:rsidRDefault="00000000">
            <w:pPr>
              <w:jc w:val="both"/>
            </w:pPr>
            <w:r>
              <w:rPr>
                <w:sz w:val="21"/>
                <w:szCs w:val="21"/>
              </w:rPr>
              <w:t>Strongly supported. Acemoglu &amp; Restrepo (2019); IMF SDN/2024/001 (Cazzaniga et al.); ILO WP 140 (Gmyrek et al., 2025); OECD AI Papers 15 &amp; 41. One nuance the paper elides: the size and speed of task-displacement matters enormously. Current evidence shows task-level changes clearly, but aggregate employment collapse has not yet materialized — displacement is concentrated in entry-level and cognitive roles before it appears in headline unemployment data.</w:t>
            </w:r>
          </w:p>
        </w:tc>
      </w:tr>
    </w:tbl>
    <w:p w14:paraId="0A3006BE" w14:textId="77777777" w:rsidR="00C113FA" w:rsidRDefault="00C113FA">
      <w:pPr>
        <w:spacing w:after="100"/>
      </w:pPr>
    </w:p>
    <w:p w14:paraId="6F7F6BF4" w14:textId="77777777" w:rsidR="00C113FA" w:rsidRDefault="00000000">
      <w:pPr>
        <w:pStyle w:val="Heading2"/>
      </w:pPr>
      <w:r>
        <w:t>2.2 The Demand-Fragility and Debt-Deflation Problem</w:t>
      </w:r>
    </w:p>
    <w:p w14:paraId="065D740B" w14:textId="77777777" w:rsidR="00C113FA" w:rsidRDefault="00000000">
      <w:pPr>
        <w:spacing w:before="60" w:after="140"/>
        <w:jc w:val="both"/>
      </w:pPr>
      <w:r>
        <w:t>The paper argues that as wage income weakens, households substitute debt for income to sustain consumption. This debt expansion is not a solution; it is a delayed amplifier. When debt service eventually exceeds cash flow, household balance sheets deteriorate, credit tightens, demand collapses, and the feedback runs backward through the system.</w:t>
      </w:r>
    </w:p>
    <w:p w14:paraId="4A397BF9" w14:textId="77777777" w:rsidR="00C113FA" w:rsidRDefault="00000000">
      <w:pPr>
        <w:spacing w:before="60" w:after="140"/>
        <w:jc w:val="both"/>
      </w:pPr>
      <w:r>
        <w:t>This mechanism is the intellectual core of the paper and it is analytically robust. Mian and Sufi’s research on household debt and the Great Recession — notably absent from the paper’s citation apparatus — is the most direct empirical support: their work shows that household balance-sheet weakness, not financial-sector distress per se, drove the persistent demand depression after 2008. The IMF (Alter, Feng, and Valckx, WP/18/76) and BIS (Lombardi, Mohanty, and Shim, WP 607) confirm that household debt above certain thresholds acts as a long-run drag on growth even in recoveries. The paper’s specific observation — that fixed nominal mortgage payments become crushing when prices and wages fall — maps precisely onto what Campbell, Clara, and Cocco (Journal of Finance, 2021) call the “nominal rigidity problem” in mortgage markets.</w:t>
      </w:r>
    </w:p>
    <w:p w14:paraId="1A55DF38" w14:textId="77777777" w:rsidR="00C113FA" w:rsidRDefault="00000000">
      <w:pPr>
        <w:spacing w:before="60" w:after="140"/>
        <w:jc w:val="both"/>
      </w:pPr>
      <w:r>
        <w:t>The paper contains a vivid and analytically precise passage: “the warning sign is not the average household; it is the ninety-fifth percentile of debt-service pain.” This tail-risk framing is correct and underutilized in popular discussions of financial stability. The BIS has used exactly this distributional framing in its household debt vulnerability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19CE9A1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5090"/>
            <w:tcMar>
              <w:top w:w="120" w:type="dxa"/>
              <w:left w:w="120" w:type="dxa"/>
              <w:bottom w:w="120" w:type="dxa"/>
              <w:right w:w="120" w:type="dxa"/>
            </w:tcMar>
          </w:tcPr>
          <w:p w14:paraId="6B612010"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0817F2E9" w14:textId="77777777" w:rsidR="00C113FA" w:rsidRDefault="00000000">
            <w:pPr>
              <w:jc w:val="both"/>
            </w:pPr>
            <w:r>
              <w:rPr>
                <w:sz w:val="21"/>
                <w:szCs w:val="21"/>
              </w:rPr>
              <w:t>Strongly supported. IMF WP/18/76; BIS WP 607; Campbell, Clara &amp; Cocco (2021); Piskorski &amp; Seru (2018). Critical omission: Mian &amp; Sufi’s “House of Debt” (2014) and their AER papers on household leverage and the 2008 recession are the strongest empirical anchors for Movement C and should be cited.</w:t>
            </w:r>
          </w:p>
        </w:tc>
      </w:tr>
    </w:tbl>
    <w:p w14:paraId="25FABFE6" w14:textId="77777777" w:rsidR="00C113FA" w:rsidRDefault="00C113FA">
      <w:pPr>
        <w:spacing w:after="100"/>
      </w:pPr>
    </w:p>
    <w:p w14:paraId="1FA095FA" w14:textId="77777777" w:rsidR="00C113FA" w:rsidRDefault="00000000">
      <w:pPr>
        <w:pStyle w:val="Heading2"/>
      </w:pPr>
      <w:r>
        <w:t>2.3 The Deflation Risk</w:t>
      </w:r>
    </w:p>
    <w:p w14:paraId="6EA64CDE" w14:textId="77777777" w:rsidR="00C113FA" w:rsidRDefault="00000000">
      <w:pPr>
        <w:spacing w:before="60" w:after="140"/>
        <w:jc w:val="both"/>
      </w:pPr>
      <w:r>
        <w:t>The paper argues that AI-driven automation is structurally deflationary: productivity rises, competition intensifies because there are “not many durable secrets about artificial intelligence,” prices in AI-touched sectors are driven toward marginal cost, and nominal wage income softens. The paper explicitly acknowledges that “markup capture can push the other way” in concentrated markets, and that the model “does not assume a single outcome.”</w:t>
      </w:r>
    </w:p>
    <w:p w14:paraId="7CDFD190" w14:textId="77777777" w:rsidR="00C113FA" w:rsidRDefault="00000000">
      <w:pPr>
        <w:spacing w:before="60" w:after="140"/>
        <w:jc w:val="both"/>
      </w:pPr>
      <w:r>
        <w:t>This is the paper’s most contested macro claim. The BIS Annual Economic Report 2024 (Chapter III) and OECD AI Papers find support for the deflationary channel. But the same literature notes that the AI investment surge itself creates demand for energy, hardware, and specialized labor; that geopolitical supply fragmentation raises costs in many traded goods; and that complementary labor demand in AI-adjacent roles can sustain wage growth in some segments. IMF WP/25/76 on the global impact of AI explicitly warns that diffusion is uneven and macro outcomes depend heavily on initial conditions.</w:t>
      </w:r>
    </w:p>
    <w:p w14:paraId="31777753" w14:textId="77777777" w:rsidR="00C113FA" w:rsidRDefault="00000000">
      <w:pPr>
        <w:spacing w:before="60" w:after="140"/>
        <w:jc w:val="both"/>
      </w:pPr>
      <w:r>
        <w:t>The paper’s deflation thesis is defensible as the paper’s chosen working scenario, particularly because the author notes he “spent much of his adult life investing against inflation” and now judges AI to be deflationary. That personal epistemic humility is appropriate. The paper would be strengthened by a short passage acknowledging that the policy architecture must be robust to mixed regimes — something the model already does (“the model does not assume a single outcome”) but the narrative does not emphasize.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4839B17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tcPr>
          <w:p w14:paraId="4F29884A"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075E5042" w14:textId="77777777" w:rsidR="00C113FA" w:rsidRDefault="00000000">
            <w:pPr>
              <w:jc w:val="both"/>
            </w:pPr>
            <w:r>
              <w:rPr>
                <w:sz w:val="21"/>
                <w:szCs w:val="21"/>
              </w:rPr>
              <w:t>Partially supported. BIS 2024; OECD AI Papers 15 &amp; 41; IMF WP/25/76. Deflation is a well-motivated scenario in a high-AI, high-competition world; it is not yet the consensus baseline. The paper’s careful hedge (“markup capture can push the other way”) is correct and should be made more prominent in the narrative.</w:t>
            </w:r>
          </w:p>
        </w:tc>
      </w:tr>
    </w:tbl>
    <w:p w14:paraId="685B0D7B" w14:textId="77777777" w:rsidR="00C113FA" w:rsidRDefault="00C113FA">
      <w:pPr>
        <w:spacing w:after="100"/>
      </w:pPr>
    </w:p>
    <w:p w14:paraId="0821184E" w14:textId="77777777" w:rsidR="00C113FA" w:rsidRDefault="00000000">
      <w:pPr>
        <w:pStyle w:val="Heading2"/>
      </w:pPr>
      <w:r>
        <w:t>2.4 The Concentration Trap vs. Treadmill Trap</w:t>
      </w:r>
    </w:p>
    <w:p w14:paraId="78AE1C09" w14:textId="77777777" w:rsidR="00C113FA" w:rsidRDefault="00000000">
      <w:pPr>
        <w:spacing w:before="60" w:after="140"/>
        <w:jc w:val="both"/>
      </w:pPr>
      <w:r>
        <w:t>The paper names two failure modes: a “concentration trap” in which automation rents accrue to narrow ownership, weakening demand and social legitimacy; and a “treadmill trap” in which ad hoc transfers and stimulus offset structural decline without rebuilding a durable loop, producing fiscal strain and political fragility. This taxonomy is one of the paper’s most intellectually distinctive contributions.</w:t>
      </w:r>
    </w:p>
    <w:p w14:paraId="4A766BD9" w14:textId="77777777" w:rsidR="00C113FA" w:rsidRDefault="00000000">
      <w:pPr>
        <w:spacing w:before="60" w:after="140"/>
        <w:jc w:val="both"/>
      </w:pPr>
      <w:r>
        <w:t>Both failure modes have historical precedent. The concentration trap describes elements of the Gilded Age and the pre-2008 financialization period. The treadmill trap describes aspects of Japan’s lost decades and, arguably, the post-2010 fiscal experience of several European economies that used austerity-then-stimulus cycles without addressing structural demand weakness. The paper’s insistence that isolated policy debates — UBI alone, robot taxes alone, retraining programs alone — fall into the treadmill trap is an important and undersupported argument in the existing AI policy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17D2A38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F5C1F"/>
            <w:tcMar>
              <w:top w:w="120" w:type="dxa"/>
              <w:left w:w="120" w:type="dxa"/>
              <w:bottom w:w="120" w:type="dxa"/>
              <w:right w:w="120" w:type="dxa"/>
            </w:tcMar>
          </w:tcPr>
          <w:p w14:paraId="3C1430EF"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6DA61724" w14:textId="77777777" w:rsidR="00C113FA" w:rsidRDefault="00000000">
            <w:pPr>
              <w:jc w:val="both"/>
            </w:pPr>
            <w:r>
              <w:rPr>
                <w:sz w:val="21"/>
                <w:szCs w:val="21"/>
              </w:rPr>
              <w:t>Novel framing, well-supported logic. The two-failure-mode taxonomy is not standard in the literature but accurately characterizes outcomes documented in historical and comparative political economy research. It should be retained and developed.</w:t>
            </w:r>
          </w:p>
        </w:tc>
      </w:tr>
    </w:tbl>
    <w:p w14:paraId="06D78D91" w14:textId="77777777" w:rsidR="00C113FA" w:rsidRDefault="00C113FA">
      <w:pPr>
        <w:spacing w:after="100"/>
      </w:pPr>
    </w:p>
    <w:p w14:paraId="165EB744" w14:textId="77777777" w:rsidR="00C113FA" w:rsidRDefault="00000000">
      <w:pPr>
        <w:pStyle w:val="Heading2"/>
      </w:pPr>
      <w:r>
        <w:lastRenderedPageBreak/>
        <w:t>2.5 The Political Legitimacy Problem</w:t>
      </w:r>
    </w:p>
    <w:p w14:paraId="4AA95909" w14:textId="77777777" w:rsidR="00C113FA" w:rsidRDefault="00000000">
      <w:pPr>
        <w:spacing w:before="60" w:after="140"/>
        <w:jc w:val="both"/>
      </w:pPr>
      <w:r>
        <w:t>The paper argues throughout that economic architectures must be politically sustainable “over decades rather than election cycles.” The France-first narrative, the invocation of the Declaration of the Rights of Man, and the CEO/CFO dialogues all serve this argument: any reform package that cannot generate cross-class political support will not survive a 20-year transition.</w:t>
      </w:r>
    </w:p>
    <w:p w14:paraId="5DC983FC" w14:textId="77777777" w:rsidR="00C113FA" w:rsidRDefault="00000000">
      <w:pPr>
        <w:spacing w:before="60" w:after="140"/>
        <w:jc w:val="both"/>
      </w:pPr>
      <w:r>
        <w:t>This is a substantive analytical point, not merely rhetorical decoration. The comparative welfare-state literature (Esping-Andersen’s “Three Worlds of Welfare Capitalism”; Pierson’s work on retrenchment politics) consistently shows that durable social contracts require broad stakeholder buy-in and institutional insulation from electoral volatility. The paper’s framing of the Public Trust Fund as a passive, rules-bound, capped institution — not a political steering committee — reflects exactly the design principles the sovereign wealth fund governance literature (Santiago Principles, IFSWF 2008) identifies as necessary for public legitimacy.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672188F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F5C1F"/>
            <w:tcMar>
              <w:top w:w="120" w:type="dxa"/>
              <w:left w:w="120" w:type="dxa"/>
              <w:bottom w:w="120" w:type="dxa"/>
              <w:right w:w="120" w:type="dxa"/>
            </w:tcMar>
          </w:tcPr>
          <w:p w14:paraId="16D952F6"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2A5056E0" w14:textId="77777777" w:rsidR="00C113FA" w:rsidRDefault="00000000">
            <w:pPr>
              <w:jc w:val="both"/>
            </w:pPr>
            <w:r>
              <w:rPr>
                <w:sz w:val="21"/>
                <w:szCs w:val="21"/>
              </w:rPr>
              <w:t>Well-motivated; political economy literature strongly supports the durability argument. Omissions: Esping-Andersen and Pierson would strengthen the institutional durability case. The governance literature on sovereign wealth funds (Santiago Principles) directly supports the Trust Fund design logic.</w:t>
            </w:r>
          </w:p>
        </w:tc>
      </w:tr>
    </w:tbl>
    <w:p w14:paraId="0C916C44" w14:textId="77777777" w:rsidR="00C113FA" w:rsidRDefault="00C113FA">
      <w:pPr>
        <w:spacing w:after="100"/>
      </w:pPr>
    </w:p>
    <w:p w14:paraId="41F32713" w14:textId="77777777" w:rsidR="00C113FA" w:rsidRDefault="00000000">
      <w:pPr>
        <w:pStyle w:val="Heading1"/>
        <w:pBdr>
          <w:bottom w:val="single" w:sz="6" w:space="4" w:color="1F3864"/>
        </w:pBdr>
      </w:pPr>
      <w:r>
        <w:t>3. Main Movements of the Storyline</w:t>
      </w:r>
    </w:p>
    <w:p w14:paraId="282ECA7D" w14:textId="77777777" w:rsidR="00C113FA" w:rsidRDefault="00000000">
      <w:pPr>
        <w:spacing w:before="60" w:after="140"/>
        <w:jc w:val="both"/>
      </w:pPr>
      <w:r>
        <w:t>The paper’s narrative unfolds in five sequential movements that form a coherent causal chain. The table below summarizes each and assesses its internal logic and literature support.</w:t>
      </w:r>
    </w:p>
    <w:p w14:paraId="261AD4EF" w14:textId="77777777" w:rsidR="00C113FA" w:rsidRDefault="00C113F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500"/>
        <w:gridCol w:w="2860"/>
      </w:tblGrid>
      <w:tr w:rsidR="00C113FA" w14:paraId="26B891FF"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679F27" w14:textId="77777777" w:rsidR="00C113FA" w:rsidRDefault="00000000">
            <w:r>
              <w:rPr>
                <w:b/>
                <w:bCs/>
                <w:color w:val="FFFFFF"/>
                <w:sz w:val="19"/>
                <w:szCs w:val="19"/>
              </w:rPr>
              <w:t>Movement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517C34" w14:textId="77777777" w:rsidR="00C113FA" w:rsidRDefault="00000000">
            <w:r>
              <w:rPr>
                <w:b/>
                <w:bCs/>
                <w:color w:val="FFFFFF"/>
                <w:sz w:val="19"/>
                <w:szCs w:val="19"/>
              </w:rPr>
              <w:t>Summary</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69310" w14:textId="77777777" w:rsidR="00C113FA" w:rsidRDefault="00000000">
            <w:r>
              <w:rPr>
                <w:b/>
                <w:bCs/>
                <w:color w:val="FFFFFF"/>
                <w:sz w:val="19"/>
                <w:szCs w:val="19"/>
              </w:rPr>
              <w:t>Internal Logic</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147AD2" w14:textId="77777777" w:rsidR="00C113FA" w:rsidRDefault="00000000">
            <w:r>
              <w:rPr>
                <w:b/>
                <w:bCs/>
                <w:color w:val="FFFFFF"/>
                <w:sz w:val="19"/>
                <w:szCs w:val="19"/>
              </w:rPr>
              <w:t>Literature Support</w:t>
            </w:r>
          </w:p>
        </w:tc>
      </w:tr>
      <w:tr w:rsidR="00C113FA" w14:paraId="4D96E4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C5B6F6" w14:textId="77777777" w:rsidR="00C113FA" w:rsidRDefault="00000000">
            <w:r>
              <w:rPr>
                <w:sz w:val="19"/>
                <w:szCs w:val="19"/>
              </w:rPr>
              <w:t>First Wave</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08AE3E" w14:textId="77777777" w:rsidR="00C113FA" w:rsidRDefault="00000000">
            <w:r>
              <w:rPr>
                <w:sz w:val="19"/>
                <w:szCs w:val="19"/>
              </w:rPr>
              <w:t>AI becomes a commodity input; information work compresses; productivity rises but headcount falls; wage share begins to slide.</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11672E" w14:textId="77777777" w:rsidR="00C113FA" w:rsidRDefault="00000000">
            <w:r>
              <w:rPr>
                <w:sz w:val="19"/>
                <w:szCs w:val="19"/>
              </w:rPr>
              <w:t>Strong. The sequence from task substitution to headcount reduction to wage-share decline follows directly from the task-displacement literature.</w:t>
            </w:r>
          </w:p>
        </w:tc>
        <w:tc>
          <w:tcPr>
            <w:tcW w:w="2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AFFD57" w14:textId="77777777" w:rsidR="00C113FA" w:rsidRDefault="00000000">
            <w:r>
              <w:rPr>
                <w:sz w:val="19"/>
                <w:szCs w:val="19"/>
              </w:rPr>
              <w:t>Strong — Acemoglu &amp; Restrepo (2019); IMF SDN/2024/001; ILO WP 140; Anthropic Economic Index (2026).</w:t>
            </w:r>
          </w:p>
        </w:tc>
      </w:tr>
      <w:tr w:rsidR="00C113FA" w14:paraId="7E37CB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3A17" w14:textId="77777777" w:rsidR="00C113FA" w:rsidRDefault="00000000">
            <w:r>
              <w:rPr>
                <w:sz w:val="19"/>
                <w:szCs w:val="19"/>
              </w:rPr>
              <w:t>Second Wave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A5BB8" w14:textId="77777777" w:rsidR="00C113FA" w:rsidRDefault="00000000">
            <w:r>
              <w:rPr>
                <w:sz w:val="19"/>
                <w:szCs w:val="19"/>
              </w:rPr>
              <w:t>Hiring becomes an irreversible decision; automation investment surges; households sustain consumption via debt; credit expands in the middle and lower-middle.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D9A1B" w14:textId="77777777" w:rsidR="00C113FA" w:rsidRDefault="00000000">
            <w:r>
              <w:rPr>
                <w:sz w:val="19"/>
                <w:szCs w:val="19"/>
              </w:rPr>
              <w:t>Strong. The debt-substitution mechanism is the paper’s most analytically precise contribution. The 95th percentile debt-service framing is original and correct.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DC5BD" w14:textId="77777777" w:rsidR="00C113FA" w:rsidRDefault="00000000">
            <w:r>
              <w:rPr>
                <w:sz w:val="19"/>
                <w:szCs w:val="19"/>
              </w:rPr>
              <w:t>Strong — IMF WP/18/76; BIS WP 607; Campbell et al. (2021). Missing: Mian &amp; Sufi (2014) on household leverage.</w:t>
            </w:r>
          </w:p>
        </w:tc>
      </w:tr>
      <w:tr w:rsidR="00C113FA" w14:paraId="3FD292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959057" w14:textId="77777777" w:rsidR="00C113FA" w:rsidRDefault="00000000">
            <w:r>
              <w:rPr>
                <w:sz w:val="19"/>
                <w:szCs w:val="19"/>
              </w:rPr>
              <w:t>Recognition Moment</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CF4162" w14:textId="77777777" w:rsidR="00C113FA" w:rsidRDefault="00000000">
            <w:r>
              <w:rPr>
                <w:sz w:val="19"/>
                <w:szCs w:val="19"/>
              </w:rPr>
              <w:t>Credit tightens; the economy becomes demand-constrained even as capacity grows; the loop between output and purchasing power breaks.</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30C1609" w14:textId="77777777" w:rsidR="00C113FA" w:rsidRDefault="00000000">
            <w:r>
              <w:rPr>
                <w:sz w:val="19"/>
                <w:szCs w:val="19"/>
              </w:rPr>
              <w:t>Strong. The demand-constrained-with-rising-capacity scenario is exactly the Keynesian “paradox of thrift” updated for an automation context.</w:t>
            </w:r>
          </w:p>
        </w:tc>
        <w:tc>
          <w:tcPr>
            <w:tcW w:w="2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B60B0D" w14:textId="77777777" w:rsidR="00C113FA" w:rsidRDefault="00000000">
            <w:r>
              <w:rPr>
                <w:sz w:val="19"/>
                <w:szCs w:val="19"/>
              </w:rPr>
              <w:t>Moderate to strong — BIS 2024; OECD AI Papers. The specific AI-demand-constraint nexus is newer and less empirically settled.</w:t>
            </w:r>
          </w:p>
        </w:tc>
      </w:tr>
      <w:tr w:rsidR="00C113FA" w14:paraId="7EBD2F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CBE67" w14:textId="77777777" w:rsidR="00C113FA" w:rsidRDefault="00000000">
            <w:r>
              <w:rPr>
                <w:sz w:val="19"/>
                <w:szCs w:val="19"/>
              </w:rPr>
              <w:lastRenderedPageBreak/>
              <w:t>National Stories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346E" w14:textId="77777777" w:rsidR="00C113FA" w:rsidRDefault="00000000">
            <w:r>
              <w:rPr>
                <w:sz w:val="19"/>
                <w:szCs w:val="19"/>
              </w:rPr>
              <w:t>China, USA, and Europe each face the same storm with different institutional hulls; France acts first with coherence and institutional capacity.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556F3" w14:textId="77777777" w:rsidR="00C113FA" w:rsidRDefault="00000000">
            <w:r>
              <w:rPr>
                <w:sz w:val="19"/>
                <w:szCs w:val="19"/>
              </w:rPr>
              <w:t>Plausible as narrative; the institutional analysis of France is the strongest element. The China-Taiwan section is speculative but internally consistent.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56CD7" w14:textId="77777777" w:rsidR="00C113FA" w:rsidRDefault="00000000">
            <w:r>
              <w:rPr>
                <w:sz w:val="19"/>
                <w:szCs w:val="19"/>
              </w:rPr>
              <w:t>Mixed. The comparative institutional analysis is qualitatively sound. The China-Taiwan scenario involves geopolitical variables that are genuinely unpredictable.</w:t>
            </w:r>
          </w:p>
        </w:tc>
      </w:tr>
      <w:tr w:rsidR="00C113FA" w14:paraId="7C4241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ACC637B" w14:textId="77777777" w:rsidR="00C113FA" w:rsidRDefault="00000000">
            <w:r>
              <w:rPr>
                <w:sz w:val="19"/>
                <w:szCs w:val="19"/>
              </w:rPr>
              <w:t>La Nouvelle Boucle</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E113CAD" w14:textId="77777777" w:rsidR="00C113FA" w:rsidRDefault="00000000">
            <w:r>
              <w:rPr>
                <w:sz w:val="19"/>
                <w:szCs w:val="19"/>
              </w:rPr>
              <w:t>France implements the four-part policy architecture; over 20 years the transition holds; capitalism is preserved and strengthened.</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518E45" w14:textId="77777777" w:rsidR="00C113FA" w:rsidRDefault="00000000">
            <w:r>
              <w:rPr>
                <w:sz w:val="19"/>
                <w:szCs w:val="19"/>
              </w:rPr>
              <w:t>Coherent as a scenario conclusion. The payoff depends on the policy architecture functioning as designed, which is the central claim under scrutiny.</w:t>
            </w:r>
          </w:p>
        </w:tc>
        <w:tc>
          <w:tcPr>
            <w:tcW w:w="2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CBA33E" w14:textId="77777777" w:rsidR="00C113FA" w:rsidRDefault="00000000">
            <w:r>
              <w:rPr>
                <w:sz w:val="19"/>
                <w:szCs w:val="19"/>
              </w:rPr>
              <w:t>Moderate. The individual instruments are well-supported; the interaction effects and political durability over 20 years are necessarily speculative.</w:t>
            </w:r>
          </w:p>
        </w:tc>
      </w:tr>
    </w:tbl>
    <w:p w14:paraId="14D81D14" w14:textId="77777777" w:rsidR="00C113FA" w:rsidRDefault="00C113FA">
      <w:pPr>
        <w:spacing w:after="100"/>
      </w:pPr>
    </w:p>
    <w:p w14:paraId="41E0549E" w14:textId="77777777" w:rsidR="00C113FA" w:rsidRDefault="00C113FA">
      <w:pPr>
        <w:spacing w:after="100"/>
      </w:pPr>
    </w:p>
    <w:p w14:paraId="561B0EC2" w14:textId="77777777" w:rsidR="00C113FA" w:rsidRDefault="00000000">
      <w:pPr>
        <w:spacing w:before="60" w:after="140"/>
        <w:jc w:val="both"/>
      </w:pPr>
      <w:r>
        <w:t>The causal chain from First Wave to Recognition Moment is the paper’s strongest section. Each step follows logically from the prior one and is grounded in documented mechanisms. The National Stories section is engaging and analytically useful but depends more heavily on narrative judgment. The La Nouvelle Boucle section is persuasive as a designed outcome but, as the author acknowledges, is “purposeful storytelling” rather than prediction.</w:t>
      </w:r>
    </w:p>
    <w:p w14:paraId="67120EC0" w14:textId="77777777" w:rsidR="00C113FA" w:rsidRDefault="00000000">
      <w:pPr>
        <w:spacing w:before="60" w:after="140"/>
        <w:jc w:val="both"/>
      </w:pPr>
      <w:r>
        <w:t>One significant gap in the storyline is the feedback from Movement E (successful ownership broadening) back to Movement B (demand fragility). If the Public Trust Fund and UBI work as designed, when do households become solvent enough that debt-financed consumption gives way to equity-income-financed consumption? The model presumably captures this, but the narrative does not describe the transition between these regimes.</w:t>
      </w:r>
    </w:p>
    <w:p w14:paraId="3ACCD9A1" w14:textId="77777777" w:rsidR="00C113FA" w:rsidRDefault="00C113FA">
      <w:pPr>
        <w:spacing w:after="100"/>
      </w:pPr>
    </w:p>
    <w:p w14:paraId="5FC5D552" w14:textId="77777777" w:rsidR="00C113FA" w:rsidRDefault="00000000">
      <w:pPr>
        <w:pStyle w:val="Heading1"/>
        <w:pBdr>
          <w:bottom w:val="single" w:sz="6" w:space="4" w:color="1F3864"/>
        </w:pBdr>
      </w:pPr>
      <w:r>
        <w:t>4. Policy Architecture: Detailed Assessment</w:t>
      </w:r>
    </w:p>
    <w:p w14:paraId="439590D7" w14:textId="77777777" w:rsidR="00C113FA" w:rsidRDefault="00000000">
      <w:pPr>
        <w:spacing w:before="60" w:after="140"/>
        <w:jc w:val="both"/>
      </w:pPr>
      <w:r>
        <w:t>The paper proposes a four-part policy architecture under the treatment plan, plus an enabling governance structure. Each element addresses a distinct failure channel in the Old Loop. This non-redundancy is the architecture’s most important feature and the paper’s most significant intellectual contribution to the AI policy literature.</w:t>
      </w:r>
    </w:p>
    <w:p w14:paraId="5BE27114" w14:textId="77777777" w:rsidR="00C113FA" w:rsidRDefault="00000000">
      <w:pPr>
        <w:pStyle w:val="Heading2"/>
      </w:pPr>
      <w:r>
        <w:t>4.1 Public Trust Fund (Equity Broadening)</w:t>
      </w:r>
    </w:p>
    <w:p w14:paraId="1918F877" w14:textId="77777777" w:rsidR="00C113FA" w:rsidRDefault="00000000">
      <w:pPr>
        <w:spacing w:before="60" w:after="140"/>
        <w:jc w:val="both"/>
      </w:pPr>
      <w:r>
        <w:t>The Trust Fund is the architecture’s structural centerpiece. It operates through two mechanisms: an initial credit-funded acquisition of 10 percent of outstanding French corporate equity, repaid from dividends; and an ongoing annual 2 percent equity dilution (new share issuance to the Trust), capped by law at 49 percent ownership, with a practical expectation of 25–30 percent.</w:t>
      </w:r>
    </w:p>
    <w:p w14:paraId="6E00ABCB" w14:textId="77777777" w:rsidR="00C113FA" w:rsidRDefault="00000000">
      <w:pPr>
        <w:spacing w:before="60" w:after="140"/>
        <w:jc w:val="both"/>
      </w:pPr>
      <w:r>
        <w:t xml:space="preserve">The paper’s defense of corporate acceptance is its most rhetorically and analytically impressive passage. The three CEO/CFO voices make the argument that a capped, predictable, rules-based dilution is preferable to political backlash, arbitrary confiscation, or demand collapse. This is not naive optimism — it reflects exactly the logic that makes any tax or regulatory regime “priceable.” Norway’s Government Pension Fund Global demonstrates that passive sovereign ownership at scale is compatible with private-sector dynamism. Singapore’s GIC and Temasek demonstrate </w:t>
      </w:r>
      <w:r>
        <w:lastRenderedPageBreak/>
        <w:t>more active models. Alaska’s Permanent Fund demonstrates the citizen-dividend mechanism that the Trust’s UBI funding ultimately resembles.</w:t>
      </w:r>
    </w:p>
    <w:p w14:paraId="2ACB7E4A" w14:textId="77777777" w:rsidR="00C113FA" w:rsidRDefault="00000000">
      <w:pPr>
        <w:spacing w:before="60" w:after="140"/>
        <w:jc w:val="both"/>
      </w:pPr>
      <w:r>
        <w:t>The paper adds a point that is underappreciated in the academic literature: the Trust Fund addresses the duration-mismatch in household life-cycle saving. Young families face simultaneous demands (childcare, education, housing) that prevent saving; the Trust provides a national endowment whose perpetual horizon does what individual households cannot do for themselves. This framing connects the Trust Fund to the life-cycle savings literature and gives it a function beyond macro stabilization.</w:t>
      </w:r>
    </w:p>
    <w:p w14:paraId="5BB893CE" w14:textId="77777777" w:rsidR="00C113FA" w:rsidRDefault="00000000">
      <w:pPr>
        <w:spacing w:before="60" w:after="140"/>
        <w:jc w:val="both"/>
      </w:pPr>
      <w:r>
        <w:t>The main analytical gap is capitalization mechanics and governance insulation. The paper specifies the initial acquisition (10%) and the dilution rate (2%/yr) with more precision than comparable proposals in the literature, which is a strength. What it does not address is: what agency holds the Trust, who appoints its board, and what legal insulations prevent it becoming a ministerial instrument? EU financial stability rules require that any such fund be constituted as an independent fiduciary, not as a state arm. The Santiago Principles provide the governance scaffold; the paper should cite them explicitly.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351A56B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tcPr>
          <w:p w14:paraId="530B2525"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6D9CD814" w14:textId="77777777" w:rsidR="00C113FA" w:rsidRDefault="00000000">
            <w:pPr>
              <w:jc w:val="both"/>
            </w:pPr>
            <w:r>
              <w:rPr>
                <w:sz w:val="21"/>
                <w:szCs w:val="21"/>
              </w:rPr>
              <w:t>Goal: strongly supported. Capitalization path: credible but underdeveloped. Governance insulation: necessary but unspecified. The Trust Fund is the most original institutional proposal in the paper and deserves a longer governance paragraph.</w:t>
            </w:r>
          </w:p>
        </w:tc>
      </w:tr>
    </w:tbl>
    <w:p w14:paraId="4E7DE0C8" w14:textId="77777777" w:rsidR="00C113FA" w:rsidRDefault="00C113FA">
      <w:pPr>
        <w:spacing w:after="100"/>
      </w:pPr>
    </w:p>
    <w:p w14:paraId="4E252FDF" w14:textId="77777777" w:rsidR="00C113FA" w:rsidRDefault="00000000">
      <w:pPr>
        <w:pStyle w:val="Heading2"/>
      </w:pPr>
      <w:r>
        <w:t>4.2 Universal Basic Income (Household Cash Flow)</w:t>
      </w:r>
    </w:p>
    <w:p w14:paraId="03AA6857" w14:textId="77777777" w:rsidR="00C113FA" w:rsidRDefault="00000000">
      <w:pPr>
        <w:spacing w:before="60" w:after="140"/>
        <w:jc w:val="both"/>
      </w:pPr>
      <w:r>
        <w:t>The paper’s UBI design is more careful than most UBI proposals. It specifies: a meaningful level (near the bottom third of pre-transition family incomes); indexation to the price level (preserving real purchasing power); a ratchet (benefits do not fall once established); and a funding hierarchy (VAT, Trust dividends, government revenue, monetary issuance as backstop). These design features address the most common objections to UBI.</w:t>
      </w:r>
    </w:p>
    <w:p w14:paraId="3B717B6B" w14:textId="77777777" w:rsidR="00C113FA" w:rsidRDefault="00000000">
      <w:pPr>
        <w:spacing w:before="60" w:after="140"/>
        <w:jc w:val="both"/>
      </w:pPr>
      <w:r>
        <w:t>The indexation feature is analytically important in the paper’s deflationary scenario. A nominal UBI in a deflationary environment would be acceptable but would not grow in real terms as prices fell; the indexed version would. The ratchet is a realistic political assumption: means-tested or easily withdrawn benefits do not provide the stable foundation that the paper’s scenario requires.</w:t>
      </w:r>
    </w:p>
    <w:p w14:paraId="0B9878FD" w14:textId="77777777" w:rsidR="00C113FA" w:rsidRDefault="00000000">
      <w:pPr>
        <w:spacing w:before="60" w:after="140"/>
        <w:jc w:val="both"/>
      </w:pPr>
      <w:r>
        <w:t>Jones and Marinescu (2022) on Alaska and Vivalt et al. (2024/2026) on guaranteed income experiments provide the best recent evidence. Both find modest labor-supply reductions (1–2 percentage points) without major productivity losses. The paper does not address labor-supply effects directly, but the paper’s own scenario provides a partial defense: in a world where labor demand is contracting due to automation, a modest reduction in labor supply is a feature, not a bug. This argument should be made explicit.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22A0E15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tcPr>
          <w:p w14:paraId="73662F77"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3237D2DB" w14:textId="77777777" w:rsidR="00C113FA" w:rsidRDefault="00000000">
            <w:pPr>
              <w:jc w:val="both"/>
            </w:pPr>
            <w:r>
              <w:rPr>
                <w:sz w:val="21"/>
                <w:szCs w:val="21"/>
              </w:rPr>
              <w:t>Design is sophisticated and well-motivated. The indexed, ratcheted, hierarchically-funded UBI is better specified than most proposals in the literature. The labor-supply objection should be addressed directly using the paper’s own automation premise as the rebuttal.</w:t>
            </w:r>
          </w:p>
        </w:tc>
      </w:tr>
    </w:tbl>
    <w:p w14:paraId="10F0BE64" w14:textId="77777777" w:rsidR="00C113FA" w:rsidRDefault="00C113FA">
      <w:pPr>
        <w:spacing w:after="100"/>
      </w:pPr>
    </w:p>
    <w:p w14:paraId="7EC4AD42" w14:textId="77777777" w:rsidR="00C113FA" w:rsidRDefault="00000000">
      <w:pPr>
        <w:pStyle w:val="Heading2"/>
      </w:pPr>
      <w:r>
        <w:t>4.3 VAT with Prebate (Fiscal Base Redesign)</w:t>
      </w:r>
    </w:p>
    <w:p w14:paraId="5A37C040" w14:textId="77777777" w:rsidR="00C113FA" w:rsidRDefault="00000000">
      <w:pPr>
        <w:spacing w:before="60" w:after="140"/>
        <w:jc w:val="both"/>
      </w:pPr>
      <w:r>
        <w:lastRenderedPageBreak/>
        <w:t>The paper proposes a broad consumption VAT “without exception” paired with a rebate for low-income households (termed “prebate” in some US proposals, though the paper uses “rebate”). The design motivation is that VAT scales with consumption in an economy where wages are no longer the primary taxable flow, and it can be enforced more reliably than increasingly complex income-tax systems.</w:t>
      </w:r>
    </w:p>
    <w:p w14:paraId="27D73A15" w14:textId="77777777" w:rsidR="00C113FA" w:rsidRDefault="00000000">
      <w:pPr>
        <w:spacing w:before="60" w:after="140"/>
        <w:jc w:val="both"/>
      </w:pPr>
      <w:r>
        <w:t>This is the policy architecture’s most strongly literature-supported element. The IMF’s de la Feria and Swistak (2024) and de Mooij, Hebous, and Keen (2025) both find that broad-base VAT with direct compensation dominates exemption-heavy VAT on both efficiency and distributional grounds. The OECD’s Consumption Tax Trends 2024 corroborates this. France already has one of the most administratively developed VAT systems in the world — the paper’s choice of France as the first mover is therefore institutionally well-grounded.</w:t>
      </w:r>
    </w:p>
    <w:p w14:paraId="06DC0183" w14:textId="77777777" w:rsidR="00C113FA" w:rsidRDefault="00000000">
      <w:pPr>
        <w:spacing w:before="60" w:after="140"/>
        <w:jc w:val="both"/>
      </w:pPr>
      <w:r>
        <w:t>One gap: the paper does not specify the VAT rate or the income threshold for the rebate phaseout. Given that the paper includes a Streamlit model, these are presumably parameterized there. The narrative would be strengthened by one sentence anchoring the rate in an existing comparative range (e.g., “a rate in the 15–25 percent range that characterizes successful VAT-funded welfare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2D8897C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F5C1F"/>
            <w:tcMar>
              <w:top w:w="120" w:type="dxa"/>
              <w:left w:w="120" w:type="dxa"/>
              <w:bottom w:w="120" w:type="dxa"/>
              <w:right w:w="120" w:type="dxa"/>
            </w:tcMar>
          </w:tcPr>
          <w:p w14:paraId="4132B5D0"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5175C161" w14:textId="77777777" w:rsidR="00C113FA" w:rsidRDefault="00000000">
            <w:pPr>
              <w:jc w:val="both"/>
            </w:pPr>
            <w:r>
              <w:rPr>
                <w:sz w:val="21"/>
                <w:szCs w:val="21"/>
              </w:rPr>
              <w:t>Strongest literature support of any instrument in the package. France’s existing VAT infrastructure makes this institutionally legible. Rate and threshold calibration should be at least briefly mentioned in the narrative.</w:t>
            </w:r>
          </w:p>
        </w:tc>
      </w:tr>
    </w:tbl>
    <w:p w14:paraId="6C32A811" w14:textId="77777777" w:rsidR="00C113FA" w:rsidRDefault="00C113FA">
      <w:pPr>
        <w:spacing w:after="100"/>
      </w:pPr>
    </w:p>
    <w:p w14:paraId="6E669606" w14:textId="77777777" w:rsidR="00C113FA" w:rsidRDefault="00000000">
      <w:pPr>
        <w:pStyle w:val="Heading2"/>
      </w:pPr>
      <w:r>
        <w:t>4.4 Automation-Responsive Corporate Tax</w:t>
      </w:r>
    </w:p>
    <w:p w14:paraId="70965C23" w14:textId="77777777" w:rsidR="00C113FA" w:rsidRDefault="00000000">
      <w:pPr>
        <w:spacing w:before="60" w:after="140"/>
        <w:jc w:val="both"/>
      </w:pPr>
      <w:r>
        <w:t>The paper proposes a corporate tax rate tied to the national decline in wage income: as labor’s share falls, the profit tax rate rises correspondingly. Firms can reduce this burden through productive investment and dividend distribution. The design logic is that firms benefiting from automation-driven wage compression should contribute proportionally to the fiscal base that sustains demand.</w:t>
      </w:r>
    </w:p>
    <w:p w14:paraId="5359A393" w14:textId="77777777" w:rsidR="00C113FA" w:rsidRDefault="00000000">
      <w:pPr>
        <w:spacing w:before="60" w:after="140"/>
        <w:jc w:val="both"/>
      </w:pPr>
      <w:r>
        <w:t>This is the paper’s most original tax instrument and the one with the weakest direct empirical precedent. There is no existing national tax system that formally indexes the profit tax rate to the aggregate wage share. The conceptual motivation is sound — it addresses the fiscal erosion problem that arises when the tax base shifts from wages to profits — but the implementation challenges are substantial: measurement disputes about what counts as automation-driven versus cyclical wage compression, international profit-shifting to avoid the trigger, and investment-timing distortions as firms seek to game the wage-share denominator.</w:t>
      </w:r>
    </w:p>
    <w:p w14:paraId="30E517CB" w14:textId="77777777" w:rsidR="00C113FA" w:rsidRDefault="00000000">
      <w:pPr>
        <w:spacing w:before="60" w:after="140"/>
        <w:jc w:val="both"/>
      </w:pPr>
      <w:r>
        <w:t>A connection the paper does not make: the OECD’s Pillar Two global minimum tax framework (implemented from 2024) provides a coordination scaffold that could prevent the worst cross-border arbitrage. If the automation-responsive tax is designed as a top-up within the Pillar Two framework, its avoidance risk is substantially reduced. This connection would strengthen the proposal’s credibility without requiring major redesign.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14E74399"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tcPr>
          <w:p w14:paraId="5FCE94F8"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1335E036" w14:textId="77777777" w:rsidR="00C113FA" w:rsidRDefault="00000000">
            <w:pPr>
              <w:jc w:val="both"/>
            </w:pPr>
            <w:r>
              <w:rPr>
                <w:sz w:val="21"/>
                <w:szCs w:val="21"/>
              </w:rPr>
              <w:t>Conceptually original and logically sound. Avoidance, measurement, and international coordination are real vulnerabilities. The Pillar Two connection should be made. This instrument deserves a paragraph explaining the measurement index and its revision mechanism.</w:t>
            </w:r>
          </w:p>
        </w:tc>
      </w:tr>
    </w:tbl>
    <w:p w14:paraId="0718FF1B" w14:textId="77777777" w:rsidR="00C113FA" w:rsidRDefault="00C113FA">
      <w:pPr>
        <w:spacing w:after="100"/>
      </w:pPr>
    </w:p>
    <w:p w14:paraId="64FF5CF6" w14:textId="77777777" w:rsidR="00C113FA" w:rsidRDefault="00000000">
      <w:pPr>
        <w:pStyle w:val="Heading2"/>
      </w:pPr>
      <w:r>
        <w:lastRenderedPageBreak/>
        <w:t>4.5 Mortgage Indexation with Lender Make-Whole</w:t>
      </w:r>
    </w:p>
    <w:p w14:paraId="339E4560" w14:textId="77777777" w:rsidR="00C113FA" w:rsidRDefault="00000000">
      <w:pPr>
        <w:spacing w:before="60" w:after="140"/>
        <w:jc w:val="both"/>
      </w:pPr>
      <w:r>
        <w:t>In a deflationary environment, fixed nominal mortgage payments become an increasing fraction of falling household income, eventually forcing defaults. The paper proposes indexing required payments to a hybrid of the price level and household income, while compensating lenders (through government payment of the nominal difference) so that bank balance sheets are protected.</w:t>
      </w:r>
    </w:p>
    <w:p w14:paraId="59D83EF4" w14:textId="77777777" w:rsidR="00C113FA" w:rsidRDefault="00000000">
      <w:pPr>
        <w:spacing w:before="60" w:after="140"/>
        <w:jc w:val="both"/>
      </w:pPr>
      <w:r>
        <w:t>This is one of the paper’s most analytically precise and original proposals. Campbell, Clara, and Cocco (2021) in the Journal of Finance and Piskorski and Seru’s Brookings Paper (2018) provide strong academic support for state-contingent mortgage design as a macroeconomic stabilizer. The lender make-whole provision is the paper’s specific innovation: rather than simply modifying the contract (which transfers the loss to the lender), it keeps lenders whole via a government payment, removing their incentive to resist the modification.</w:t>
      </w:r>
    </w:p>
    <w:p w14:paraId="57F3F0A1" w14:textId="77777777" w:rsidR="00C113FA" w:rsidRDefault="00000000">
      <w:pPr>
        <w:spacing w:before="60" w:after="140"/>
        <w:jc w:val="both"/>
      </w:pPr>
      <w:r>
        <w:t>The transmission pathway the paper describes — AI → deflation → rising real debt burden → household insolvency → credit contraction → demand collapse — is not present in the AI economics literature, even though each link in the chain is individually documented. Connecting these literatures is genuinely original. The 2008 crisis provides the empirical referent: the US mortgage crisis was a fixed-nominal-debt-meets-falling-asset-prices event. In the paper’s scenario, the mechanism is the same but the driver is falling wages rather than falling asset prices.</w:t>
      </w:r>
    </w:p>
    <w:p w14:paraId="44633019" w14:textId="77777777" w:rsidR="00C113FA" w:rsidRDefault="00000000">
      <w:pPr>
        <w:spacing w:before="60" w:after="140"/>
        <w:jc w:val="both"/>
      </w:pPr>
      <w:r>
        <w:t>One unaddressed equity issue: the policy benefits mortgaged homeowners but does not directly address renters, who in France and most advanced economies constitute a large and growing share of lower-income households. The paper should note this distributional asymmetry and, if space allows, suggest how renter households might be supported through the UBI or other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765ECED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F5C1F"/>
            <w:tcMar>
              <w:top w:w="120" w:type="dxa"/>
              <w:left w:w="120" w:type="dxa"/>
              <w:bottom w:w="120" w:type="dxa"/>
              <w:right w:w="120" w:type="dxa"/>
            </w:tcMar>
          </w:tcPr>
          <w:p w14:paraId="2C39003B"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21CAA669" w14:textId="77777777" w:rsidR="00C113FA" w:rsidRDefault="00000000">
            <w:pPr>
              <w:jc w:val="both"/>
            </w:pPr>
            <w:r>
              <w:rPr>
                <w:sz w:val="21"/>
                <w:szCs w:val="21"/>
              </w:rPr>
              <w:t>Analytically rigorous, original, and well-supported by the state-contingent mortgage literature. The lender make-whole mechanism is the distinctive contribution. Distributional asymmetry between owners and renters should be acknowledged.</w:t>
            </w:r>
          </w:p>
        </w:tc>
      </w:tr>
    </w:tbl>
    <w:p w14:paraId="2E3270B1" w14:textId="77777777" w:rsidR="00C113FA" w:rsidRDefault="00C113FA">
      <w:pPr>
        <w:spacing w:after="100"/>
      </w:pPr>
    </w:p>
    <w:p w14:paraId="6019F491" w14:textId="77777777" w:rsidR="00C113FA" w:rsidRDefault="00000000">
      <w:pPr>
        <w:pStyle w:val="Heading1"/>
        <w:pBdr>
          <w:bottom w:val="single" w:sz="6" w:space="4" w:color="1F3864"/>
        </w:pBdr>
      </w:pPr>
      <w:r>
        <w:t>5. Overall Flow and Quality of Argument</w:t>
      </w:r>
    </w:p>
    <w:p w14:paraId="5EC83657" w14:textId="77777777" w:rsidR="00C113FA" w:rsidRDefault="00000000">
      <w:pPr>
        <w:pStyle w:val="Heading2"/>
      </w:pPr>
      <w:r>
        <w:t>5.1 Structural Strengths</w:t>
      </w:r>
    </w:p>
    <w:p w14:paraId="41D99560" w14:textId="77777777" w:rsidR="00C113FA" w:rsidRDefault="00000000">
      <w:pPr>
        <w:pStyle w:val="ListParagraph"/>
        <w:numPr>
          <w:ilvl w:val="0"/>
          <w:numId w:val="2"/>
        </w:numPr>
        <w:spacing w:before="60" w:after="80"/>
      </w:pPr>
      <w:r>
        <w:t>The paper integrates narrative, institutional analysis, and quantitative modeling reference into a coherent whole. The three-part structure (Introduction/model story, National Stories, La Nouvelle Boucle) works well: the abstract causal mechanisms are introduced first, then tested against different national institutional contexts, then resolved through the French policy architecture.</w:t>
      </w:r>
    </w:p>
    <w:p w14:paraId="534461AF" w14:textId="77777777" w:rsidR="00C113FA" w:rsidRDefault="00000000">
      <w:pPr>
        <w:pStyle w:val="ListParagraph"/>
        <w:numPr>
          <w:ilvl w:val="0"/>
          <w:numId w:val="2"/>
        </w:numPr>
        <w:spacing w:before="60" w:after="80"/>
      </w:pPr>
      <w:r>
        <w:t>The CEO/CFO voice passages are unusually effective. They translate complex institutional logic (why firms accept dilution; why the tax is preferable to political backlash) into credible first-person reasoning. This is pedagogically superior to abstract argumentation.</w:t>
      </w:r>
    </w:p>
    <w:p w14:paraId="0164604D" w14:textId="77777777" w:rsidR="00C113FA" w:rsidRDefault="00000000">
      <w:pPr>
        <w:pStyle w:val="ListParagraph"/>
        <w:numPr>
          <w:ilvl w:val="0"/>
          <w:numId w:val="2"/>
        </w:numPr>
        <w:spacing w:before="60" w:after="80"/>
      </w:pPr>
      <w:r>
        <w:t>The author’s transparency about the paper’s own genesis — built in five weeks, 6,345 lines of AI-generated Python, ChatGPT critique in six minutes — is epistemically valuable. It demonstrates the argument’s subject matter (information-sector automation) in real time, and the author’s honesty about what AI contributed and what he guided is intellectually credible.</w:t>
      </w:r>
    </w:p>
    <w:p w14:paraId="02CF28C4" w14:textId="77777777" w:rsidR="00C113FA" w:rsidRDefault="00000000">
      <w:pPr>
        <w:pStyle w:val="ListParagraph"/>
        <w:numPr>
          <w:ilvl w:val="0"/>
          <w:numId w:val="2"/>
        </w:numPr>
        <w:spacing w:before="60" w:after="80"/>
      </w:pPr>
      <w:r>
        <w:lastRenderedPageBreak/>
        <w:t>The non-redundancy of the five instruments is the architecture’s most important property. Each addresses a distinct failure channel. This is not a portfolio of similar ideas but a genuinely differentiated systemic response.</w:t>
      </w:r>
    </w:p>
    <w:p w14:paraId="605BA2EC" w14:textId="77777777" w:rsidR="00C113FA" w:rsidRDefault="00000000">
      <w:pPr>
        <w:pStyle w:val="ListParagraph"/>
        <w:numPr>
          <w:ilvl w:val="0"/>
          <w:numId w:val="2"/>
        </w:numPr>
        <w:spacing w:before="60" w:after="80"/>
      </w:pPr>
      <w:r>
        <w:t>The paper’s explicit acknowledgment that “if the story is wrong, a quantitative model of these policies is still useful because it makes failure modes visible” is methodologically sound and positions the work correctly as exploratory rather than prescriptive.</w:t>
      </w:r>
    </w:p>
    <w:p w14:paraId="36861428" w14:textId="77777777" w:rsidR="00C113FA" w:rsidRDefault="00C113FA">
      <w:pPr>
        <w:spacing w:after="100"/>
      </w:pPr>
    </w:p>
    <w:p w14:paraId="50C01AA5" w14:textId="77777777" w:rsidR="00C113FA" w:rsidRDefault="00000000">
      <w:pPr>
        <w:pStyle w:val="Heading2"/>
      </w:pPr>
      <w:r>
        <w:t>5.2 Structural Weaknesses</w:t>
      </w:r>
    </w:p>
    <w:p w14:paraId="74CB1D28" w14:textId="77777777" w:rsidR="00C113FA" w:rsidRDefault="00000000">
      <w:pPr>
        <w:pStyle w:val="ListParagraph"/>
        <w:numPr>
          <w:ilvl w:val="0"/>
          <w:numId w:val="2"/>
        </w:numPr>
        <w:spacing w:before="60" w:after="80"/>
      </w:pPr>
      <w:r>
        <w:t>The international and competitive dimension of unilateral reform is underexplored. If France adopts an automation-responsive corporate tax and a 2% annual equity dilution requirement, what prevents capital reallocation to Germany, Ireland, or the Netherlands? The paper gestures at EU constraints but does not engage the cross-border arbitrage problem. The Pillar Two framework is the natural reference point; it goes unmentioned.</w:t>
      </w:r>
    </w:p>
    <w:p w14:paraId="2F2A72FB" w14:textId="77777777" w:rsidR="00C113FA" w:rsidRDefault="00000000">
      <w:pPr>
        <w:pStyle w:val="ListParagraph"/>
        <w:numPr>
          <w:ilvl w:val="0"/>
          <w:numId w:val="2"/>
        </w:numPr>
        <w:spacing w:before="60" w:after="80"/>
      </w:pPr>
      <w:r>
        <w:t>Within-household distributional analysis is thin. The paper treats households as a relatively homogeneous group facing wage and debt pressure. In practice, exposure is highly heterogeneous: higher-income households hold capital and benefit from the Trust Fund’s ownership broadening; lower-income households without mortgages gain from UBI but may be net losers on VAT even with the rebate. A one-paragraph distributional sensitivity analysis would strengthen the architecture’s equity claim.</w:t>
      </w:r>
    </w:p>
    <w:p w14:paraId="0A89CCCC" w14:textId="77777777" w:rsidR="00C113FA" w:rsidRDefault="00000000">
      <w:pPr>
        <w:pStyle w:val="ListParagraph"/>
        <w:numPr>
          <w:ilvl w:val="0"/>
          <w:numId w:val="2"/>
        </w:numPr>
        <w:spacing w:before="60" w:after="80"/>
      </w:pPr>
      <w:r>
        <w:t>The China-Taiwan section, while engaging, risks distracting from the paper’s analytical core. The geopolitical scenario (whether Beijing pursues forceful unification to disable TSMC and slow global AI diffusion) is the most speculative element of an otherwise well-grounded narrative. It is internally consistent but adds uncertainty without adding analytical structure to the policy argument.</w:t>
      </w:r>
    </w:p>
    <w:p w14:paraId="638257C5" w14:textId="77777777" w:rsidR="00C113FA" w:rsidRDefault="00000000">
      <w:pPr>
        <w:pStyle w:val="ListParagraph"/>
        <w:numPr>
          <w:ilvl w:val="0"/>
          <w:numId w:val="2"/>
        </w:numPr>
        <w:spacing w:before="60" w:after="80"/>
      </w:pPr>
      <w:r>
        <w:t>Mian and Sufi are absent. Their household leverage research is the strongest available empirical anchor for the paper’s debt-fragility mechanism and should appear in the argument.</w:t>
      </w:r>
    </w:p>
    <w:p w14:paraId="1A6DFA1C" w14:textId="77777777" w:rsidR="00C113FA" w:rsidRDefault="00000000">
      <w:pPr>
        <w:pStyle w:val="ListParagraph"/>
        <w:numPr>
          <w:ilvl w:val="0"/>
          <w:numId w:val="2"/>
        </w:numPr>
        <w:spacing w:before="60" w:after="80"/>
      </w:pPr>
      <w:r>
        <w:t>The paper does not discuss transitional political economy in detail: which coalitions support the reform, which oppose it, and how is the Trust Fund insulated from being raided by future governments? The France-first narrative implies these problems are solved by institutional design, but the paper does not show its work.</w:t>
      </w:r>
    </w:p>
    <w:p w14:paraId="0820B9F9" w14:textId="77777777" w:rsidR="00C113FA" w:rsidRDefault="00C113FA">
      <w:pPr>
        <w:spacing w:after="100"/>
      </w:pPr>
    </w:p>
    <w:p w14:paraId="6A8B48F7" w14:textId="77777777" w:rsidR="00C113FA" w:rsidRDefault="00000000">
      <w:pPr>
        <w:pStyle w:val="Heading1"/>
        <w:pBdr>
          <w:bottom w:val="single" w:sz="6" w:space="4" w:color="1F3864"/>
        </w:pBdr>
      </w:pPr>
      <w:r>
        <w:t>6. What Is Novel and Innovative</w:t>
      </w:r>
    </w:p>
    <w:p w14:paraId="7C7B1ED1" w14:textId="77777777" w:rsidR="00C113FA" w:rsidRDefault="00000000">
      <w:pPr>
        <w:spacing w:before="200" w:after="80"/>
      </w:pPr>
      <w:r>
        <w:rPr>
          <w:b/>
          <w:bCs/>
          <w:color w:val="2E5090"/>
        </w:rPr>
        <w:t>6.1 The Old Loop / New Loop Conceptual Frame</w:t>
      </w:r>
    </w:p>
    <w:p w14:paraId="1A5A3821" w14:textId="77777777" w:rsidR="00C113FA" w:rsidRDefault="00000000">
      <w:pPr>
        <w:spacing w:before="60" w:after="140"/>
        <w:jc w:val="both"/>
      </w:pPr>
      <w:r>
        <w:t>The naming of the wage-based circular flow as “the Old Loop” and the policy task as constructing “a New Loop” is the paper’s most important conceptual innovation. It is not standard economic terminology, but it operationalizes a real mechanism (the Keynesian effective demand circuit, the Kaleckian profit-wage relationship, the Minsky-Mian household balance-sheet channel) in language that is accessible to non-specialist readers without distorting the underlying analysis. No comparable synthesis framing exists in the AI policy literature.</w:t>
      </w:r>
    </w:p>
    <w:p w14:paraId="12281BBD" w14:textId="77777777" w:rsidR="00C113FA" w:rsidRDefault="00000000">
      <w:pPr>
        <w:spacing w:before="200" w:after="80"/>
      </w:pPr>
      <w:r>
        <w:rPr>
          <w:b/>
          <w:bCs/>
          <w:color w:val="2E5090"/>
        </w:rPr>
        <w:t>6.2 The Systems Architecture Approach</w:t>
      </w:r>
    </w:p>
    <w:p w14:paraId="27BCDBA8" w14:textId="77777777" w:rsidR="00C113FA" w:rsidRDefault="00000000">
      <w:pPr>
        <w:spacing w:before="60" w:after="140"/>
        <w:jc w:val="both"/>
      </w:pPr>
      <w:r>
        <w:lastRenderedPageBreak/>
        <w:t>Most academic and policy work on AI and labor focuses on a single instrument. The paper’s insistence that five distinct transmission channels must be addressed simultaneously, and that instruments must interact coherently, is genuinely underrepresented in the literature. The non-redundancy of the five instruments — each addressing a different failure mode in the same macro system — is the paper’s most important analytical contribution.</w:t>
      </w:r>
    </w:p>
    <w:p w14:paraId="13438623" w14:textId="77777777" w:rsidR="00C113FA" w:rsidRDefault="00000000">
      <w:pPr>
        <w:spacing w:before="200" w:after="80"/>
      </w:pPr>
      <w:r>
        <w:rPr>
          <w:b/>
          <w:bCs/>
          <w:color w:val="2E5090"/>
        </w:rPr>
        <w:t>6.3 The Concentration Trap / Treadmill Trap Taxonomy</w:t>
      </w:r>
    </w:p>
    <w:p w14:paraId="207DB8D8" w14:textId="77777777" w:rsidR="00C113FA" w:rsidRDefault="00000000">
      <w:pPr>
        <w:spacing w:before="60" w:after="140"/>
        <w:jc w:val="both"/>
      </w:pPr>
      <w:r>
        <w:t>This two-failure-mode framing is original and analytically productive. It gives names to outcomes that the literature describes but has not cleanly classified, and it establishes a clear criterion for evaluating policy packages: does this reform path avoid both traps, or does it merely trade one for the other?</w:t>
      </w:r>
    </w:p>
    <w:p w14:paraId="1228FEED" w14:textId="77777777" w:rsidR="00C113FA" w:rsidRDefault="00000000">
      <w:pPr>
        <w:spacing w:before="200" w:after="80"/>
      </w:pPr>
      <w:r>
        <w:rPr>
          <w:b/>
          <w:bCs/>
          <w:color w:val="2E5090"/>
        </w:rPr>
        <w:t>6.4 Mortgage Indexation as AI-Transition Policy</w:t>
      </w:r>
    </w:p>
    <w:p w14:paraId="49C89660" w14:textId="77777777" w:rsidR="00C113FA" w:rsidRDefault="00000000">
      <w:pPr>
        <w:spacing w:before="60" w:after="140"/>
        <w:jc w:val="both"/>
      </w:pPr>
      <w:r>
        <w:t>The paper makes an original connection between the AI-deflation thesis and fixed nominal mortgage obligations, identifying a specific transmission pathway (AI → deflation → real debt burden increase → insolvency → credit contraction) that is absent from the AI economics literature. The lender make-whole design is a specific institutional innovation with no direct precursor in the policy literature.</w:t>
      </w:r>
    </w:p>
    <w:p w14:paraId="2F3DB745" w14:textId="77777777" w:rsidR="00C113FA" w:rsidRDefault="00000000">
      <w:pPr>
        <w:spacing w:before="200" w:after="80"/>
      </w:pPr>
      <w:r>
        <w:rPr>
          <w:b/>
          <w:bCs/>
          <w:color w:val="2E5090"/>
        </w:rPr>
        <w:t>6.5 The CEO/CFO Acceptance Argument</w:t>
      </w:r>
    </w:p>
    <w:p w14:paraId="6DAC9619" w14:textId="77777777" w:rsidR="00C113FA" w:rsidRDefault="00000000">
      <w:pPr>
        <w:spacing w:before="60" w:after="140"/>
        <w:jc w:val="both"/>
      </w:pPr>
      <w:r>
        <w:t>The paper’s argument that corporations would accept equity dilution because predictable, capped, rule-based dilution is preferable to political backlash and demand collapse is both original and analytically serious. It does not rely on corporate altruism but on corporate self-interest correctly understood. This argument is not made in comparable form in the citizen wealth fund or public trust fund literature.</w:t>
      </w:r>
    </w:p>
    <w:p w14:paraId="11073A97" w14:textId="77777777" w:rsidR="00C113FA" w:rsidRDefault="00000000">
      <w:pPr>
        <w:spacing w:before="200" w:after="80"/>
      </w:pPr>
      <w:r>
        <w:rPr>
          <w:b/>
          <w:bCs/>
          <w:color w:val="2E5090"/>
        </w:rPr>
        <w:t>6.6 Life-Cycle Duration Matching via the Trust Fund</w:t>
      </w:r>
    </w:p>
    <w:p w14:paraId="5D5F6FEC" w14:textId="77777777" w:rsidR="00C113FA" w:rsidRDefault="00000000">
      <w:pPr>
        <w:spacing w:before="60" w:after="140"/>
        <w:jc w:val="both"/>
      </w:pPr>
      <w:r>
        <w:t>The paper’s observation that the Trust Fund addresses the duration-mismatch in household saving — young families need resources before they can accumulate them; Social Security is a pyramid scheme that breaks in an aging, deflating economy; a perpetual national endowment solves what individuals cannot — connects the Trust Fund to the life-cycle savings literature in a way no comparable proposal does.</w:t>
      </w:r>
    </w:p>
    <w:p w14:paraId="31558C00" w14:textId="77777777" w:rsidR="00C113FA" w:rsidRDefault="00000000">
      <w:pPr>
        <w:spacing w:before="200" w:after="80"/>
      </w:pPr>
      <w:r>
        <w:rPr>
          <w:b/>
          <w:bCs/>
          <w:color w:val="2E5090"/>
        </w:rPr>
        <w:t>6.7 AI as the Enabler of Political Reform</w:t>
      </w:r>
    </w:p>
    <w:p w14:paraId="39E8989E" w14:textId="77777777" w:rsidR="00C113FA" w:rsidRDefault="00000000">
      <w:pPr>
        <w:spacing w:before="60" w:after="140"/>
        <w:jc w:val="both"/>
      </w:pPr>
      <w:r>
        <w:t>The claim that AI-assisted policy communication — AI avatars debating politicians, making complex matters accessible, making truth “run barefoot faster than lies” — changes the political feasibility of reform is speculative but intellectually interesting. It turns the technology from a problem into part of the solution, which is narratively satisfying and not implausible.</w:t>
      </w:r>
    </w:p>
    <w:p w14:paraId="2B33BD37" w14:textId="77777777" w:rsidR="00C113FA" w:rsidRDefault="00C113FA">
      <w:pPr>
        <w:spacing w:after="100"/>
      </w:pPr>
    </w:p>
    <w:p w14:paraId="7AEEBC52" w14:textId="77777777" w:rsidR="00C113FA" w:rsidRDefault="00000000">
      <w:pPr>
        <w:pStyle w:val="Heading1"/>
        <w:pBdr>
          <w:bottom w:val="single" w:sz="6" w:space="4" w:color="1F3864"/>
        </w:pBdr>
      </w:pPr>
      <w:r>
        <w:t>7. Main Point, Conclusions, and Whether They Are Well Supported</w:t>
      </w:r>
    </w:p>
    <w:p w14:paraId="33BB91B9" w14:textId="77777777" w:rsidR="00C113FA" w:rsidRDefault="00000000">
      <w:pPr>
        <w:pStyle w:val="Heading2"/>
      </w:pPr>
      <w:r>
        <w:t>7.1 The Main Point</w:t>
      </w:r>
    </w:p>
    <w:p w14:paraId="3DD22A51" w14:textId="77777777" w:rsidR="00C113FA" w:rsidRDefault="00000000">
      <w:pPr>
        <w:spacing w:before="60" w:after="140"/>
        <w:jc w:val="both"/>
      </w:pPr>
      <w:r>
        <w:t xml:space="preserve">The paper’s main point is: the AI transition will weaken the wage-based circulation of purchasing power that sustains capitalist demand; this cannot be addressed by any single instrument; and a coordinated policy architecture — addressing ownership concentration, household cash flow, </w:t>
      </w:r>
      <w:r>
        <w:lastRenderedPageBreak/>
        <w:t>fiscal base redesign, debt contract rigidity, and political legitimacy simultaneously — is both necessary and feasible.</w:t>
      </w:r>
    </w:p>
    <w:p w14:paraId="42AE4389" w14:textId="77777777" w:rsidR="00C113FA" w:rsidRDefault="00000000">
      <w:pPr>
        <w:spacing w:before="60" w:after="140"/>
        <w:jc w:val="both"/>
      </w:pPr>
      <w:r>
        <w:t>This point is well supported at the structural level. The paper does not need to prove that its exact scenario will occur; it needs to demonstrate that the mechanisms it describes are real, that the failure modes it names are genuine, and that the policy instruments it proposes address those failure modes coherently. On all three counts, the paper succeeds.</w:t>
      </w:r>
    </w:p>
    <w:p w14:paraId="3261BE01" w14:textId="77777777" w:rsidR="00C113FA" w:rsidRDefault="00000000">
      <w:pPr>
        <w:pStyle w:val="Heading2"/>
      </w:pPr>
      <w:r>
        <w:t>7.2 The Five Main Conclusions</w:t>
      </w:r>
    </w:p>
    <w:p w14:paraId="6AC30108" w14:textId="77777777" w:rsidR="00C113FA" w:rsidRDefault="00C113F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200"/>
        <w:gridCol w:w="3360"/>
      </w:tblGrid>
      <w:tr w:rsidR="00C113FA" w14:paraId="543EDA9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0B737C" w14:textId="77777777" w:rsidR="00C113FA" w:rsidRDefault="00000000">
            <w:r>
              <w:rPr>
                <w:b/>
                <w:bCs/>
                <w:color w:val="FFFFFF"/>
                <w:sz w:val="19"/>
                <w:szCs w:val="19"/>
              </w:rPr>
              <w:t>Conclusion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5A4540" w14:textId="77777777" w:rsidR="00C113FA" w:rsidRDefault="00000000">
            <w:r>
              <w:rPr>
                <w:b/>
                <w:bCs/>
                <w:color w:val="FFFFFF"/>
                <w:sz w:val="19"/>
                <w:szCs w:val="19"/>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1F5C9F" w14:textId="77777777" w:rsidR="00C113FA" w:rsidRDefault="00000000">
            <w:r>
              <w:rPr>
                <w:b/>
                <w:bCs/>
                <w:color w:val="FFFFFF"/>
                <w:sz w:val="19"/>
                <w:szCs w:val="19"/>
              </w:rPr>
              <w:t>Key Support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313EB1" w14:textId="77777777" w:rsidR="00C113FA" w:rsidRDefault="00000000">
            <w:r>
              <w:rPr>
                <w:b/>
                <w:bCs/>
                <w:color w:val="FFFFFF"/>
                <w:sz w:val="19"/>
                <w:szCs w:val="19"/>
              </w:rPr>
              <w:t>Main Open Question</w:t>
            </w:r>
          </w:p>
        </w:tc>
      </w:tr>
      <w:tr w:rsidR="00C113FA" w14:paraId="0F8D34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5518AB" w14:textId="77777777" w:rsidR="00C113FA" w:rsidRDefault="00000000">
            <w:r>
              <w:rPr>
                <w:sz w:val="19"/>
                <w:szCs w:val="19"/>
              </w:rPr>
              <w:t>AI will shift income from labor to capital at scale.</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A01FF9" w14:textId="77777777" w:rsidR="00C113FA" w:rsidRDefault="00000000">
            <w:r>
              <w:rPr>
                <w:sz w:val="19"/>
                <w:szCs w:val="19"/>
              </w:rPr>
              <w:t>Well supported directionally; magnitude uncertain.</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F79B15" w14:textId="77777777" w:rsidR="00C113FA" w:rsidRDefault="00000000">
            <w:r>
              <w:rPr>
                <w:sz w:val="19"/>
                <w:szCs w:val="19"/>
              </w:rPr>
              <w:t>Acemoglu &amp; Restrepo (2019); IMF SDN/2024/001; ILO WP 140.</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051F43" w14:textId="77777777" w:rsidR="00C113FA" w:rsidRDefault="00000000">
            <w:r>
              <w:rPr>
                <w:sz w:val="19"/>
                <w:szCs w:val="19"/>
              </w:rPr>
              <w:t>Speed and degree of new-task creation. Current evidence shows task displacement more clearly than aggregate employment loss.</w:t>
            </w:r>
          </w:p>
        </w:tc>
      </w:tr>
      <w:tr w:rsidR="00C113FA" w14:paraId="57A1BF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D40E7" w14:textId="77777777" w:rsidR="00C113FA" w:rsidRDefault="00000000">
            <w:r>
              <w:rPr>
                <w:sz w:val="19"/>
                <w:szCs w:val="19"/>
              </w:rPr>
              <w:t>This shift will weaken aggregate demand unless purchasing power is redirected through non-wage channels.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FBCA0" w14:textId="77777777" w:rsidR="00C113FA" w:rsidRDefault="00000000">
            <w:r>
              <w:rPr>
                <w:sz w:val="19"/>
                <w:szCs w:val="19"/>
              </w:rPr>
              <w:t>Well supported as mechanism; AI-specific magnitude pre-evidence.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436BF" w14:textId="77777777" w:rsidR="00C113FA" w:rsidRDefault="00000000">
            <w:r>
              <w:rPr>
                <w:sz w:val="19"/>
                <w:szCs w:val="19"/>
              </w:rPr>
              <w:t>Mian &amp; Sufi (2014, omitted); IMF WP/18/76; BIS WP 607.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4F117" w14:textId="77777777" w:rsidR="00C113FA" w:rsidRDefault="00000000">
            <w:r>
              <w:rPr>
                <w:sz w:val="19"/>
                <w:szCs w:val="19"/>
              </w:rPr>
              <w:t>How fast debt substitution escalates into balance-sheet crisis; whether fiscal and monetary policy can offset before the feedback loop closes.</w:t>
            </w:r>
          </w:p>
        </w:tc>
      </w:tr>
      <w:tr w:rsidR="00C113FA" w14:paraId="13E2EB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3F280E" w14:textId="77777777" w:rsidR="00C113FA" w:rsidRDefault="00000000">
            <w:r>
              <w:rPr>
                <w:sz w:val="19"/>
                <w:szCs w:val="19"/>
              </w:rPr>
              <w:t>A Public Trust Fund broadening equity ownership is the appropriate structural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8F0A4CF" w14:textId="77777777" w:rsidR="00C113FA" w:rsidRDefault="00000000">
            <w:r>
              <w:rPr>
                <w:sz w:val="19"/>
                <w:szCs w:val="19"/>
              </w:rPr>
              <w:t>Goal strongly supported; capitalization mechanics credible but not yet validated.</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EF7F7A" w14:textId="77777777" w:rsidR="00C113FA" w:rsidRDefault="00000000">
            <w:r>
              <w:rPr>
                <w:sz w:val="19"/>
                <w:szCs w:val="19"/>
              </w:rPr>
              <w:t>Alaska PFD; Norway GPFG; Santiago Principles; Atkinson (2015, omitted).</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8FA42D6" w14:textId="77777777" w:rsidR="00C113FA" w:rsidRDefault="00000000">
            <w:r>
              <w:rPr>
                <w:sz w:val="19"/>
                <w:szCs w:val="19"/>
              </w:rPr>
              <w:t>Dilution rate, governance insulation, and political durability over 20 years.</w:t>
            </w:r>
          </w:p>
        </w:tc>
      </w:tr>
      <w:tr w:rsidR="00C113FA" w14:paraId="673ED4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4C75" w14:textId="77777777" w:rsidR="00C113FA" w:rsidRDefault="00000000">
            <w:r>
              <w:rPr>
                <w:sz w:val="19"/>
                <w:szCs w:val="19"/>
              </w:rPr>
              <w:t>A VAT-with-rebate rebuilds fiscal capacity in a post-wage economy.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5E71E" w14:textId="77777777" w:rsidR="00C113FA" w:rsidRDefault="00000000">
            <w:r>
              <w:rPr>
                <w:sz w:val="19"/>
                <w:szCs w:val="19"/>
              </w:rPr>
              <w:t>Most strongly supported conclusion in the paper.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02FBB" w14:textId="77777777" w:rsidR="00C113FA" w:rsidRDefault="00000000">
            <w:r>
              <w:rPr>
                <w:sz w:val="19"/>
                <w:szCs w:val="19"/>
              </w:rPr>
              <w:t>IMF WP/24/78; IMF WP/25/165; OECD Consumption Tax Trends 2024.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3FDDD" w14:textId="77777777" w:rsidR="00C113FA" w:rsidRDefault="00000000">
            <w:r>
              <w:rPr>
                <w:sz w:val="19"/>
                <w:szCs w:val="19"/>
              </w:rPr>
              <w:t>Real-time or near-real-time rebate administration. Manageable with existing French VAT infrastructure.</w:t>
            </w:r>
          </w:p>
        </w:tc>
      </w:tr>
      <w:tr w:rsidR="00C113FA" w14:paraId="7823B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699026" w14:textId="77777777" w:rsidR="00C113FA" w:rsidRDefault="00000000">
            <w:r>
              <w:rPr>
                <w:sz w:val="19"/>
                <w:szCs w:val="19"/>
              </w:rPr>
              <w:t>State-contingent mortgages prevent deflationary dynamics from cascading through households and banks.</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CCC077B" w14:textId="77777777" w:rsidR="00C113FA" w:rsidRDefault="00000000">
            <w:r>
              <w:rPr>
                <w:sz w:val="19"/>
                <w:szCs w:val="19"/>
              </w:rPr>
              <w:t>Analytically rigorous and original; institutionally complex.</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47AEF5" w14:textId="77777777" w:rsidR="00C113FA" w:rsidRDefault="00000000">
            <w:r>
              <w:rPr>
                <w:sz w:val="19"/>
                <w:szCs w:val="19"/>
              </w:rPr>
              <w:t>Campbell, Clara &amp; Cocco (2021); Piskorski &amp; Seru (2018).</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0FCC77" w14:textId="77777777" w:rsidR="00C113FA" w:rsidRDefault="00000000">
            <w:r>
              <w:rPr>
                <w:sz w:val="19"/>
                <w:szCs w:val="19"/>
              </w:rPr>
              <w:t>Renter exclusion; fiscal cost of lender make-whole at scale; EU state aid rules.</w:t>
            </w:r>
          </w:p>
        </w:tc>
      </w:tr>
    </w:tbl>
    <w:p w14:paraId="0CCE2A45" w14:textId="77777777" w:rsidR="00C113FA" w:rsidRDefault="00C113FA">
      <w:pPr>
        <w:spacing w:after="100"/>
      </w:pPr>
    </w:p>
    <w:p w14:paraId="5C385D06" w14:textId="77777777" w:rsidR="00C113FA" w:rsidRDefault="00C113FA">
      <w:pPr>
        <w:spacing w:after="100"/>
      </w:pPr>
    </w:p>
    <w:p w14:paraId="7955A5B7" w14:textId="77777777" w:rsidR="00C113FA" w:rsidRDefault="00000000">
      <w:pPr>
        <w:pStyle w:val="Heading2"/>
      </w:pPr>
      <w:r>
        <w:t>7.3 Overall Verdict</w:t>
      </w:r>
    </w:p>
    <w:p w14:paraId="65C344F4" w14:textId="77777777" w:rsidR="00C113FA" w:rsidRDefault="00000000">
      <w:pPr>
        <w:spacing w:before="60" w:after="140"/>
        <w:jc w:val="both"/>
      </w:pPr>
      <w:r>
        <w:t>The paper’s conclusions are well supported at the level of direction and mechanism. They are partially supported at the level of precise calibration and political implementation. This is appropriate for a future-history scenario: the paper’s purpose is to make the structure of the transition visible and debatable, not to prescribe exact parameters.</w:t>
      </w:r>
    </w:p>
    <w:p w14:paraId="0F393F00" w14:textId="77777777" w:rsidR="00C113FA" w:rsidRDefault="00000000">
      <w:pPr>
        <w:spacing w:before="60" w:after="140"/>
        <w:jc w:val="both"/>
      </w:pPr>
      <w:r>
        <w:t xml:space="preserve">The paper’s central contribution — that the AI transition must be analyzed as a linked system of ownership, purchasing power, taxation, debt contracts, and political legitimacy, and that isolated single-policy debates are therefore inadequate — is both correct and underrepresented in the </w:t>
      </w:r>
      <w:r>
        <w:lastRenderedPageBreak/>
        <w:t>literature. This is a genuinely important intellectual contribution to a public debate that badly needs it.</w:t>
      </w:r>
    </w:p>
    <w:p w14:paraId="2232AE3B" w14:textId="77777777" w:rsidR="00C113FA" w:rsidRDefault="00000000">
      <w:pPr>
        <w:spacing w:before="60" w:after="140"/>
        <w:jc w:val="both"/>
      </w:pPr>
      <w:r>
        <w:t>The biggest remaining gaps are: the international/competitive dimension of unilateral reform; the governance specification of the Trust Fund; and the absence of Mian and Sufi as the empirical anchor for the debt-fragility mechanism. None of these gaps invalidates the argument; they are the natural agenda for the next revision.</w:t>
      </w:r>
    </w:p>
    <w:p w14:paraId="0D52CF00" w14:textId="77777777" w:rsidR="00C113FA" w:rsidRDefault="00C113FA">
      <w:pPr>
        <w:spacing w:after="100"/>
      </w:pPr>
    </w:p>
    <w:p w14:paraId="3CDBE401" w14:textId="77777777" w:rsidR="00C113FA" w:rsidRDefault="00000000">
      <w:pPr>
        <w:pStyle w:val="Heading1"/>
        <w:pBdr>
          <w:bottom w:val="single" w:sz="6" w:space="4" w:color="1F3864"/>
        </w:pBdr>
      </w:pPr>
      <w:r>
        <w:t>8. Recommendations for the Next Revision</w:t>
      </w:r>
    </w:p>
    <w:p w14:paraId="5AC6CC42" w14:textId="77777777" w:rsidR="00C113FA" w:rsidRDefault="00000000">
      <w:pPr>
        <w:pStyle w:val="ListParagraph"/>
        <w:numPr>
          <w:ilvl w:val="0"/>
          <w:numId w:val="2"/>
        </w:numPr>
        <w:spacing w:before="60" w:after="80"/>
      </w:pPr>
      <w:r>
        <w:t>Add Mian and Sufi (“House of Debt,” 2014; or their AER papers on household leverage) to the debt-fragility section. This is the most significant missing citation.</w:t>
      </w:r>
    </w:p>
    <w:p w14:paraId="1796EE46" w14:textId="77777777" w:rsidR="00C113FA" w:rsidRDefault="00000000">
      <w:pPr>
        <w:pStyle w:val="ListParagraph"/>
        <w:numPr>
          <w:ilvl w:val="0"/>
          <w:numId w:val="2"/>
        </w:numPr>
        <w:spacing w:before="60" w:after="80"/>
      </w:pPr>
      <w:r>
        <w:t>Add one paragraph on Trust Fund governance: passivity, fiduciary rules, legal insulation from ministerial direction, and the Santiago Principles as the governing framework. Readers will ask this immediately.</w:t>
      </w:r>
    </w:p>
    <w:p w14:paraId="143FB54B" w14:textId="77777777" w:rsidR="00C113FA" w:rsidRDefault="00000000">
      <w:pPr>
        <w:pStyle w:val="ListParagraph"/>
        <w:numPr>
          <w:ilvl w:val="0"/>
          <w:numId w:val="2"/>
        </w:numPr>
        <w:spacing w:before="60" w:after="80"/>
      </w:pPr>
      <w:r>
        <w:t>Address the international arbitrage problem for the automation-responsive corporate tax. One sentence noting the Pillar Two coordination framework as a design scaffold would substantially raise the instrument’s credibility.</w:t>
      </w:r>
    </w:p>
    <w:p w14:paraId="6B1ACB1F" w14:textId="77777777" w:rsidR="00C113FA" w:rsidRDefault="00000000">
      <w:pPr>
        <w:pStyle w:val="ListParagraph"/>
        <w:numPr>
          <w:ilvl w:val="0"/>
          <w:numId w:val="2"/>
        </w:numPr>
        <w:spacing w:before="60" w:after="80"/>
      </w:pPr>
      <w:r>
        <w:t>Make the deflation hedge more prominent in the narrative. The model already handles mixed regimes; the story should make this explicit in one short paragraph to prevent the paper from being dismissed as assuming what it needs to prove.</w:t>
      </w:r>
    </w:p>
    <w:p w14:paraId="7DEF4C09" w14:textId="77777777" w:rsidR="00C113FA" w:rsidRDefault="00000000">
      <w:pPr>
        <w:pStyle w:val="ListParagraph"/>
        <w:numPr>
          <w:ilvl w:val="0"/>
          <w:numId w:val="2"/>
        </w:numPr>
        <w:spacing w:before="60" w:after="80"/>
      </w:pPr>
      <w:r>
        <w:t>Address the renter/owner asymmetry in the mortgage section. A sentence noting that UBI provides the compensating instrument for non-mortgaged households would close this equity gap.</w:t>
      </w:r>
    </w:p>
    <w:p w14:paraId="6044E523" w14:textId="77777777" w:rsidR="00C113FA" w:rsidRDefault="00000000">
      <w:pPr>
        <w:pStyle w:val="ListParagraph"/>
        <w:numPr>
          <w:ilvl w:val="0"/>
          <w:numId w:val="2"/>
        </w:numPr>
        <w:spacing w:before="60" w:after="80"/>
      </w:pPr>
      <w:r>
        <w:t>Address UBI labor-supply effects directly, using the paper’s own automation premise as the rebuttal: in a world of contracting labor demand, modest labor-supply reduction is appropriate, not costly.</w:t>
      </w:r>
    </w:p>
    <w:p w14:paraId="4E1750E5" w14:textId="77777777" w:rsidR="00C113FA" w:rsidRDefault="00000000">
      <w:pPr>
        <w:pStyle w:val="ListParagraph"/>
        <w:numPr>
          <w:ilvl w:val="0"/>
          <w:numId w:val="2"/>
        </w:numPr>
        <w:spacing w:before="60" w:after="80"/>
      </w:pPr>
      <w:r>
        <w:t>Consider adding the Alaska Permanent Fund and Norway’s GPFG as named international comparators for the Trust Fund. These are well-known, politically durable, and institutionally legible precedents that would make the Trust Fund proposal more credible to skeptical readers.</w:t>
      </w:r>
    </w:p>
    <w:p w14:paraId="6F875195" w14:textId="77777777" w:rsidR="00C113FA" w:rsidRDefault="00000000">
      <w:pPr>
        <w:pStyle w:val="ListParagraph"/>
        <w:numPr>
          <w:ilvl w:val="0"/>
          <w:numId w:val="2"/>
        </w:numPr>
        <w:spacing w:before="60" w:after="80"/>
      </w:pPr>
      <w:r>
        <w:t>The paper’s closing personal section — built in five weeks, no Python written, ChatGPT critique in six minutes — is genuinely valuable as a demonstration of the argument’s subject matter. Consider moving it earlier or making it a named sidebar rather than an afterthought.</w:t>
      </w:r>
    </w:p>
    <w:p w14:paraId="3551ACA7" w14:textId="77777777" w:rsidR="00C113FA" w:rsidRDefault="00C113FA">
      <w:pPr>
        <w:spacing w:after="100"/>
      </w:pPr>
    </w:p>
    <w:p w14:paraId="19594F53" w14:textId="77777777" w:rsidR="00C113FA" w:rsidRDefault="00000000">
      <w:pPr>
        <w:spacing w:before="320"/>
        <w:jc w:val="center"/>
      </w:pPr>
      <w:r>
        <w:rPr>
          <w:i/>
          <w:iCs/>
          <w:color w:val="999999"/>
          <w:sz w:val="20"/>
          <w:szCs w:val="20"/>
        </w:rPr>
        <w:t>— End of Critique —</w:t>
      </w:r>
    </w:p>
    <w:sectPr w:rsidR="00C113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B697F"/>
    <w:multiLevelType w:val="hybridMultilevel"/>
    <w:tmpl w:val="DF266404"/>
    <w:lvl w:ilvl="0" w:tplc="7DE42FAC">
      <w:start w:val="1"/>
      <w:numFmt w:val="bullet"/>
      <w:lvlText w:val="•"/>
      <w:lvlJc w:val="left"/>
      <w:pPr>
        <w:ind w:left="720" w:hanging="360"/>
      </w:pPr>
    </w:lvl>
    <w:lvl w:ilvl="1" w:tplc="53E05354">
      <w:numFmt w:val="decimal"/>
      <w:lvlText w:val=""/>
      <w:lvlJc w:val="left"/>
    </w:lvl>
    <w:lvl w:ilvl="2" w:tplc="13C4AD7C">
      <w:numFmt w:val="decimal"/>
      <w:lvlText w:val=""/>
      <w:lvlJc w:val="left"/>
    </w:lvl>
    <w:lvl w:ilvl="3" w:tplc="E06C37C0">
      <w:numFmt w:val="decimal"/>
      <w:lvlText w:val=""/>
      <w:lvlJc w:val="left"/>
    </w:lvl>
    <w:lvl w:ilvl="4" w:tplc="1C124A46">
      <w:numFmt w:val="decimal"/>
      <w:lvlText w:val=""/>
      <w:lvlJc w:val="left"/>
    </w:lvl>
    <w:lvl w:ilvl="5" w:tplc="E35CFF02">
      <w:numFmt w:val="decimal"/>
      <w:lvlText w:val=""/>
      <w:lvlJc w:val="left"/>
    </w:lvl>
    <w:lvl w:ilvl="6" w:tplc="80222066">
      <w:numFmt w:val="decimal"/>
      <w:lvlText w:val=""/>
      <w:lvlJc w:val="left"/>
    </w:lvl>
    <w:lvl w:ilvl="7" w:tplc="57EA11C2">
      <w:numFmt w:val="decimal"/>
      <w:lvlText w:val=""/>
      <w:lvlJc w:val="left"/>
    </w:lvl>
    <w:lvl w:ilvl="8" w:tplc="C6E496E6">
      <w:numFmt w:val="decimal"/>
      <w:lvlText w:val=""/>
      <w:lvlJc w:val="left"/>
    </w:lvl>
  </w:abstractNum>
  <w:abstractNum w:abstractNumId="1" w15:restartNumberingAfterBreak="0">
    <w:nsid w:val="67FB43B3"/>
    <w:multiLevelType w:val="hybridMultilevel"/>
    <w:tmpl w:val="B328A0C6"/>
    <w:lvl w:ilvl="0" w:tplc="407E85B2">
      <w:start w:val="1"/>
      <w:numFmt w:val="bullet"/>
      <w:lvlText w:val="●"/>
      <w:lvlJc w:val="left"/>
      <w:pPr>
        <w:ind w:left="720" w:hanging="360"/>
      </w:pPr>
    </w:lvl>
    <w:lvl w:ilvl="1" w:tplc="A6CC5E24">
      <w:start w:val="1"/>
      <w:numFmt w:val="bullet"/>
      <w:lvlText w:val="○"/>
      <w:lvlJc w:val="left"/>
      <w:pPr>
        <w:ind w:left="1440" w:hanging="360"/>
      </w:pPr>
    </w:lvl>
    <w:lvl w:ilvl="2" w:tplc="E2E87386">
      <w:start w:val="1"/>
      <w:numFmt w:val="bullet"/>
      <w:lvlText w:val="■"/>
      <w:lvlJc w:val="left"/>
      <w:pPr>
        <w:ind w:left="2160" w:hanging="360"/>
      </w:pPr>
    </w:lvl>
    <w:lvl w:ilvl="3" w:tplc="663A3B8A">
      <w:start w:val="1"/>
      <w:numFmt w:val="bullet"/>
      <w:lvlText w:val="●"/>
      <w:lvlJc w:val="left"/>
      <w:pPr>
        <w:ind w:left="2880" w:hanging="360"/>
      </w:pPr>
    </w:lvl>
    <w:lvl w:ilvl="4" w:tplc="66240AD0">
      <w:start w:val="1"/>
      <w:numFmt w:val="bullet"/>
      <w:lvlText w:val="○"/>
      <w:lvlJc w:val="left"/>
      <w:pPr>
        <w:ind w:left="3600" w:hanging="360"/>
      </w:pPr>
    </w:lvl>
    <w:lvl w:ilvl="5" w:tplc="3DCE5DE2">
      <w:start w:val="1"/>
      <w:numFmt w:val="bullet"/>
      <w:lvlText w:val="■"/>
      <w:lvlJc w:val="left"/>
      <w:pPr>
        <w:ind w:left="4320" w:hanging="360"/>
      </w:pPr>
    </w:lvl>
    <w:lvl w:ilvl="6" w:tplc="2CC2860A">
      <w:start w:val="1"/>
      <w:numFmt w:val="bullet"/>
      <w:lvlText w:val="●"/>
      <w:lvlJc w:val="left"/>
      <w:pPr>
        <w:ind w:left="5040" w:hanging="360"/>
      </w:pPr>
    </w:lvl>
    <w:lvl w:ilvl="7" w:tplc="B694CF4E">
      <w:start w:val="1"/>
      <w:numFmt w:val="bullet"/>
      <w:lvlText w:val="●"/>
      <w:lvlJc w:val="left"/>
      <w:pPr>
        <w:ind w:left="5760" w:hanging="360"/>
      </w:pPr>
    </w:lvl>
    <w:lvl w:ilvl="8" w:tplc="5FBE85CC">
      <w:start w:val="1"/>
      <w:numFmt w:val="bullet"/>
      <w:lvlText w:val="●"/>
      <w:lvlJc w:val="left"/>
      <w:pPr>
        <w:ind w:left="6480" w:hanging="360"/>
      </w:pPr>
    </w:lvl>
  </w:abstractNum>
  <w:num w:numId="1" w16cid:durableId="417942743">
    <w:abstractNumId w:val="1"/>
    <w:lvlOverride w:ilvl="0">
      <w:startOverride w:val="1"/>
    </w:lvlOverride>
  </w:num>
  <w:num w:numId="2" w16cid:durableId="1053848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3FA"/>
    <w:rsid w:val="005E2BFA"/>
    <w:rsid w:val="006722C3"/>
    <w:rsid w:val="00C11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2D11E3"/>
  <w15:docId w15:val="{932FF6B9-0549-5D40-BB75-BD0756201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3864"/>
      <w:sz w:val="30"/>
      <w:szCs w:val="30"/>
    </w:rPr>
  </w:style>
  <w:style w:type="paragraph" w:styleId="Heading2">
    <w:name w:val="heading 2"/>
    <w:uiPriority w:val="9"/>
    <w:unhideWhenUsed/>
    <w:qFormat/>
    <w:pPr>
      <w:spacing w:before="28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5112</Words>
  <Characters>30795</Characters>
  <Application>Microsoft Office Word</Application>
  <DocSecurity>0</DocSecurity>
  <Lines>636</Lines>
  <Paragraphs>172</Paragraphs>
  <ScaleCrop>false</ScaleCrop>
  <Company/>
  <LinksUpToDate>false</LinksUpToDate>
  <CharactersWithSpaces>35787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Ison</cp:lastModifiedBy>
  <cp:revision>3</cp:revision>
  <cp:lastPrinted>2026-03-07T23:50:00Z</cp:lastPrinted>
  <dcterms:created xsi:type="dcterms:W3CDTF">2026-03-07T23:50:00Z</dcterms:created>
  <dcterms:modified xsi:type="dcterms:W3CDTF">2026-03-07T23:50:00Z</dcterms:modified>
</cp:coreProperties>
</file>