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BAA0E" w14:textId="77777777" w:rsidR="003E342E" w:rsidRDefault="00000000">
      <w:pPr>
        <w:spacing w:after="80"/>
      </w:pPr>
      <w:r>
        <w:rPr>
          <w:b/>
          <w:bCs/>
          <w:sz w:val="32"/>
          <w:szCs w:val="32"/>
        </w:rPr>
        <w:t>Detailed Critique and Literature Review</w:t>
      </w:r>
    </w:p>
    <w:p w14:paraId="7447D750" w14:textId="77777777" w:rsidR="003E342E" w:rsidRDefault="00000000">
      <w:pPr>
        <w:spacing w:after="80"/>
      </w:pPr>
      <w:r>
        <w:rPr>
          <w:i/>
          <w:iCs/>
        </w:rPr>
        <w:t>“The New Loop: A Future History of the AI Transition” and “New Loop Policy Architecture and Simulator”</w:t>
      </w:r>
    </w:p>
    <w:p w14:paraId="031C1E6A" w14:textId="77777777" w:rsidR="003E342E" w:rsidRDefault="00000000">
      <w:pPr>
        <w:spacing w:after="200"/>
      </w:pPr>
      <w:r>
        <w:rPr>
          <w:i/>
          <w:iCs/>
          <w:sz w:val="22"/>
          <w:szCs w:val="22"/>
        </w:rPr>
        <w:t>Roger Ison | Prepared March 9,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342E" w14:paraId="05730674"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8C76FD8" w14:textId="77777777" w:rsidR="003E342E" w:rsidRDefault="00000000">
            <w:r>
              <w:rPr>
                <w:b/>
                <w:bCs/>
                <w:color w:val="FFFFFF"/>
                <w:sz w:val="22"/>
                <w:szCs w:val="22"/>
              </w:rPr>
              <w:t>OVERVIEW</w:t>
            </w:r>
          </w:p>
        </w:tc>
        <w:tc>
          <w:tcPr>
            <w:tcW w:w="7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A992C" w14:textId="77777777" w:rsidR="003E342E" w:rsidRDefault="00000000">
            <w:r>
              <w:rPr>
                <w:sz w:val="22"/>
                <w:szCs w:val="22"/>
              </w:rPr>
              <w:t>This critique evaluates both companion papers together: the future-history narrative (The New Loop) and the technical policy and simulator paper (New Loop Policy Architecture and Simulator). It assesses each paper on its own terms, evaluates the policy architecture against the scholarly and policy literature, identifies what is novel, and renders a judgment on whether the main argument and conclusions are well supported. Section references follow the structure of the narrative paper, with the policy paper assessed as a parallel and complementary document.</w:t>
            </w:r>
          </w:p>
        </w:tc>
      </w:tr>
    </w:tbl>
    <w:p w14:paraId="28CB3EF9" w14:textId="77777777" w:rsidR="003E342E" w:rsidRDefault="003E342E">
      <w:pPr>
        <w:spacing w:after="120"/>
      </w:pPr>
    </w:p>
    <w:p w14:paraId="183B9E17" w14:textId="77777777" w:rsidR="003E342E" w:rsidRDefault="00000000">
      <w:pPr>
        <w:pStyle w:val="Heading1"/>
      </w:pPr>
      <w:r>
        <w:t>1. What the Papers Are Doing — and What Kind of Argument They Make</w:t>
      </w:r>
    </w:p>
    <w:p w14:paraId="422CA4B5" w14:textId="77777777" w:rsidR="003E342E" w:rsidRDefault="00000000">
      <w:pPr>
        <w:spacing w:after="120"/>
      </w:pPr>
      <w:r>
        <w:t>The two papers form a deliberate diptych. The New Loop is a future-history narrative: an explicitly purposeful scenario designed to make the causal structure of an economic transition visible and debatable. The Policy Architecture and Simulator paper is its technical counterpart: a policy-by-policy specification of each instrument, followed by a guided tour of the New Loop computational model and its outputs.</w:t>
      </w:r>
    </w:p>
    <w:p w14:paraId="45B7911D" w14:textId="77777777" w:rsidR="003E342E" w:rsidRDefault="00000000">
      <w:pPr>
        <w:spacing w:after="120"/>
      </w:pPr>
      <w:r>
        <w:t>This two-document architecture is methodologically sound and represents an improvement over presenting the argument in a single document. The narrative paper can tell a story without interruption; the policy paper can provide institutional and mathematical detail without subordinating it to narrative pace. Readers who want the argument can read the first paper; readers who want to stress-test it can work through the second and interact with the Streamlit simulator.</w:t>
      </w:r>
    </w:p>
    <w:p w14:paraId="2E46EBD0" w14:textId="77777777" w:rsidR="003E342E" w:rsidRDefault="00000000">
      <w:pPr>
        <w:spacing w:after="120"/>
      </w:pPr>
      <w:r>
        <w:t>The narrative paper is explicit about its genre: it is purposeful storytelling, not a forecast or prescriptive white paper. This is a legitimate and well-precedented intellectual mode. Shell’s global scenarios, the Club of Rome’s Limits to Growth, and Keynes’s “Economic Possibilities for Our Grandchildren” all use narrative imagination to make structural arguments that formal modelling alone cannot carry. The right evaluative question is therefore not “will this happen?” but “is the causal architecture internally coherent, are the policy proposals well-designed, and is the systemic argument well-supported by what we know?”</w:t>
      </w:r>
    </w:p>
    <w:p w14:paraId="71D16213" w14:textId="77777777" w:rsidR="003E342E" w:rsidRDefault="00000000">
      <w:pPr>
        <w:spacing w:after="120"/>
      </w:pPr>
      <w:r>
        <w:t>The policy paper claims, and largely delivers, something that the broader literature does not yet contain: a whole-economy, non-redundant, stock-flow-consistent treatment of multiple AI-transition policy instruments operating simultaneously in a closed-loop system. That is a genuine gap in the literature and a genuine intellectual contribution.</w:t>
      </w:r>
    </w:p>
    <w:p w14:paraId="08AC791A" w14:textId="77777777" w:rsidR="003E342E" w:rsidRDefault="00000000">
      <w:pPr>
        <w:spacing w:after="120"/>
      </w:pPr>
      <w:r>
        <w:t>Against these criteria, both papers perform well. Their shared ambition—to treat the AI transition as a systems-engineering problem in income circulation rather than a single-policy debate—is both appropriate and underserved in the existing literature.</w:t>
      </w:r>
    </w:p>
    <w:p w14:paraId="5BAE9A35" w14:textId="77777777" w:rsidR="003E342E" w:rsidRDefault="00000000">
      <w:pPr>
        <w:pStyle w:val="Heading1"/>
      </w:pPr>
      <w:r>
        <w:lastRenderedPageBreak/>
        <w:t>2. Issues Raised by the Papers</w:t>
      </w:r>
    </w:p>
    <w:p w14:paraId="545ED332" w14:textId="77777777" w:rsidR="003E342E" w:rsidRDefault="00000000">
      <w:pPr>
        <w:spacing w:after="120"/>
      </w:pPr>
      <w:r>
        <w:t>The papers raise five analytically distinct problems, all of which are now addressed with greater specificity than in earlier drafts, particularly in the policy paper.</w:t>
      </w:r>
    </w:p>
    <w:p w14:paraId="54D90D3D" w14:textId="77777777" w:rsidR="003E342E" w:rsidRDefault="00000000">
      <w:pPr>
        <w:pStyle w:val="Heading2"/>
      </w:pPr>
      <w:r>
        <w:t>2.1 The Income Architecture Problem</w:t>
      </w:r>
    </w:p>
    <w:p w14:paraId="25DDC277" w14:textId="77777777" w:rsidR="003E342E" w:rsidRDefault="00000000">
      <w:pPr>
        <w:spacing w:after="120"/>
      </w:pPr>
      <w:r>
        <w:t>The central claim is that automation shifts value-added away from wages toward profits, creating a systemic threat to aggregate demand as the wage-income channel narrows. This is the papers’ most important and best-supported claim. Acemoglu and Restrepo’s task-displacement framework (2019, cited as [1]) provides the canonical modern treatment. The IMF’s 2024 Staff Discussion Note on Gen-AI (cited as [2]) confirms that high-income, information-dense occupations are heavily exposed. The policy paper adds a useful clarification: the model does not assume a specific magnitude or pace of displacement, but models it as S-curve adoption paths for an information sector and a physical sector, allowing users to test different speeds.</w:t>
      </w:r>
    </w:p>
    <w:p w14:paraId="477A18E3" w14:textId="77777777" w:rsidR="003E342E" w:rsidRDefault="00000000">
      <w:pPr>
        <w:spacing w:after="120"/>
      </w:pPr>
      <w:r>
        <w:t>The narrative paper’s framing of reindustrialization as a process that “needs far less labor than the industrial recoveries of the past” is analytically important and now supported by Abel et al.’s Federal Reserve Bank of New York paper (cited as [5]) on businesses scaling back hiring due to AI. This is a recent and directly relevant addition that was not available at the time of the original critique.</w:t>
      </w:r>
    </w:p>
    <w:p w14:paraId="32198525" w14:textId="77777777" w:rsidR="003E342E" w:rsidRDefault="003E34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342E" w14:paraId="65205CB0"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815BDA0" w14:textId="77777777" w:rsidR="003E342E" w:rsidRDefault="00000000">
            <w:r>
              <w:rPr>
                <w:b/>
                <w:bCs/>
              </w:rPr>
              <w:t>LIT</w:t>
            </w:r>
          </w:p>
        </w:tc>
        <w:tc>
          <w:tcPr>
            <w:tcW w:w="7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186D28" w14:textId="77777777" w:rsidR="003E342E" w:rsidRDefault="00000000">
            <w:r>
              <w:t>Strongly supported. Acemoglu &amp; Restrepo (2019) [1]; IMF SDN/2024/001 [2]; Barr (2026) [6]; Abel et al. (2025) [5]. The policy paper’s S-curve modelling of adoption provides the quantitative scaffold the narrative paper requires. One remaining nuance: the aggregate employment collapse has not yet materialized in headline data; displacement remains concentrated in entry-level and cognitive roles. The papers acknowledge this but could emphasize it more prominently.</w:t>
            </w:r>
          </w:p>
        </w:tc>
      </w:tr>
    </w:tbl>
    <w:p w14:paraId="2590BEE1" w14:textId="77777777" w:rsidR="003E342E" w:rsidRDefault="003E342E">
      <w:pPr>
        <w:spacing w:after="120"/>
      </w:pPr>
    </w:p>
    <w:p w14:paraId="3CF789A4" w14:textId="77777777" w:rsidR="003E342E" w:rsidRDefault="00000000">
      <w:pPr>
        <w:pStyle w:val="Heading2"/>
      </w:pPr>
      <w:r>
        <w:t>2.2 The Demand-Fragility and Debt-Deflation Problem</w:t>
      </w:r>
    </w:p>
    <w:p w14:paraId="7F68327D" w14:textId="77777777" w:rsidR="003E342E" w:rsidRDefault="00000000">
      <w:pPr>
        <w:spacing w:after="120"/>
      </w:pPr>
      <w:r>
        <w:t>The papers argue that as wage income weakens, households substitute debt for income to sustain consumption, creating a delayed amplifier that eventually breaks the circular flow. This is the papers’ analytical core, and it is now substantially better supported than in earlier versions.</w:t>
      </w:r>
    </w:p>
    <w:p w14:paraId="5B65E46A" w14:textId="77777777" w:rsidR="003E342E" w:rsidRDefault="00000000">
      <w:pPr>
        <w:spacing w:after="120"/>
      </w:pPr>
      <w:r>
        <w:t>Most importantly, the reading list now includes four Mian and Sufi papers [23–26]—the strongest empirical anchor for the debt-fragility mechanism, whose absence was the most significant gap in the previous version. Irving Fisher’s debt-deflation theory [27] is also now cited, providing the foundational theoretical frame. The policy paper’s section 7 on the monetary and credit regime, including the “overdraft conversion” device that prevents hard defaults from cascading, demonstrates a serious engagement with how debt-fragility actually transmits through household balance sheets.</w:t>
      </w:r>
    </w:p>
    <w:p w14:paraId="6EF88BD9" w14:textId="77777777" w:rsidR="003E342E" w:rsidRDefault="00000000">
      <w:pPr>
        <w:spacing w:after="120"/>
      </w:pPr>
      <w:r>
        <w:lastRenderedPageBreak/>
        <w:t>The narrative paper’s framing of the 95th-percentile debt-service pain as the warning sign remains analytically precise and correct. The policy paper’s section 7.4 on mortgage indexation develops the mechanical response in considerable detail, including the construction of the hybrid price-and-income index and the lender neutralization accounting.</w:t>
      </w:r>
    </w:p>
    <w:p w14:paraId="5019FFC3" w14:textId="77777777" w:rsidR="003E342E" w:rsidRDefault="003E34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342E" w14:paraId="3D437C38"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075C651" w14:textId="77777777" w:rsidR="003E342E" w:rsidRDefault="00000000">
            <w:r>
              <w:rPr>
                <w:b/>
                <w:bCs/>
              </w:rPr>
              <w:t>LIT</w:t>
            </w:r>
          </w:p>
        </w:tc>
        <w:tc>
          <w:tcPr>
            <w:tcW w:w="7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45C92D" w14:textId="77777777" w:rsidR="003E342E" w:rsidRDefault="00000000">
            <w:r>
              <w:t xml:space="preserve">Strongly supported. Mian &amp; Sufi (2010, 2011, 2017, 2018) [23–26]; Fisher (1933) [27]; </w:t>
            </w:r>
            <w:proofErr w:type="spellStart"/>
            <w:r>
              <w:t>Bounader</w:t>
            </w:r>
            <w:proofErr w:type="spellEnd"/>
            <w:r>
              <w:t xml:space="preserve"> &amp; </w:t>
            </w:r>
            <w:proofErr w:type="spellStart"/>
            <w:r>
              <w:t>Elekdag</w:t>
            </w:r>
            <w:proofErr w:type="spellEnd"/>
            <w:r>
              <w:t xml:space="preserve"> (2024) [16]. The most important gap from the original critique—absence of Mian and Sufi—has been remedied in full. The policy paper’s detailed mortgage indexation mechanics are the strongest technical section in either paper.</w:t>
            </w:r>
          </w:p>
        </w:tc>
      </w:tr>
    </w:tbl>
    <w:p w14:paraId="61014503" w14:textId="77777777" w:rsidR="003E342E" w:rsidRDefault="003E342E">
      <w:pPr>
        <w:spacing w:after="120"/>
      </w:pPr>
    </w:p>
    <w:p w14:paraId="08C167AC" w14:textId="77777777" w:rsidR="003E342E" w:rsidRDefault="00000000">
      <w:pPr>
        <w:pStyle w:val="Heading2"/>
      </w:pPr>
      <w:r>
        <w:t>2.3 The Deflation Risk</w:t>
      </w:r>
    </w:p>
    <w:p w14:paraId="7EB2F451" w14:textId="77777777" w:rsidR="003E342E" w:rsidRDefault="00000000">
      <w:pPr>
        <w:spacing w:after="120"/>
      </w:pPr>
      <w:r>
        <w:t>The papers argue that AI-driven automation is structurally deflationary, and this claim is now handled with greater sophistication. The policy paper states explicitly that “the model does not enforce deflation; it arises structurally.” The simulator output section shows the deflation process as a model output rather than an assumption, with prices falling steeply through roughly quarter 25 before recovering. This is precisely the right way to handle a contested empirical claim: not by asserting it, but by building a model in which it emerges from the dynamics and can be tested.</w:t>
      </w:r>
    </w:p>
    <w:p w14:paraId="3253C887" w14:textId="77777777" w:rsidR="003E342E" w:rsidRDefault="00000000">
      <w:pPr>
        <w:spacing w:after="120"/>
      </w:pPr>
      <w:r>
        <w:t>The narrative paper’s original hedge</w:t>
      </w:r>
      <w:proofErr w:type="gramStart"/>
      <w:r>
        <w:t>—“</w:t>
      </w:r>
      <w:proofErr w:type="gramEnd"/>
      <w:r>
        <w:t>markup capture can push the other way”—is retained and the policy paper’s section 9 on price formation formalizes it: automation can generate either stronger disinflation or stronger profit capture depending on institutional conditions, and the model allows both. This directly addresses the original critique’s recommendation to make the deflation hedge more prominent.</w:t>
      </w:r>
    </w:p>
    <w:p w14:paraId="5340BBAF" w14:textId="77777777" w:rsidR="003E342E" w:rsidRDefault="003E34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342E" w14:paraId="1B8278D9"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56CFDD7" w14:textId="77777777" w:rsidR="003E342E" w:rsidRDefault="00000000">
            <w:r>
              <w:rPr>
                <w:b/>
                <w:bCs/>
              </w:rPr>
              <w:t>LIT</w:t>
            </w:r>
          </w:p>
        </w:tc>
        <w:tc>
          <w:tcPr>
            <w:tcW w:w="7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531611" w14:textId="77777777" w:rsidR="003E342E" w:rsidRDefault="00000000">
            <w:r>
              <w:t>Partially supported but now better framed. The model’s structural emergence of deflation rather than its imposition as an assumption substantially improves the epistemological standing of the claim. The narrative paper’s personal closing note—that the author “spent much of his adult life investing against inflation” and now judges AI to be deflationary—is appropriate epistemic humility and should be retained.</w:t>
            </w:r>
          </w:p>
        </w:tc>
      </w:tr>
    </w:tbl>
    <w:p w14:paraId="7762DB3F" w14:textId="77777777" w:rsidR="003E342E" w:rsidRDefault="003E342E">
      <w:pPr>
        <w:spacing w:after="120"/>
      </w:pPr>
    </w:p>
    <w:p w14:paraId="2681E57E" w14:textId="77777777" w:rsidR="003E342E" w:rsidRDefault="00000000">
      <w:pPr>
        <w:pStyle w:val="Heading2"/>
      </w:pPr>
      <w:r>
        <w:t>2.4 The Concentration Trap vs. Treadmill Trap</w:t>
      </w:r>
    </w:p>
    <w:p w14:paraId="604DD1F0" w14:textId="77777777" w:rsidR="003E342E" w:rsidRDefault="00000000">
      <w:pPr>
        <w:spacing w:after="120"/>
      </w:pPr>
      <w:r>
        <w:t>This taxonomy is one of the papers’ most intellectually distinctive contributions and it is reproduced clearly in both documents. Both failure modes have historical precedent. The papers’ insistence that isolated policy debates—UBI alone, robot taxes alone, retraining programs alone—fall into the treadmill trap is important and still underrepresented in the existing AI policy literature.</w:t>
      </w:r>
    </w:p>
    <w:p w14:paraId="247BC2C0" w14:textId="77777777" w:rsidR="003E342E" w:rsidRDefault="00000000">
      <w:pPr>
        <w:spacing w:after="120"/>
      </w:pPr>
      <w:r>
        <w:lastRenderedPageBreak/>
        <w:t>The policy paper adds a useful reinforcement of this point in its closing perspective, describing the architecture as “an integrated transition architecture rather than a menu of unrelated programs” and explicitly identifying which failure channel each instrument addresses. This is the non-redundancy argument made more visible.</w:t>
      </w:r>
    </w:p>
    <w:p w14:paraId="3AEAFC11" w14:textId="77777777" w:rsidR="003E342E" w:rsidRDefault="003E34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342E" w14:paraId="40C443A9"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3D4FA7B" w14:textId="77777777" w:rsidR="003E342E" w:rsidRDefault="00000000">
            <w:r>
              <w:rPr>
                <w:b/>
                <w:bCs/>
              </w:rPr>
              <w:t>LIT</w:t>
            </w:r>
          </w:p>
        </w:tc>
        <w:tc>
          <w:tcPr>
            <w:tcW w:w="7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A2682" w14:textId="77777777" w:rsidR="003E342E" w:rsidRDefault="00000000">
            <w:r>
              <w:t>Novel framing, well-supported logic. Not standard in the literature but accurately characterizes outcomes documented in historical and comparative political economy research. Should be retained and developed.</w:t>
            </w:r>
          </w:p>
        </w:tc>
      </w:tr>
    </w:tbl>
    <w:p w14:paraId="44647C97" w14:textId="77777777" w:rsidR="003E342E" w:rsidRDefault="003E342E">
      <w:pPr>
        <w:spacing w:after="120"/>
      </w:pPr>
    </w:p>
    <w:p w14:paraId="5E0C90A9" w14:textId="77777777" w:rsidR="003E342E" w:rsidRDefault="00000000">
      <w:pPr>
        <w:pStyle w:val="Heading2"/>
      </w:pPr>
      <w:r>
        <w:t>2.5 The Political Legitimacy Problem</w:t>
      </w:r>
    </w:p>
    <w:p w14:paraId="23167B23" w14:textId="77777777" w:rsidR="003E342E" w:rsidRDefault="00000000">
      <w:pPr>
        <w:spacing w:after="120"/>
      </w:pPr>
      <w:r>
        <w:t>Both papers argue that economic architectures must be politically sustainable over decades rather than election cycles. The narrative paper’s France-first scenario, the Declaration of the Rights of Man passage, and the CEO/CFO dialogues all serve this argument. The policy paper adds the EU law constraints on Trust Fund design—noting that it cannot be simply an arm of the state and must be constituted as an independent, universal, largely passive investment trust governed by fiduciary rules.</w:t>
      </w:r>
    </w:p>
    <w:p w14:paraId="307EBC17" w14:textId="77777777" w:rsidR="003E342E" w:rsidRDefault="00000000">
      <w:pPr>
        <w:spacing w:after="120"/>
      </w:pPr>
      <w:r>
        <w:t>Critically, the reading list now includes Esping-Andersen [7] and Pierson [8, 9]—both recommended in the original critique as the foundational political economy literature on welfare state durability. Their inclusion substantially strengthens the papers’ political legitimacy argument.</w:t>
      </w:r>
    </w:p>
    <w:p w14:paraId="0902980C" w14:textId="77777777" w:rsidR="003E342E" w:rsidRDefault="003E34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342E" w14:paraId="4CBEA42C"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38FC818" w14:textId="77777777" w:rsidR="003E342E" w:rsidRDefault="00000000">
            <w:r>
              <w:rPr>
                <w:b/>
                <w:bCs/>
              </w:rPr>
              <w:t>LIT</w:t>
            </w:r>
          </w:p>
        </w:tc>
        <w:tc>
          <w:tcPr>
            <w:tcW w:w="7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FC2259" w14:textId="77777777" w:rsidR="003E342E" w:rsidRDefault="00000000">
            <w:r>
              <w:t>Well-motivated and now better grounded. Esping-Andersen and Pierson are now present. The EU law design constraints noted in the “Health and Wealth” section partially address the governance insulation gap identified in the original critique, though the specification remains incomplete. The Santiago Principles are still not cited by name.</w:t>
            </w:r>
          </w:p>
        </w:tc>
      </w:tr>
    </w:tbl>
    <w:p w14:paraId="48ACFEC8" w14:textId="77777777" w:rsidR="003E342E" w:rsidRDefault="003E342E">
      <w:pPr>
        <w:spacing w:after="120"/>
      </w:pPr>
    </w:p>
    <w:p w14:paraId="2FB70D7B" w14:textId="77777777" w:rsidR="003E342E" w:rsidRDefault="00000000">
      <w:pPr>
        <w:pStyle w:val="Heading1"/>
      </w:pPr>
      <w:r>
        <w:t>3. Main Movements of the Storyline</w:t>
      </w:r>
    </w:p>
    <w:p w14:paraId="1C8D04D2" w14:textId="77777777" w:rsidR="003E342E" w:rsidRDefault="00000000">
      <w:pPr>
        <w:spacing w:after="120"/>
      </w:pPr>
      <w:r>
        <w:t>The narrative paper’s storyline unfolds through five sequential movements forming a coherent causal chain. The present version is considerably expanded from earlier drafts, particularly in the national stories section. The table below summarizes each movement and assesses its internal logic and literature support.</w:t>
      </w:r>
    </w:p>
    <w:p w14:paraId="68FEBDA9" w14:textId="77777777" w:rsidR="003E342E" w:rsidRDefault="003E34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342E" w14:paraId="4104152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FBEE047" w14:textId="77777777" w:rsidR="003E342E" w:rsidRDefault="00000000">
            <w:r>
              <w:rPr>
                <w:b/>
                <w:bCs/>
                <w:color w:val="FFFFFF"/>
                <w:sz w:val="20"/>
                <w:szCs w:val="20"/>
              </w:rPr>
              <w:t>Movement</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8AEBC24" w14:textId="77777777" w:rsidR="003E342E" w:rsidRDefault="00000000">
            <w:r>
              <w:rPr>
                <w:b/>
                <w:bCs/>
                <w:color w:val="FFFFFF"/>
                <w:sz w:val="20"/>
                <w:szCs w:val="20"/>
              </w:rPr>
              <w:t>Summary</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2747B55" w14:textId="77777777" w:rsidR="003E342E" w:rsidRDefault="00000000">
            <w:r>
              <w:rPr>
                <w:b/>
                <w:bCs/>
                <w:color w:val="FFFFFF"/>
                <w:sz w:val="20"/>
                <w:szCs w:val="20"/>
              </w:rPr>
              <w:t>Internal Logic</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9AC45F1" w14:textId="77777777" w:rsidR="003E342E" w:rsidRDefault="00000000">
            <w:r>
              <w:rPr>
                <w:b/>
                <w:bCs/>
                <w:color w:val="FFFFFF"/>
                <w:sz w:val="20"/>
                <w:szCs w:val="20"/>
              </w:rPr>
              <w:t>Literature Support</w:t>
            </w:r>
          </w:p>
        </w:tc>
      </w:tr>
      <w:tr w:rsidR="003E342E" w14:paraId="302197A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B6003" w14:textId="77777777" w:rsidR="003E342E" w:rsidRDefault="00000000">
            <w:r>
              <w:rPr>
                <w:sz w:val="20"/>
                <w:szCs w:val="20"/>
              </w:rPr>
              <w:t>First Wave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8F48CD" w14:textId="77777777" w:rsidR="003E342E" w:rsidRDefault="00000000">
            <w:r>
              <w:rPr>
                <w:sz w:val="20"/>
                <w:szCs w:val="20"/>
              </w:rPr>
              <w:t xml:space="preserve">AI becomes a commodity input; information work </w:t>
            </w:r>
            <w:r>
              <w:rPr>
                <w:sz w:val="20"/>
                <w:szCs w:val="20"/>
              </w:rPr>
              <w:lastRenderedPageBreak/>
              <w:t>compresses; productivity rises but headcount falls; wage share begins to slide.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E8C807" w14:textId="77777777" w:rsidR="003E342E" w:rsidRDefault="00000000">
            <w:r>
              <w:rPr>
                <w:sz w:val="20"/>
                <w:szCs w:val="20"/>
              </w:rPr>
              <w:lastRenderedPageBreak/>
              <w:t xml:space="preserve">Strong. The sequence from task substitution to headcount reduction </w:t>
            </w:r>
            <w:r>
              <w:rPr>
                <w:sz w:val="20"/>
                <w:szCs w:val="20"/>
              </w:rPr>
              <w:lastRenderedPageBreak/>
              <w:t>to wage-share decline follows directly from the task-displacement literature. The reindustrialization passage is a new and effective addition.</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4E6911" w14:textId="77777777" w:rsidR="003E342E" w:rsidRDefault="00000000">
            <w:r>
              <w:rPr>
                <w:sz w:val="20"/>
                <w:szCs w:val="20"/>
              </w:rPr>
              <w:lastRenderedPageBreak/>
              <w:t xml:space="preserve">Strong—Acemoglu &amp; Restrepo [1]; IMF </w:t>
            </w:r>
            <w:r>
              <w:rPr>
                <w:sz w:val="20"/>
                <w:szCs w:val="20"/>
              </w:rPr>
              <w:lastRenderedPageBreak/>
              <w:t>SDN/2024/001 [2]; Abel et al. [5]; Barr [6].</w:t>
            </w:r>
          </w:p>
        </w:tc>
      </w:tr>
      <w:tr w:rsidR="003E342E" w14:paraId="5ABDA2D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4B446" w14:textId="77777777" w:rsidR="003E342E" w:rsidRDefault="00000000">
            <w:r>
              <w:rPr>
                <w:sz w:val="20"/>
                <w:szCs w:val="20"/>
              </w:rPr>
              <w:lastRenderedPageBreak/>
              <w:t>Second Wave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48E88" w14:textId="77777777" w:rsidR="003E342E" w:rsidRDefault="00000000">
            <w:r>
              <w:rPr>
                <w:sz w:val="20"/>
                <w:szCs w:val="20"/>
              </w:rPr>
              <w:t>Hiring becomes irreversible decision; automation investment surges; households sustain consumption via debt; credit expands in the middle and lower middle.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D04F2" w14:textId="77777777" w:rsidR="003E342E" w:rsidRDefault="00000000">
            <w:r>
              <w:rPr>
                <w:sz w:val="20"/>
                <w:szCs w:val="20"/>
              </w:rPr>
              <w:t>Strong. The debt-substitution mechanism is the papers’ most analytically precise contribution. The 95th-percentile debt-service framing is original and correct.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39667" w14:textId="77777777" w:rsidR="003E342E" w:rsidRDefault="00000000">
            <w:r>
              <w:rPr>
                <w:sz w:val="20"/>
                <w:szCs w:val="20"/>
              </w:rPr>
              <w:t xml:space="preserve">Strong—Mian &amp; Sufi [23–26]; Fisher [27]; </w:t>
            </w:r>
            <w:proofErr w:type="spellStart"/>
            <w:r>
              <w:rPr>
                <w:sz w:val="20"/>
                <w:szCs w:val="20"/>
              </w:rPr>
              <w:t>Bounader</w:t>
            </w:r>
            <w:proofErr w:type="spellEnd"/>
            <w:r>
              <w:rPr>
                <w:sz w:val="20"/>
                <w:szCs w:val="20"/>
              </w:rPr>
              <w:t xml:space="preserve"> &amp; </w:t>
            </w:r>
            <w:proofErr w:type="spellStart"/>
            <w:r>
              <w:rPr>
                <w:sz w:val="20"/>
                <w:szCs w:val="20"/>
              </w:rPr>
              <w:t>Elekdag</w:t>
            </w:r>
            <w:proofErr w:type="spellEnd"/>
            <w:r>
              <w:rPr>
                <w:sz w:val="20"/>
                <w:szCs w:val="20"/>
              </w:rPr>
              <w:t xml:space="preserve"> [16].</w:t>
            </w:r>
          </w:p>
        </w:tc>
      </w:tr>
      <w:tr w:rsidR="003E342E" w14:paraId="7C1AE0A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1CFF80" w14:textId="77777777" w:rsidR="003E342E" w:rsidRDefault="00000000">
            <w:r>
              <w:rPr>
                <w:sz w:val="20"/>
                <w:szCs w:val="20"/>
              </w:rPr>
              <w:t>Recognition Moment</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82B2D5" w14:textId="77777777" w:rsidR="003E342E" w:rsidRDefault="00000000">
            <w:r>
              <w:rPr>
                <w:sz w:val="20"/>
                <w:szCs w:val="20"/>
              </w:rPr>
              <w:t>Credit tightens; the economy becomes demand-constrained even as capacity grows; the loop between output and purchasing power breaks.</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136D58" w14:textId="77777777" w:rsidR="003E342E" w:rsidRDefault="00000000">
            <w:r>
              <w:rPr>
                <w:sz w:val="20"/>
                <w:szCs w:val="20"/>
              </w:rPr>
              <w:t>Strong. This is the Keynesian paradox of thrift updated for an automation context. The bank risk officer’s line is analytically precise and pedagogically effective.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56AC40" w14:textId="77777777" w:rsidR="003E342E" w:rsidRDefault="00000000">
            <w:r>
              <w:rPr>
                <w:sz w:val="20"/>
                <w:szCs w:val="20"/>
              </w:rPr>
              <w:t>Moderate to strong—the AI-demand-constraint nexus is newer and less empirically settled, but the mechanism is well-grounded.</w:t>
            </w:r>
          </w:p>
        </w:tc>
      </w:tr>
      <w:tr w:rsidR="003E342E" w14:paraId="12B8F4D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9327F" w14:textId="77777777" w:rsidR="003E342E" w:rsidRDefault="00000000">
            <w:r>
              <w:rPr>
                <w:sz w:val="20"/>
                <w:szCs w:val="20"/>
              </w:rPr>
              <w:t>National Stories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830514" w14:textId="77777777" w:rsidR="003E342E" w:rsidRDefault="00000000">
            <w:r>
              <w:rPr>
                <w:sz w:val="20"/>
                <w:szCs w:val="20"/>
              </w:rPr>
              <w:t>China, USA, and Europe each face the same storm with different institutional hulls; France acts first with coherence and institutional capacity.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66D364" w14:textId="77777777" w:rsidR="003E342E" w:rsidRDefault="00000000">
            <w:r>
              <w:rPr>
                <w:sz w:val="20"/>
                <w:szCs w:val="20"/>
              </w:rPr>
              <w:t>The expanded France narrative and Saint-Guillaume Meeting are the strongest elements. The China-Taiwan section is the most speculative. The AI-assisted policy communication argument for the US is plausible and original.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C87839" w14:textId="77777777" w:rsidR="003E342E" w:rsidRDefault="00000000">
            <w:r>
              <w:rPr>
                <w:sz w:val="20"/>
                <w:szCs w:val="20"/>
              </w:rPr>
              <w:t>Mixed. Institutional analysis is qualitatively sound. The China-Taiwan scenario involves genuinely unpredictable geopolitical variables.</w:t>
            </w:r>
          </w:p>
        </w:tc>
      </w:tr>
      <w:tr w:rsidR="003E342E" w14:paraId="1E17A74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9545DA" w14:textId="77777777" w:rsidR="003E342E" w:rsidRDefault="00000000">
            <w:r>
              <w:rPr>
                <w:sz w:val="20"/>
                <w:szCs w:val="20"/>
              </w:rPr>
              <w:t>La Nouvelle Boucle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A5980E" w14:textId="77777777" w:rsidR="003E342E" w:rsidRDefault="00000000">
            <w:r>
              <w:rPr>
                <w:sz w:val="20"/>
                <w:szCs w:val="20"/>
              </w:rPr>
              <w:t>France implements the four-part policy architecture; over 20 years the transition holds; capitalism is preserved and strengthened.</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C74574" w14:textId="77777777" w:rsidR="003E342E" w:rsidRDefault="00000000">
            <w:r>
              <w:rPr>
                <w:sz w:val="20"/>
                <w:szCs w:val="20"/>
              </w:rPr>
              <w:t>Coherent as a scenario conclusion. The payoff depends on the policy architecture functioning as designed, which the companion paper now substantiates with quantitative modelling.</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C029FD" w14:textId="77777777" w:rsidR="003E342E" w:rsidRDefault="00000000">
            <w:r>
              <w:rPr>
                <w:sz w:val="20"/>
                <w:szCs w:val="20"/>
              </w:rPr>
              <w:t>Moderate. Individual instruments are well-supported; interaction effects and political durability over 20 years are necessarily speculative but now quantitatively illustrated.</w:t>
            </w:r>
          </w:p>
        </w:tc>
      </w:tr>
    </w:tbl>
    <w:p w14:paraId="0C782203" w14:textId="77777777" w:rsidR="003E342E" w:rsidRDefault="003E342E">
      <w:pPr>
        <w:spacing w:after="120"/>
      </w:pPr>
    </w:p>
    <w:p w14:paraId="77BD85CF" w14:textId="77777777" w:rsidR="003E342E" w:rsidRDefault="00000000">
      <w:pPr>
        <w:spacing w:after="120"/>
      </w:pPr>
      <w:r>
        <w:t xml:space="preserve">The causal chain from First Wave to Recognition Moment remains the narrative’s strongest section. The National Stories section has been expanded and improved, particularly the France narrative which now includes the Saint-Guillaume Meeting, the reading of the Declaration of the Rights of Man, and the Health and Wealth section that addresses the renter equity issue directly. The renter/owner asymmetry—flagged in the </w:t>
      </w:r>
      <w:r>
        <w:lastRenderedPageBreak/>
        <w:t>original critique—is now acknowledged, with the Treatment Plan noting that UBI at the proposed level would help renter households directly.</w:t>
      </w:r>
    </w:p>
    <w:p w14:paraId="3CC3434C" w14:textId="77777777" w:rsidR="003E342E" w:rsidRDefault="00000000">
      <w:pPr>
        <w:spacing w:after="120"/>
      </w:pPr>
      <w:r>
        <w:t>One significant gap in the storyline identified in the original critique—the feedback from successful ownership broadening back to demand fragility, i.e., when do households become solvent enough that debt-financed consumption gives way to equity-income-financed consumption—is now partially addressed by the simulator output. The UBI and real household outcomes chart shows real consumption falling at first as the policies take time to work, then rising after approximately 50 quarters. This is the transitional dynamic the narrative paper still does not describe explicitly, but the simulator now makes visible.</w:t>
      </w:r>
    </w:p>
    <w:p w14:paraId="29F98012" w14:textId="77777777" w:rsidR="003E342E" w:rsidRDefault="00000000">
      <w:pPr>
        <w:pStyle w:val="Heading1"/>
      </w:pPr>
      <w:r>
        <w:t>4. Policy Architecture: Detailed Assessment</w:t>
      </w:r>
    </w:p>
    <w:p w14:paraId="63B2F4A0" w14:textId="77777777" w:rsidR="003E342E" w:rsidRDefault="00000000">
      <w:pPr>
        <w:spacing w:after="120"/>
      </w:pPr>
      <w:r>
        <w:t>The policy paper presents each instrument in a structured format answering three questions: what problem it addresses, how it operates, and why it helps stabilize the transition. This is a significant improvement in clarity over presenting the instruments solely within the narrative. The non-redundancy of the instruments—each addressing a distinct failure channel—remains the architecture’s most important property and the papers’ most significant intellectual contribution.</w:t>
      </w:r>
    </w:p>
    <w:p w14:paraId="635F7FE8" w14:textId="77777777" w:rsidR="003E342E" w:rsidRDefault="00000000">
      <w:pPr>
        <w:pStyle w:val="Heading2"/>
      </w:pPr>
      <w:r>
        <w:t>4.1 Public Trust Fund (Equity Broadening)</w:t>
      </w:r>
    </w:p>
    <w:p w14:paraId="61BAC2B1" w14:textId="77777777" w:rsidR="003E342E" w:rsidRDefault="00000000">
      <w:pPr>
        <w:spacing w:after="120"/>
      </w:pPr>
      <w:r>
        <w:t>The Trust Fund section is now more mechanically precise. It specifies: activation upon a measurable household debt-service stress trigger; an optional leveraged launch funded by bank-created credit; ongoing accumulation through new share issuance at 2 percent per year; an explicit cap (49 percent legal maximum; 25–30 percent practical expectation); a debt-first treatment rule that prevents indefinite leverage; and a residual balances provision allowing Trust cash to serve as a fiscal buffer. These mechanics are well-</w:t>
      </w:r>
      <w:proofErr w:type="gramStart"/>
      <w:r>
        <w:t>specified</w:t>
      </w:r>
      <w:proofErr w:type="gramEnd"/>
      <w:r>
        <w:t xml:space="preserve"> and the policy paper’s version substantially improves upon the narrative’s treatment.</w:t>
      </w:r>
    </w:p>
    <w:p w14:paraId="54CBF137" w14:textId="77777777" w:rsidR="003E342E" w:rsidRDefault="00000000">
      <w:pPr>
        <w:spacing w:after="120"/>
      </w:pPr>
      <w:r>
        <w:t>The EU law constraints identified in the “Health and Wealth” section are now acknowledged: the Trust must be constituted as an independent, universal, largely passive investment trust governed by fiduciary rules rather than by ministers. This partially addresses the governance insulation gap flagged in the original critique. However, the Santiago Principles—the international governance framework for sovereign wealth funds that directly supports this design—are still not cited by name. Cuervo-</w:t>
      </w:r>
      <w:proofErr w:type="spellStart"/>
      <w:r>
        <w:t>Cazurra</w:t>
      </w:r>
      <w:proofErr w:type="spellEnd"/>
      <w:r>
        <w:t>, Grosman, and Wood [21] and Avendano and Santiso [22] on sovereign wealth fund transparency and political bias are now in the reading list, which is an improvement, though neither is as directly applicable as the Santiago Principles for the governance insulation argument.</w:t>
      </w:r>
    </w:p>
    <w:p w14:paraId="2EF1C0EB" w14:textId="77777777" w:rsidR="003E342E" w:rsidRDefault="00000000">
      <w:pPr>
        <w:spacing w:after="120"/>
      </w:pPr>
      <w:r>
        <w:t xml:space="preserve">The simulator output section shows that the Trust equity cap of 30 percent is reached after approximately 50 quarters, and that the wealth distribution at the 50th percentile is considerably higher in real terms at the end of the simulation than before. The Gini metric plots show that wealth inequality among households does not change </w:t>
      </w:r>
      <w:r>
        <w:lastRenderedPageBreak/>
        <w:t>dramatically, demonstrating that the architecture is not confiscatory. This quantitative demonstration of the Trust Fund’s non-punitive character is genuinely valuable.</w:t>
      </w:r>
    </w:p>
    <w:p w14:paraId="0B82CD78" w14:textId="77777777" w:rsidR="003E342E" w:rsidRDefault="003E34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342E" w14:paraId="15C7D785"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4111CC2" w14:textId="77777777" w:rsidR="003E342E" w:rsidRDefault="00000000">
            <w:r>
              <w:rPr>
                <w:b/>
                <w:bCs/>
              </w:rPr>
              <w:t>VERDICT</w:t>
            </w:r>
          </w:p>
        </w:tc>
        <w:tc>
          <w:tcPr>
            <w:tcW w:w="7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8FFBE" w14:textId="77777777" w:rsidR="003E342E" w:rsidRDefault="00000000">
            <w:r>
              <w:t>Goal: strongly supported and now quantitatively demonstrated. Capitalization mechanics: more precisely specified. Governance insulation: acknowledged in EU law terms but still incompletely specified—the Santiago Principles should be cited explicitly. The leveraged launch mechanism is an institutional innovation with no precise precedent in the literature and deserves a paragraph making that originality explicit.</w:t>
            </w:r>
          </w:p>
        </w:tc>
      </w:tr>
    </w:tbl>
    <w:p w14:paraId="2EA3C556" w14:textId="77777777" w:rsidR="003E342E" w:rsidRDefault="003E342E">
      <w:pPr>
        <w:spacing w:after="120"/>
      </w:pPr>
    </w:p>
    <w:p w14:paraId="5BD63AAC" w14:textId="77777777" w:rsidR="003E342E" w:rsidRDefault="00000000">
      <w:pPr>
        <w:pStyle w:val="Heading2"/>
      </w:pPr>
      <w:r>
        <w:t>4.2 Universal Basic Income (Household Cash Flow)</w:t>
      </w:r>
    </w:p>
    <w:p w14:paraId="4495CECC" w14:textId="77777777" w:rsidR="003E342E" w:rsidRDefault="00000000">
      <w:pPr>
        <w:spacing w:after="120"/>
      </w:pPr>
      <w:r>
        <w:t>The UBI section has been clarified and improved. The policy paper now specifies the funding hierarchy explicitly: a modest portion from monetary issuance first; then Trust Fund and government-received balances; then additional issuance as residual backstop. This ordering is non-obvious and analytically important in a deflationary environment: it ensures the system draws on non-inflationary sources before resorting to money creation, while guaranteeing that the income floor does not fail for lack of accounting balances.</w:t>
      </w:r>
    </w:p>
    <w:p w14:paraId="422B3AAE" w14:textId="77777777" w:rsidR="003E342E" w:rsidRDefault="00000000">
      <w:pPr>
        <w:spacing w:after="120"/>
      </w:pPr>
      <w:r>
        <w:t>The non-decreasing ratchet is now explicitly framed as representing policy commitment rather than generosity. This is the right framing: once a society acknowledges that a certain level of support is necessary to prevent a collapse in living standards, abrupt reversals become both economically destabilizing and politically implausible.</w:t>
      </w:r>
    </w:p>
    <w:p w14:paraId="0F77057F" w14:textId="77777777" w:rsidR="003E342E" w:rsidRDefault="00000000">
      <w:pPr>
        <w:spacing w:after="120"/>
      </w:pPr>
      <w:r>
        <w:t>The UBI funding mix output chart in the simulator section demonstrates that the funding hierarchy functions as designed: tax contributions, Trust Fund distributions, and government issuance each contribute substantially, with issuance remaining small but growing in a deflationary environment. This is quantitative validation of the design logic.</w:t>
      </w:r>
    </w:p>
    <w:p w14:paraId="641A9C45" w14:textId="77777777" w:rsidR="003E342E" w:rsidRDefault="00000000">
      <w:pPr>
        <w:spacing w:after="120"/>
      </w:pPr>
      <w:r>
        <w:t xml:space="preserve">One gap from the original critique remains unaddressed: the labor-supply effects of UBI are not discussed, and the papers’ own automation premise provides the obvious rebuttal—in a world of contracting labor demand, modest labor-supply reduction is appropriate, not costly. Jones and Marinescu [13] on Alaska and </w:t>
      </w:r>
      <w:proofErr w:type="spellStart"/>
      <w:r>
        <w:t>Vivalt</w:t>
      </w:r>
      <w:proofErr w:type="spellEnd"/>
      <w:r>
        <w:t xml:space="preserve"> et al. [14] on guaranteed income experiments are both now in the reading list, but neither is integrated into the policy argument.</w:t>
      </w:r>
    </w:p>
    <w:p w14:paraId="6BE9F9AD" w14:textId="77777777" w:rsidR="003E342E" w:rsidRDefault="003E34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342E" w14:paraId="0C0419FF"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A1C504C" w14:textId="77777777" w:rsidR="003E342E" w:rsidRDefault="00000000">
            <w:r>
              <w:rPr>
                <w:b/>
                <w:bCs/>
              </w:rPr>
              <w:t>VERDICT</w:t>
            </w:r>
          </w:p>
        </w:tc>
        <w:tc>
          <w:tcPr>
            <w:tcW w:w="7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411D0B" w14:textId="77777777" w:rsidR="003E342E" w:rsidRDefault="00000000">
            <w:r>
              <w:t xml:space="preserve">Design is sophisticated and the funding hierarchy is now clearly specified. The ratchet rationale is correctly framed. The labor-supply objection should still be addressed explicitly using the papers’ own automation premise as the rebuttal. Jones &amp; Marinescu [13] and </w:t>
            </w:r>
            <w:proofErr w:type="spellStart"/>
            <w:r>
              <w:t>Vivalt</w:t>
            </w:r>
            <w:proofErr w:type="spellEnd"/>
            <w:r>
              <w:t xml:space="preserve"> et al. [14] are in the reading list but not integrated into the argument.</w:t>
            </w:r>
          </w:p>
        </w:tc>
      </w:tr>
    </w:tbl>
    <w:p w14:paraId="14660DCD" w14:textId="77777777" w:rsidR="003E342E" w:rsidRDefault="003E342E">
      <w:pPr>
        <w:spacing w:after="120"/>
      </w:pPr>
    </w:p>
    <w:p w14:paraId="2A2C33DC" w14:textId="77777777" w:rsidR="003E342E" w:rsidRDefault="00000000">
      <w:pPr>
        <w:pStyle w:val="Heading2"/>
      </w:pPr>
      <w:r>
        <w:lastRenderedPageBreak/>
        <w:t>4.3 VAT with Low-Income Credit (Fiscal Base Redesign)</w:t>
      </w:r>
    </w:p>
    <w:p w14:paraId="7CCE5636" w14:textId="77777777" w:rsidR="003E342E" w:rsidRDefault="00000000">
      <w:pPr>
        <w:spacing w:after="120"/>
      </w:pPr>
      <w:r>
        <w:t>The VAT section now includes a more detailed treatment of the low-income credit as a guaranteed design element rather than an optional add-on: “compensation for regressivity is not optional once the tax exists. It is part of the tax design itself.” This is the correct framing and an improvement over the original.</w:t>
      </w:r>
    </w:p>
    <w:p w14:paraId="12CE46E9" w14:textId="77777777" w:rsidR="003E342E" w:rsidRDefault="00000000">
      <w:pPr>
        <w:spacing w:after="120"/>
      </w:pPr>
      <w:r>
        <w:t>The policy paper clarifies that the VAT is a wedge between producer and consumer prices, and that it complements rather than replaces income and profit taxes. This three-tax architecture (VAT plus income tax plus corporate tax) is internally consistent and addresses the fiscal-base redesign problem directly.</w:t>
      </w:r>
    </w:p>
    <w:p w14:paraId="0E8324B3" w14:textId="77777777" w:rsidR="003E342E" w:rsidRDefault="00000000">
      <w:pPr>
        <w:spacing w:after="120"/>
      </w:pPr>
      <w:r>
        <w:t>The reading list now includes de la Feria and Swistak [12] and Jones and Marinescu [13] alongside the OECD Consumption Tax Trends 2024 [11]. France’s institutional advantage as the country that invented the VAT is made explicit in the narrative, which grounds the France-first choice in institutional legibility.</w:t>
      </w:r>
    </w:p>
    <w:p w14:paraId="5823A883" w14:textId="77777777" w:rsidR="003E342E" w:rsidRDefault="00000000">
      <w:pPr>
        <w:spacing w:after="120"/>
      </w:pPr>
      <w:r>
        <w:t>One gap persists: the papers do not specify the VAT rate or the income threshold for the credit phaseout. Given that the Streamlit model presumably parameterizes these, one sentence anchoring the rate in an existing comparative range would strengthen the narrative.</w:t>
      </w:r>
    </w:p>
    <w:p w14:paraId="6B04A059" w14:textId="77777777" w:rsidR="003E342E" w:rsidRDefault="003E34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342E" w14:paraId="68ACAB04"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B8872B7" w14:textId="77777777" w:rsidR="003E342E" w:rsidRDefault="00000000">
            <w:r>
              <w:rPr>
                <w:b/>
                <w:bCs/>
              </w:rPr>
              <w:t>VERDICT</w:t>
            </w:r>
          </w:p>
        </w:tc>
        <w:tc>
          <w:tcPr>
            <w:tcW w:w="7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A59E0A" w14:textId="77777777" w:rsidR="003E342E" w:rsidRDefault="00000000">
            <w:r>
              <w:t>Strongest literature support of any instrument in the package. The guaranteed credit framing is correct and improved. Rate and threshold calibration should be at least briefly mentioned in the narrative paper.</w:t>
            </w:r>
          </w:p>
        </w:tc>
      </w:tr>
    </w:tbl>
    <w:p w14:paraId="432999EF" w14:textId="77777777" w:rsidR="003E342E" w:rsidRDefault="003E342E">
      <w:pPr>
        <w:spacing w:after="120"/>
      </w:pPr>
    </w:p>
    <w:p w14:paraId="2E034BBA" w14:textId="77777777" w:rsidR="003E342E" w:rsidRDefault="00000000">
      <w:pPr>
        <w:pStyle w:val="Heading2"/>
      </w:pPr>
      <w:r>
        <w:t>4.4 Automation-Responsive Corporate Tax</w:t>
      </w:r>
    </w:p>
    <w:p w14:paraId="4F7CF99C" w14:textId="77777777" w:rsidR="003E342E" w:rsidRDefault="00000000">
      <w:pPr>
        <w:spacing w:after="120"/>
      </w:pPr>
      <w:r>
        <w:t>The corporate tax section is now more precisely specified. The policy paper adds several important details: distributed dividends are not taxed at the corporate level (creating a dividend-flow incentive that supports the Trust Fund’s revenue channel); retained earnings are taxed before reinvestment with a standard ten-year depreciation period; and the rate adjustment is clamped within explicit minimum and maximum bounds to keep the corporate sector investable.</w:t>
      </w:r>
    </w:p>
    <w:p w14:paraId="0880A3C0" w14:textId="77777777" w:rsidR="003E342E" w:rsidRDefault="00000000">
      <w:pPr>
        <w:spacing w:after="120"/>
      </w:pPr>
      <w:r>
        <w:t>The indexed rate is now described as rising automatically as wage payments fall relative to a historical baseline, “clamped within explicit minimum and maximum rates.” This addresses the investment-timing distortion concern from the original critique: firms cannot easily game an adjustment that is bounded and rule-based rather than discretionary.</w:t>
      </w:r>
    </w:p>
    <w:p w14:paraId="4A16BA91" w14:textId="77777777" w:rsidR="003E342E" w:rsidRDefault="00000000">
      <w:pPr>
        <w:spacing w:after="120"/>
      </w:pPr>
      <w:r>
        <w:t>The most significant remaining gap is the international arbitrage problem. The original critique recommended connecting this instrument to the OECD’s Pillar Two global minimum tax framework as a coordination scaffold that could prevent the worst cross-border profit-shifting. This connection is still absent from both papers. A firm facing the automation-responsive tax in France has an incentive to book profits in lower-tax jurisdictions; the Pillar Two top-up mechanism is the natural design response.</w:t>
      </w:r>
    </w:p>
    <w:p w14:paraId="650020E5" w14:textId="77777777" w:rsidR="003E342E" w:rsidRDefault="003E34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342E" w14:paraId="64B59CF8"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0FAD153" w14:textId="77777777" w:rsidR="003E342E" w:rsidRDefault="00000000">
            <w:r>
              <w:rPr>
                <w:b/>
                <w:bCs/>
              </w:rPr>
              <w:t>VERDICT</w:t>
            </w:r>
          </w:p>
        </w:tc>
        <w:tc>
          <w:tcPr>
            <w:tcW w:w="7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3D38B7" w14:textId="77777777" w:rsidR="003E342E" w:rsidRDefault="00000000">
            <w:r>
              <w:t>Conceptually original and now more precisely specified. The dividend-flow incentive is analytically important and should be highlighted more prominently. The Pillar Two connection for international coordination should still be made. The clamped adjustment range addresses the investment-distortion concern.</w:t>
            </w:r>
          </w:p>
        </w:tc>
      </w:tr>
    </w:tbl>
    <w:p w14:paraId="2653C3CA" w14:textId="77777777" w:rsidR="003E342E" w:rsidRDefault="003E342E">
      <w:pPr>
        <w:spacing w:after="120"/>
      </w:pPr>
    </w:p>
    <w:p w14:paraId="768AF339" w14:textId="77777777" w:rsidR="003E342E" w:rsidRDefault="00000000">
      <w:pPr>
        <w:pStyle w:val="Heading2"/>
      </w:pPr>
      <w:r>
        <w:t>4.5 Mortgage Indexation with Lender Neutralization</w:t>
      </w:r>
    </w:p>
    <w:p w14:paraId="4BA1BF8D" w14:textId="77777777" w:rsidR="003E342E" w:rsidRDefault="00000000">
      <w:pPr>
        <w:spacing w:after="120"/>
      </w:pPr>
      <w:r>
        <w:t>The mortgage indexation section is the policy paper’s most technically detailed and analytically strongest contribution. It now includes seven sub-sections covering the mechanism’s rationale, the hybrid index construction, the payment rule, the neutralization funding, and the accounting treatment. This detail is not pedantry: each element closes a specific failure mode.</w:t>
      </w:r>
    </w:p>
    <w:p w14:paraId="173E6901" w14:textId="77777777" w:rsidR="003E342E" w:rsidRDefault="00000000">
      <w:pPr>
        <w:spacing w:after="120"/>
      </w:pPr>
      <w:r>
        <w:t>The hybrid index construction—a geometric blend of price level change and nominal household income change—is better specified than any comparable proposal in the literature. The rationale for blending rather than using a pure price or pure income index is clearly stated: a pure price index would not capture distributional change; a pure income index would be too contingent on short-run labor-market noise.</w:t>
      </w:r>
    </w:p>
    <w:p w14:paraId="504F0A9A" w14:textId="77777777" w:rsidR="003E342E" w:rsidRDefault="00000000">
      <w:pPr>
        <w:spacing w:after="120"/>
      </w:pPr>
      <w:r>
        <w:t>The policy paper clarifies what the original critique called the “lender make-whole” provision: the paper terms it “lender neutralization,” and the framing is explicitly not a bailout. The public sector stabilizes the system; it does not side with either creditor or debtor. The make-whole payment is recorded as a stabilization outlay rather than a transfer to lenders. This framing is both politically and analytically important.</w:t>
      </w:r>
    </w:p>
    <w:p w14:paraId="03569B7A" w14:textId="77777777" w:rsidR="003E342E" w:rsidRDefault="00000000">
      <w:pPr>
        <w:spacing w:after="120"/>
      </w:pPr>
      <w:r>
        <w:t>The renter asymmetry flagged in the original critique is now acknowledged in the narrative paper’s Treatment Plan: “Many French households are renters who would see no benefit from mortgage protection, but Treatment Plan suggested that UBI at the proposed level would help such households directly.” This is an adequate response to a distributional concern, though one sentence in the policy paper making the same connection explicitly would strengthen the architecture’s equity claim.</w:t>
      </w:r>
    </w:p>
    <w:p w14:paraId="2C974F85" w14:textId="77777777" w:rsidR="003E342E" w:rsidRDefault="003E34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342E" w14:paraId="6D7CCE5B"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3D25DA2" w14:textId="77777777" w:rsidR="003E342E" w:rsidRDefault="00000000">
            <w:r>
              <w:rPr>
                <w:b/>
                <w:bCs/>
              </w:rPr>
              <w:t>VERDICT</w:t>
            </w:r>
          </w:p>
        </w:tc>
        <w:tc>
          <w:tcPr>
            <w:tcW w:w="7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5EF228" w14:textId="77777777" w:rsidR="003E342E" w:rsidRDefault="00000000">
            <w:r>
              <w:t>Analytically rigorous, technically detailed, and well-supported by the state-contingent mortgage literature. The lender neutralization framing is politically important. The renter asymmetry is now addressed. The hybrid index construction is a specific institutional innovation with no direct precedent in the policy literature.</w:t>
            </w:r>
          </w:p>
        </w:tc>
      </w:tr>
    </w:tbl>
    <w:p w14:paraId="68057390" w14:textId="77777777" w:rsidR="003E342E" w:rsidRDefault="003E342E">
      <w:pPr>
        <w:spacing w:after="120"/>
      </w:pPr>
    </w:p>
    <w:p w14:paraId="342F5AEB" w14:textId="77777777" w:rsidR="003E342E" w:rsidRDefault="00000000">
      <w:pPr>
        <w:pStyle w:val="Heading2"/>
      </w:pPr>
      <w:r>
        <w:t>4.6 Government Surplus Recycling (New Instrument)</w:t>
      </w:r>
    </w:p>
    <w:p w14:paraId="17BFA9AA" w14:textId="77777777" w:rsidR="003E342E" w:rsidRDefault="00000000">
      <w:pPr>
        <w:spacing w:after="120"/>
      </w:pPr>
      <w:r>
        <w:t xml:space="preserve">The policy paper introduces a sixth mechanism </w:t>
      </w:r>
      <w:proofErr w:type="gramStart"/>
      <w:r>
        <w:t>not present</w:t>
      </w:r>
      <w:proofErr w:type="gramEnd"/>
      <w:r>
        <w:t xml:space="preserve"> in the original architecture: government surplus recycling. When the government ends a period with large residual balances after its obligations are met, it may return part of that surplus to households. </w:t>
      </w:r>
      <w:r>
        <w:lastRenderedPageBreak/>
        <w:t>The paper frames this as preventing the public sector from becoming a passive sink for purchasing power and keeping the architecture from becoming inadvertently contractionary.</w:t>
      </w:r>
    </w:p>
    <w:p w14:paraId="2EDC8C64" w14:textId="77777777" w:rsidR="003E342E" w:rsidRDefault="00000000">
      <w:pPr>
        <w:spacing w:after="120"/>
      </w:pPr>
      <w:r>
        <w:t>This is a technically sound addition. In a stock-flow-consistent model, idle balances in any node represent a demand withdrawal from the circulation. The surplus recycling mechanism closes a loop that would otherwise create an unintended fiscal drag. It is not commonly discussed in the AI policy literature, but it has roots in the fiscal dividend literature and is consistent with the automatic stabilizer logic that governs the rest of the architecture.</w:t>
      </w:r>
    </w:p>
    <w:p w14:paraId="5E02A38E" w14:textId="77777777" w:rsidR="003E342E" w:rsidRDefault="003E34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342E" w14:paraId="21BC36E7"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6496683" w14:textId="77777777" w:rsidR="003E342E" w:rsidRDefault="00000000">
            <w:r>
              <w:rPr>
                <w:b/>
                <w:bCs/>
              </w:rPr>
              <w:t>VERDICT</w:t>
            </w:r>
          </w:p>
        </w:tc>
        <w:tc>
          <w:tcPr>
            <w:tcW w:w="7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EE86F4" w14:textId="77777777" w:rsidR="003E342E" w:rsidRDefault="00000000">
            <w:r>
              <w:t>A welcome addition that closes a stock-flow consistency gap. The rationale is sound: idle public balances should not accumulate mechanically once they are no longer needed for stabilization. This instrument should be retained and its motivation stated more prominently in the narrative paper.</w:t>
            </w:r>
          </w:p>
        </w:tc>
      </w:tr>
    </w:tbl>
    <w:p w14:paraId="4C9303D9" w14:textId="77777777" w:rsidR="003E342E" w:rsidRDefault="003E342E">
      <w:pPr>
        <w:spacing w:after="120"/>
      </w:pPr>
    </w:p>
    <w:p w14:paraId="3F07840F" w14:textId="77777777" w:rsidR="003E342E" w:rsidRDefault="00000000">
      <w:pPr>
        <w:pStyle w:val="Heading1"/>
      </w:pPr>
      <w:r>
        <w:t>5. The Simulator: Assessment of the Quantitative Architecture</w:t>
      </w:r>
    </w:p>
    <w:p w14:paraId="1E620054" w14:textId="77777777" w:rsidR="003E342E" w:rsidRDefault="00000000">
      <w:pPr>
        <w:spacing w:after="120"/>
      </w:pPr>
      <w:r>
        <w:t>The policy paper includes a substantial section presenting the New Loop simulator outputs. This is the most important addition relative to the original paper and deserves extended assessment.</w:t>
      </w:r>
    </w:p>
    <w:p w14:paraId="30B357EE" w14:textId="77777777" w:rsidR="003E342E" w:rsidRDefault="00000000">
      <w:pPr>
        <w:pStyle w:val="Heading2"/>
      </w:pPr>
      <w:r>
        <w:t>5.1 The Stock-Flow-Consistent Framework</w:t>
      </w:r>
    </w:p>
    <w:p w14:paraId="6B410EE3" w14:textId="77777777" w:rsidR="003E342E" w:rsidRDefault="00000000">
      <w:pPr>
        <w:spacing w:after="120"/>
      </w:pPr>
      <w:r>
        <w:t>The model is described as stock-flow-consistent, meaning that all cash flows between nodes balance: money flowing out of one reservoir must flow into another. The analogy to Kirchhoff’s law governing electrical current is both accurate and pedagogically effective. This is the correct modeling framework for the question being asked: it prevents hidden cash flows from biasing results and ensures that every policy change has a traceable effect on every balance sheet in the system.</w:t>
      </w:r>
    </w:p>
    <w:p w14:paraId="39E51AF8" w14:textId="77777777" w:rsidR="003E342E" w:rsidRDefault="00000000">
      <w:pPr>
        <w:spacing w:after="120"/>
      </w:pPr>
      <w:r>
        <w:t>The Levy Economics Institute working papers [19, 20] on stock-flow-consistent macroeconomic modelling are now in the reading list, providing the methodological precedent. This is a significant improvement: it locates the New Loop model in a well-established academic tradition rather than presenting it as an ad hoc simulation.</w:t>
      </w:r>
    </w:p>
    <w:p w14:paraId="2548635A" w14:textId="77777777" w:rsidR="003E342E" w:rsidRDefault="00000000">
      <w:pPr>
        <w:pStyle w:val="Heading2"/>
      </w:pPr>
      <w:r>
        <w:t>5.2 Population and Sectoral Representation</w:t>
      </w:r>
    </w:p>
    <w:p w14:paraId="65184391" w14:textId="77777777" w:rsidR="003E342E" w:rsidRDefault="00000000">
      <w:pPr>
        <w:spacing w:after="120"/>
      </w:pPr>
      <w:r>
        <w:t>The model creates an initial population of 20,000 households whose incomes, invested wealth, revolving debts, and mortgages roughly parallel current U.S. proportions. Marginal propensities to consume are discretized over five quintiles. This distributional approach is more realistic than representative-agent models and is necessary for capturing the tail-risk debt-service dynamics the papers emphasize.</w:t>
      </w:r>
    </w:p>
    <w:p w14:paraId="6EE503A4" w14:textId="77777777" w:rsidR="003E342E" w:rsidRDefault="00000000">
      <w:pPr>
        <w:spacing w:after="120"/>
      </w:pPr>
      <w:r>
        <w:lastRenderedPageBreak/>
        <w:t>The two-sector corporate representation—an information sector that automates earlier and more completely (approximately 75% by quarter 40) and a physical sector that automates more slowly (below 60% by quarter 80)—is a reasonable simplification. The S-curve adoption paths are parameterizable, allowing users to test faster or slower diffusion. This is precisely the right design choice: the model should not assert a specific pace of automation; it should allow users to test the policy architecture across a range.</w:t>
      </w:r>
    </w:p>
    <w:p w14:paraId="62C98EFB" w14:textId="77777777" w:rsidR="003E342E" w:rsidRDefault="00000000">
      <w:pPr>
        <w:pStyle w:val="Heading2"/>
      </w:pPr>
      <w:r>
        <w:t>5.3 Model Limitations</w:t>
      </w:r>
    </w:p>
    <w:p w14:paraId="697F1C4E" w14:textId="77777777" w:rsidR="003E342E" w:rsidRDefault="00000000">
      <w:pPr>
        <w:spacing w:after="120"/>
      </w:pPr>
      <w:r>
        <w:t>The paper acknowledges that bonds are not modeled, that there is only one Bank, and that the household population is generated from statistical distributions rather than actual microdata. These limitations are appropriate to acknowledge, and the paper’s defense of the bond omission is reasonable: in a persistently deflationary environment, most commercial debt would be renegotiated rather than simply defaulted, and the mortgage indexation mechanism demonstrates the relevant policy logic.</w:t>
      </w:r>
    </w:p>
    <w:p w14:paraId="4C6DD678" w14:textId="77777777" w:rsidR="003E342E" w:rsidRDefault="00000000">
      <w:pPr>
        <w:spacing w:after="120"/>
      </w:pPr>
      <w:r>
        <w:t>One limitation the paper does not discuss is the treatment of international trade and capital flows. The narrative paper engages extensively with the global story—China’s export dependence, Europe’s coordination problem, the France-first scenario—but the model is a closed-economy representation. This is not a fatal flaw for exploring policy interactions, but it means the model cannot directly address the international arbitrage concerns raised about the automation-responsive corporate tax.</w:t>
      </w:r>
    </w:p>
    <w:p w14:paraId="2CC99648" w14:textId="77777777" w:rsidR="003E342E" w:rsidRDefault="003E34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342E" w14:paraId="671CBC79"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C971615" w14:textId="77777777" w:rsidR="003E342E" w:rsidRDefault="00000000">
            <w:r>
              <w:rPr>
                <w:b/>
                <w:bCs/>
              </w:rPr>
              <w:t>VERDICT</w:t>
            </w:r>
          </w:p>
        </w:tc>
        <w:tc>
          <w:tcPr>
            <w:tcW w:w="79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6F9DF" w14:textId="77777777" w:rsidR="003E342E" w:rsidRDefault="00000000">
            <w:r>
              <w:t>The simulator is the papers’ most important addition. The stock-flow-consistent framework is the right modeling approach and now has explicit academic precedent in the reading list. The population and sectoral representations are reasonable for the stated purpose. The closed-economy assumption is the most significant unacknowledged limitation, and it connects directly to the unaddressed Pillar Two gap.</w:t>
            </w:r>
          </w:p>
        </w:tc>
      </w:tr>
    </w:tbl>
    <w:p w14:paraId="54774D57" w14:textId="77777777" w:rsidR="003E342E" w:rsidRDefault="003E342E">
      <w:pPr>
        <w:spacing w:after="120"/>
      </w:pPr>
    </w:p>
    <w:p w14:paraId="7FDEE535" w14:textId="77777777" w:rsidR="003E342E" w:rsidRDefault="00000000">
      <w:pPr>
        <w:pStyle w:val="Heading1"/>
      </w:pPr>
      <w:r>
        <w:t>6. Overall Flow and Quality of Argument</w:t>
      </w:r>
    </w:p>
    <w:p w14:paraId="250C23F5" w14:textId="77777777" w:rsidR="003E342E" w:rsidRDefault="00000000">
      <w:pPr>
        <w:pStyle w:val="Heading2"/>
      </w:pPr>
      <w:r>
        <w:t>6.1 Structural Strengths</w:t>
      </w:r>
    </w:p>
    <w:p w14:paraId="5DCC31AA" w14:textId="77777777" w:rsidR="003E342E" w:rsidRDefault="00000000">
      <w:pPr>
        <w:pStyle w:val="ListParagraph"/>
        <w:numPr>
          <w:ilvl w:val="0"/>
          <w:numId w:val="2"/>
        </w:numPr>
      </w:pPr>
      <w:r>
        <w:t>The two-paper architecture is well-designed. The narrative paper tells a story without interruption; the policy paper provides institutional and mathematical detail. Together they serve different reader types and answer different objections.</w:t>
      </w:r>
    </w:p>
    <w:p w14:paraId="7D9A216B" w14:textId="77777777" w:rsidR="003E342E" w:rsidRDefault="00000000">
      <w:pPr>
        <w:pStyle w:val="ListParagraph"/>
        <w:numPr>
          <w:ilvl w:val="0"/>
          <w:numId w:val="2"/>
        </w:numPr>
      </w:pPr>
      <w:r>
        <w:t>The reading list has been substantially improved. The original critique’s most significant gap—Mian and Sufi—is now remedied with four papers [23–26]. Esping-Andersen [7] and Pierson [8, 9] on welfare state durability are now present. Irving Fisher [27] on debt-deflation is now cited.</w:t>
      </w:r>
    </w:p>
    <w:p w14:paraId="1D00FDD5" w14:textId="77777777" w:rsidR="003E342E" w:rsidRDefault="00000000">
      <w:pPr>
        <w:pStyle w:val="ListParagraph"/>
        <w:numPr>
          <w:ilvl w:val="0"/>
          <w:numId w:val="2"/>
        </w:numPr>
      </w:pPr>
      <w:r>
        <w:t>The Saint-Guillaume Meeting narrative and the reading of the Declaration of the Rights of Man are among the most effective additions to the narrative paper. The Presidential framing</w:t>
      </w:r>
      <w:proofErr w:type="gramStart"/>
      <w:r>
        <w:t>—“</w:t>
      </w:r>
      <w:proofErr w:type="gramEnd"/>
      <w:r>
        <w:t xml:space="preserve">our task is not primarily political. It is economic, rooted in </w:t>
      </w:r>
      <w:r>
        <w:lastRenderedPageBreak/>
        <w:t>changing patterns of capital flows”—correctly positions the argument as a systems-engineering problem rather than an ideological one.</w:t>
      </w:r>
    </w:p>
    <w:p w14:paraId="4A16A6E0" w14:textId="77777777" w:rsidR="003E342E" w:rsidRDefault="00000000">
      <w:pPr>
        <w:pStyle w:val="ListParagraph"/>
        <w:numPr>
          <w:ilvl w:val="0"/>
          <w:numId w:val="2"/>
        </w:numPr>
      </w:pPr>
      <w:r>
        <w:t>The renter asymmetry has been addressed. The closing personal section about the project’s genesis—five weeks, no Python written, ChatGPT critique in six minutes—remains valuable as a demonstration of the argument’s subject matter in real time.</w:t>
      </w:r>
    </w:p>
    <w:p w14:paraId="620CB8B0" w14:textId="77777777" w:rsidR="003E342E" w:rsidRDefault="00000000">
      <w:pPr>
        <w:pStyle w:val="ListParagraph"/>
        <w:numPr>
          <w:ilvl w:val="0"/>
          <w:numId w:val="2"/>
        </w:numPr>
      </w:pPr>
      <w:r>
        <w:t>The deflation hedge is now built into the model’s structure rather than asserted in the narrative. The policy paper’s statement that “the model does not enforce deflation; it arises structurally” directly addresses the original critique’s most important epistemological concern.</w:t>
      </w:r>
    </w:p>
    <w:p w14:paraId="1D16258F" w14:textId="77777777" w:rsidR="003E342E" w:rsidRDefault="00000000">
      <w:pPr>
        <w:pStyle w:val="ListParagraph"/>
        <w:numPr>
          <w:ilvl w:val="0"/>
          <w:numId w:val="2"/>
        </w:numPr>
        <w:spacing w:after="200"/>
      </w:pPr>
      <w:r>
        <w:t>The Gini metric plots and wealth distribution charts in the simulator section provide quantitative evidence that the architecture is not confiscatory—the wealthy are not significantly harmed while the bottom of the distribution benefits substantially. This is the most important result for political legitimacy and deserves more prominent placement in the narrative paper.</w:t>
      </w:r>
    </w:p>
    <w:p w14:paraId="75ABAED2" w14:textId="77777777" w:rsidR="003E342E" w:rsidRDefault="00000000">
      <w:pPr>
        <w:pStyle w:val="Heading2"/>
      </w:pPr>
      <w:r>
        <w:t>6.2 Structural Weaknesses</w:t>
      </w:r>
    </w:p>
    <w:p w14:paraId="565EA041" w14:textId="77777777" w:rsidR="003E342E" w:rsidRDefault="00000000">
      <w:pPr>
        <w:pStyle w:val="ListParagraph"/>
        <w:numPr>
          <w:ilvl w:val="0"/>
          <w:numId w:val="2"/>
        </w:numPr>
      </w:pPr>
      <w:r>
        <w:t>The international arbitrage problem for the automation-responsive corporate tax remains unaddressed. If France adopts a corporate tax that rises with automation, what prevents profit-shifting to Germany, Ireland, or the Netherlands? The OECD’s Pillar Two global minimum tax framework—implemented from 2024 and now a live international policy reality—is the natural design scaffold. Its continued absence from both papers is the most significant remaining analytical gap.</w:t>
      </w:r>
    </w:p>
    <w:p w14:paraId="0736C219" w14:textId="77777777" w:rsidR="003E342E" w:rsidRDefault="00000000">
      <w:pPr>
        <w:pStyle w:val="ListParagraph"/>
        <w:numPr>
          <w:ilvl w:val="0"/>
          <w:numId w:val="2"/>
        </w:numPr>
      </w:pPr>
      <w:r>
        <w:t>The Trust Fund governance specification remains incomplete. The EU law constraint is acknowledged (the Trust cannot be a ministerial instrument), but the paper does not name the Santiago Principles, does not specify who appoints the Trust’s board, and does not describe the legal insulation mechanisms. Readers with a policy background will ask these questions immediately.</w:t>
      </w:r>
    </w:p>
    <w:p w14:paraId="5AC0DC72" w14:textId="77777777" w:rsidR="003E342E" w:rsidRDefault="00000000">
      <w:pPr>
        <w:pStyle w:val="ListParagraph"/>
        <w:numPr>
          <w:ilvl w:val="0"/>
          <w:numId w:val="2"/>
        </w:numPr>
      </w:pPr>
      <w:r>
        <w:t xml:space="preserve">UBI labor-supply effects are still not discussed in the argument. Jones and Marinescu [13] and </w:t>
      </w:r>
      <w:proofErr w:type="spellStart"/>
      <w:r>
        <w:t>Vivalt</w:t>
      </w:r>
      <w:proofErr w:type="spellEnd"/>
      <w:r>
        <w:t xml:space="preserve"> et al. [14] are now in the reading list but are not integrated into the text. The rebuttal is straightforward and should be made explicit: in an economy of contracting labor demand, modest labor-supply reduction is a feature, not a bug.</w:t>
      </w:r>
    </w:p>
    <w:p w14:paraId="33D5F76D" w14:textId="77777777" w:rsidR="003E342E" w:rsidRDefault="00000000">
      <w:pPr>
        <w:pStyle w:val="ListParagraph"/>
        <w:numPr>
          <w:ilvl w:val="0"/>
          <w:numId w:val="2"/>
        </w:numPr>
      </w:pPr>
      <w:r>
        <w:t>The model’s closed-economy assumption is unacknowledged. This is not a fatal limitation for the policy interaction analysis, but it means the model cannot speak to the international dimension, which the narrative paper treats extensively. A one-sentence acknowledgment of this scope boundary would be intellectually honest and would inoculate the papers against a predictable objection.</w:t>
      </w:r>
    </w:p>
    <w:p w14:paraId="3281EDA9" w14:textId="77777777" w:rsidR="003E342E" w:rsidRDefault="00000000">
      <w:pPr>
        <w:pStyle w:val="ListParagraph"/>
        <w:numPr>
          <w:ilvl w:val="0"/>
          <w:numId w:val="2"/>
        </w:numPr>
      </w:pPr>
      <w:r>
        <w:t xml:space="preserve">The transitional political economy of the reform package is still underspecified. Which coalitions support the Trust </w:t>
      </w:r>
      <w:proofErr w:type="gramStart"/>
      <w:r>
        <w:t>Fund</w:t>
      </w:r>
      <w:proofErr w:type="gramEnd"/>
      <w:r>
        <w:t xml:space="preserve"> and which oppose it? How is the 2-percent annual dilution made binding on future governments? The EU fiduciary constraint is mentioned but the domestic political economy of maintaining the architecture through multiple election cycles is not addressed.</w:t>
      </w:r>
    </w:p>
    <w:p w14:paraId="3D8736CC" w14:textId="77777777" w:rsidR="003E342E" w:rsidRDefault="00000000">
      <w:pPr>
        <w:pStyle w:val="Heading1"/>
      </w:pPr>
      <w:r>
        <w:lastRenderedPageBreak/>
        <w:t>7. What Is Novel and Innovative</w:t>
      </w:r>
    </w:p>
    <w:p w14:paraId="074E181D" w14:textId="77777777" w:rsidR="003E342E" w:rsidRDefault="00000000">
      <w:pPr>
        <w:spacing w:after="120"/>
      </w:pPr>
      <w:r>
        <w:t>The paired papers consolidate and extend the innovations of the original document, and add several new contributions.</w:t>
      </w:r>
    </w:p>
    <w:p w14:paraId="59FFC881" w14:textId="77777777" w:rsidR="003E342E" w:rsidRDefault="00000000">
      <w:pPr>
        <w:pStyle w:val="Heading2"/>
      </w:pPr>
      <w:r>
        <w:t>7.1 The Old Loop / New Loop Conceptual Frame</w:t>
      </w:r>
    </w:p>
    <w:p w14:paraId="44BBF101" w14:textId="77777777" w:rsidR="003E342E" w:rsidRDefault="00000000">
      <w:pPr>
        <w:spacing w:after="120"/>
      </w:pPr>
      <w:r>
        <w:t xml:space="preserve">Unchanged and still the papers’ most important conceptual innovation. The naming of the wage-based circular flow as the Old Loop and the policy task as constructing a New Loop operationalizes a real mechanism (the Keynesian effective demand circuit, the </w:t>
      </w:r>
      <w:proofErr w:type="spellStart"/>
      <w:r>
        <w:t>Kaleckian</w:t>
      </w:r>
      <w:proofErr w:type="spellEnd"/>
      <w:r>
        <w:t xml:space="preserve"> profit-wage relationship, the Minsky-Mian household balance-sheet channel) in language accessible to non-specialists without distorting the underlying analysis. No comparable synthesis framing exists in the AI policy literature.</w:t>
      </w:r>
    </w:p>
    <w:p w14:paraId="79197BAA" w14:textId="77777777" w:rsidR="003E342E" w:rsidRDefault="00000000">
      <w:pPr>
        <w:pStyle w:val="Heading2"/>
      </w:pPr>
      <w:r>
        <w:t>7.2 The Systems Architecture Approach with Quantitative Closure</w:t>
      </w:r>
    </w:p>
    <w:p w14:paraId="61AA33D3" w14:textId="77777777" w:rsidR="003E342E" w:rsidRDefault="00000000">
      <w:pPr>
        <w:spacing w:after="120"/>
      </w:pPr>
      <w:r>
        <w:t>The policy paper advances the systems architecture argument by adding quantitative closure: a stock-flow-consistent model in which every dollar can be traced. The claim that the instruments are non-redundant and interact coherently is no longer merely asserted; it is demonstrated by running the model and showing that the circulation holds together. This is a substantial upgrade.</w:t>
      </w:r>
    </w:p>
    <w:p w14:paraId="59930449" w14:textId="77777777" w:rsidR="003E342E" w:rsidRDefault="00000000">
      <w:pPr>
        <w:pStyle w:val="Heading2"/>
      </w:pPr>
      <w:r>
        <w:t>7.3 The UBI Funding Hierarchy</w:t>
      </w:r>
    </w:p>
    <w:p w14:paraId="78184E2A" w14:textId="77777777" w:rsidR="003E342E" w:rsidRDefault="00000000">
      <w:pPr>
        <w:spacing w:after="120"/>
      </w:pPr>
      <w:r>
        <w:t>The explicit layered funding hierarchy—modest monetary issuance first, then Trust Fund distributions, then government balances, then additional issuance as residual backstop—is a specific institutional design that does not appear in comparable form in the UBI literature. The hierarchy ensures the income floor does not fail for lack of accounting balances while avoiding unnecessary monetary expansion when non-inflationary sources are available. This is a genuine policy innovation.</w:t>
      </w:r>
    </w:p>
    <w:p w14:paraId="577BA5CE" w14:textId="77777777" w:rsidR="003E342E" w:rsidRDefault="00000000">
      <w:pPr>
        <w:pStyle w:val="Heading2"/>
      </w:pPr>
      <w:r>
        <w:t>7.4 The Non-Decreasing UBI Ratchet as Policy Commitment</w:t>
      </w:r>
    </w:p>
    <w:p w14:paraId="3D94B61D" w14:textId="77777777" w:rsidR="003E342E" w:rsidRDefault="00000000">
      <w:pPr>
        <w:spacing w:after="120"/>
      </w:pPr>
      <w:r>
        <w:t>Framing the UBI ratchet as representing policy commitment rather than generosity is analytically important. It connects the design to the literature on time-inconsistency in macroeconomic policy and the credibility requirements for durable social contracts. Pierson’s work [8, 9] on welfare state retrenchment politics directly supports this: benefits that can be withdrawn easily are not a stable foundation for an economy undergoing structural transformation.</w:t>
      </w:r>
    </w:p>
    <w:p w14:paraId="0D1B4E0E" w14:textId="77777777" w:rsidR="003E342E" w:rsidRDefault="00000000">
      <w:pPr>
        <w:pStyle w:val="Heading2"/>
      </w:pPr>
      <w:r>
        <w:t>7.5 Government Surplus Recycling as Systemic Anti-Drain</w:t>
      </w:r>
    </w:p>
    <w:p w14:paraId="6B8E288E" w14:textId="77777777" w:rsidR="003E342E" w:rsidRDefault="00000000">
      <w:pPr>
        <w:spacing w:after="120"/>
      </w:pPr>
      <w:r>
        <w:t>The surplus recycling mechanism is a small but analytically important addition. In a stock-flow-consistent framework, the failure to recycle government surpluses creates an inadvertent fiscal drag. The papers’ identification of this as a design principle rather than leaving it as an implicit leakage is evidence of the quality of the modeling discipline.</w:t>
      </w:r>
    </w:p>
    <w:p w14:paraId="47B6B5A3" w14:textId="77777777" w:rsidR="003E342E" w:rsidRDefault="00000000">
      <w:pPr>
        <w:pStyle w:val="Heading2"/>
      </w:pPr>
      <w:r>
        <w:t>7.6 Mortgage Indexation with Hybrid Index and Lender Neutralization</w:t>
      </w:r>
    </w:p>
    <w:p w14:paraId="47631730" w14:textId="77777777" w:rsidR="003E342E" w:rsidRDefault="00000000">
      <w:pPr>
        <w:spacing w:after="120"/>
      </w:pPr>
      <w:r>
        <w:lastRenderedPageBreak/>
        <w:t>Unchanged from the original and still one of the papers’ most original contributions. The transmission pathway (AI → deflation → rising real debt burden → household insolvency → credit contraction → demand collapse) is absent from the AI economics literature even though each link is individually documented. The lender neutralization design—ensuring lenders are made whole so they do not resist modification—is a specific institutional innovation with no direct precursor.</w:t>
      </w:r>
    </w:p>
    <w:p w14:paraId="3F7D78A2" w14:textId="77777777" w:rsidR="003E342E" w:rsidRDefault="00000000">
      <w:pPr>
        <w:pStyle w:val="Heading2"/>
      </w:pPr>
      <w:r>
        <w:t>7.7 The Automation-Responsive Corporate Tax as Structural Rebalancer</w:t>
      </w:r>
    </w:p>
    <w:p w14:paraId="4B89C3C8" w14:textId="77777777" w:rsidR="003E342E" w:rsidRDefault="00000000">
      <w:pPr>
        <w:spacing w:after="120"/>
      </w:pPr>
      <w:r>
        <w:t>The policy paper’s clarification that the corporate rate is clamped within minimum and maximum bounds, and that its adjustment is automatic rather than discretionary, strengthens the original idea. The dividend-flow incentive—distributed profits are not taxed at the corporate level—creates a systematic channel from corporate surplus to household income that is compatible with, and reinforcing of, the Trust Fund mechanism. This interaction between the two instruments is the most sophisticated design feature in the entire architecture.</w:t>
      </w:r>
    </w:p>
    <w:p w14:paraId="7F289CD4" w14:textId="77777777" w:rsidR="003E342E" w:rsidRDefault="00000000">
      <w:pPr>
        <w:pStyle w:val="Heading2"/>
      </w:pPr>
      <w:r>
        <w:t>7.8 The AI-as-Policy-Communicator Argument</w:t>
      </w:r>
    </w:p>
    <w:p w14:paraId="541574AA" w14:textId="77777777" w:rsidR="003E342E" w:rsidRDefault="00000000">
      <w:pPr>
        <w:spacing w:after="120"/>
      </w:pPr>
      <w:r>
        <w:t>The narrative paper’s argument that AI-assisted policy communication—machines that can explain complex matters simply and honestly, debate human politicians in real time—changes the political feasibility of reform remains speculative but intellectually interesting. The Mark Twain quotation about lies traveling faster than truth, inverted, is a memorable formulation of a genuine political economy insight.</w:t>
      </w:r>
    </w:p>
    <w:p w14:paraId="56297D24" w14:textId="77777777" w:rsidR="003E342E" w:rsidRDefault="00000000">
      <w:pPr>
        <w:pStyle w:val="Heading1"/>
      </w:pPr>
      <w:r>
        <w:t>8. Main Point, Conclusions, and Whether They Are Well Supported</w:t>
      </w:r>
    </w:p>
    <w:p w14:paraId="10B2B0B0" w14:textId="77777777" w:rsidR="003E342E" w:rsidRDefault="00000000">
      <w:pPr>
        <w:pStyle w:val="Heading2"/>
      </w:pPr>
      <w:r>
        <w:t>8.1 The Main Point</w:t>
      </w:r>
    </w:p>
    <w:p w14:paraId="323104EA" w14:textId="77777777" w:rsidR="003E342E" w:rsidRDefault="00000000">
      <w:pPr>
        <w:spacing w:after="120"/>
      </w:pPr>
      <w:r>
        <w:t>The papers’ main point is: the AI transition will weaken the wage-based circulation of purchasing power that sustains capitalist demand; this cannot be addressed by any single instrument; and a coordinated, stock-flow-consistent policy architecture—addressing ownership concentration, household cash flow, fiscal base redesign, debt contract rigidity, and political legitimacy simultaneously—is both necessary and feasible.</w:t>
      </w:r>
    </w:p>
    <w:p w14:paraId="1D964898" w14:textId="77777777" w:rsidR="003E342E" w:rsidRDefault="00000000">
      <w:pPr>
        <w:spacing w:after="120"/>
      </w:pPr>
      <w:r>
        <w:t>This point is well supported at the structural level. The papers do not need to prove that the exact scenario will occur; they need to demonstrate that the mechanisms described are real, that the failure modes named are genuine, and that the policy instruments proposed address those failure modes coherently. On all three counts, the papers succeed.</w:t>
      </w:r>
    </w:p>
    <w:p w14:paraId="296BC2EA" w14:textId="77777777" w:rsidR="003E342E" w:rsidRDefault="00000000">
      <w:pPr>
        <w:pStyle w:val="Heading2"/>
      </w:pPr>
      <w:r>
        <w:t>8.2 The Five Main Conclusions</w:t>
      </w:r>
    </w:p>
    <w:p w14:paraId="262160BA" w14:textId="77777777" w:rsidR="003E342E" w:rsidRDefault="003E34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342E" w14:paraId="46DB4E0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988919D" w14:textId="77777777" w:rsidR="003E342E" w:rsidRDefault="00000000">
            <w:r>
              <w:rPr>
                <w:b/>
                <w:bCs/>
                <w:color w:val="FFFFFF"/>
                <w:sz w:val="20"/>
                <w:szCs w:val="20"/>
              </w:rPr>
              <w:t>Conclusion</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7473044" w14:textId="77777777" w:rsidR="003E342E" w:rsidRDefault="00000000">
            <w:r>
              <w:rPr>
                <w:b/>
                <w:bCs/>
                <w:color w:val="FFFFFF"/>
                <w:sz w:val="20"/>
                <w:szCs w:val="20"/>
              </w:rPr>
              <w:t>Status</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11380B0" w14:textId="77777777" w:rsidR="003E342E" w:rsidRDefault="00000000">
            <w:r>
              <w:rPr>
                <w:b/>
                <w:bCs/>
                <w:color w:val="FFFFFF"/>
                <w:sz w:val="20"/>
                <w:szCs w:val="20"/>
              </w:rPr>
              <w:t>Key Support</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43CAD91" w14:textId="77777777" w:rsidR="003E342E" w:rsidRDefault="00000000">
            <w:r>
              <w:rPr>
                <w:b/>
                <w:bCs/>
                <w:color w:val="FFFFFF"/>
                <w:sz w:val="20"/>
                <w:szCs w:val="20"/>
              </w:rPr>
              <w:t>Main Open Question</w:t>
            </w:r>
          </w:p>
        </w:tc>
      </w:tr>
      <w:tr w:rsidR="003E342E" w14:paraId="46DF838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4DE8F1" w14:textId="77777777" w:rsidR="003E342E" w:rsidRDefault="00000000">
            <w:r>
              <w:rPr>
                <w:sz w:val="20"/>
                <w:szCs w:val="20"/>
              </w:rPr>
              <w:lastRenderedPageBreak/>
              <w:t>AI will shift income from labor to capital at scale.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5EE436F" w14:textId="77777777" w:rsidR="003E342E" w:rsidRDefault="00000000">
            <w:proofErr w:type="gramStart"/>
            <w:r>
              <w:rPr>
                <w:sz w:val="20"/>
                <w:szCs w:val="20"/>
              </w:rPr>
              <w:t>Well</w:t>
            </w:r>
            <w:proofErr w:type="gramEnd"/>
            <w:r>
              <w:rPr>
                <w:sz w:val="20"/>
                <w:szCs w:val="20"/>
              </w:rPr>
              <w:t xml:space="preserve"> supported directionally; magnitude uncertain.</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09DEA05" w14:textId="77777777" w:rsidR="003E342E" w:rsidRDefault="00000000">
            <w:r>
              <w:rPr>
                <w:sz w:val="20"/>
                <w:szCs w:val="20"/>
              </w:rPr>
              <w:t>Acemoglu &amp; Restrepo [1]; IMF SDN/2024/001 [2]; Abel et al. [5]; Barr [6].</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277C7C" w14:textId="77777777" w:rsidR="003E342E" w:rsidRDefault="00000000">
            <w:r>
              <w:rPr>
                <w:sz w:val="20"/>
                <w:szCs w:val="20"/>
              </w:rPr>
              <w:t>Speed and degree of new-task creation. Aggregate employment collapse has not yet materialized in headline data.</w:t>
            </w:r>
          </w:p>
        </w:tc>
      </w:tr>
      <w:tr w:rsidR="003E342E" w14:paraId="47B97B6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4B945" w14:textId="77777777" w:rsidR="003E342E" w:rsidRDefault="00000000">
            <w:r>
              <w:rPr>
                <w:sz w:val="20"/>
                <w:szCs w:val="20"/>
              </w:rPr>
              <w:t>This shift will weaken aggregate demand unless purchasing power is redirected through non-wage channels.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43188" w14:textId="77777777" w:rsidR="003E342E" w:rsidRDefault="00000000">
            <w:proofErr w:type="gramStart"/>
            <w:r>
              <w:rPr>
                <w:sz w:val="20"/>
                <w:szCs w:val="20"/>
              </w:rPr>
              <w:t>Well</w:t>
            </w:r>
            <w:proofErr w:type="gramEnd"/>
            <w:r>
              <w:rPr>
                <w:sz w:val="20"/>
                <w:szCs w:val="20"/>
              </w:rPr>
              <w:t xml:space="preserve"> supported as mechanism; AI-specific magnitude pre-evidence.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ED015A" w14:textId="77777777" w:rsidR="003E342E" w:rsidRDefault="00000000">
            <w:r>
              <w:rPr>
                <w:sz w:val="20"/>
                <w:szCs w:val="20"/>
              </w:rPr>
              <w:t xml:space="preserve">Mian &amp; Sufi [23–26]; Fisher [27]; </w:t>
            </w:r>
            <w:proofErr w:type="spellStart"/>
            <w:r>
              <w:rPr>
                <w:sz w:val="20"/>
                <w:szCs w:val="20"/>
              </w:rPr>
              <w:t>Bounader</w:t>
            </w:r>
            <w:proofErr w:type="spellEnd"/>
            <w:r>
              <w:rPr>
                <w:sz w:val="20"/>
                <w:szCs w:val="20"/>
              </w:rPr>
              <w:t xml:space="preserve"> &amp; </w:t>
            </w:r>
            <w:proofErr w:type="spellStart"/>
            <w:r>
              <w:rPr>
                <w:sz w:val="20"/>
                <w:szCs w:val="20"/>
              </w:rPr>
              <w:t>Elekdag</w:t>
            </w:r>
            <w:proofErr w:type="spellEnd"/>
            <w:r>
              <w:rPr>
                <w:sz w:val="20"/>
                <w:szCs w:val="20"/>
              </w:rPr>
              <w:t xml:space="preserve"> [16].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9B674" w14:textId="77777777" w:rsidR="003E342E" w:rsidRDefault="00000000">
            <w:r>
              <w:rPr>
                <w:sz w:val="20"/>
                <w:szCs w:val="20"/>
              </w:rPr>
              <w:t>How fast debt substitution escalates into balance-sheet crisis; whether fiscal and monetary policy can offset before the feedback loop closes.</w:t>
            </w:r>
          </w:p>
        </w:tc>
      </w:tr>
      <w:tr w:rsidR="003E342E" w14:paraId="6E6BFE0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BFCA41" w14:textId="77777777" w:rsidR="003E342E" w:rsidRDefault="00000000">
            <w:r>
              <w:rPr>
                <w:sz w:val="20"/>
                <w:szCs w:val="20"/>
              </w:rPr>
              <w:t>A Public Trust Fund broadening equity ownership is the appropriate structural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BEDD0E" w14:textId="77777777" w:rsidR="003E342E" w:rsidRDefault="00000000">
            <w:r>
              <w:rPr>
                <w:sz w:val="20"/>
                <w:szCs w:val="20"/>
              </w:rPr>
              <w:t>Goal strongly supported; capitalization mechanics credible but not yet validated in practice.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3339D4" w14:textId="77777777" w:rsidR="003E342E" w:rsidRDefault="00000000">
            <w:r>
              <w:rPr>
                <w:sz w:val="20"/>
                <w:szCs w:val="20"/>
              </w:rPr>
              <w:t>Alaska PFD; Norway GPFG; Cuervo-</w:t>
            </w:r>
            <w:proofErr w:type="spellStart"/>
            <w:r>
              <w:rPr>
                <w:sz w:val="20"/>
                <w:szCs w:val="20"/>
              </w:rPr>
              <w:t>Cazurra</w:t>
            </w:r>
            <w:proofErr w:type="spellEnd"/>
            <w:r>
              <w:rPr>
                <w:sz w:val="20"/>
                <w:szCs w:val="20"/>
              </w:rPr>
              <w:t xml:space="preserve"> et al. [21]; Blyth &amp; Lonergan [18].</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3E4865" w14:textId="77777777" w:rsidR="003E342E" w:rsidRDefault="00000000">
            <w:r>
              <w:rPr>
                <w:sz w:val="20"/>
                <w:szCs w:val="20"/>
              </w:rPr>
              <w:t>Trust Fund governance insulation; Santiago Principles specification; political durability over 20 years.</w:t>
            </w:r>
          </w:p>
        </w:tc>
      </w:tr>
      <w:tr w:rsidR="003E342E" w14:paraId="016B510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CC98D" w14:textId="77777777" w:rsidR="003E342E" w:rsidRDefault="00000000">
            <w:r>
              <w:rPr>
                <w:sz w:val="20"/>
                <w:szCs w:val="20"/>
              </w:rPr>
              <w:t>A VAT-with-low-income-credit rebuilds fiscal capacity in a post-wage economy.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D07DA" w14:textId="77777777" w:rsidR="003E342E" w:rsidRDefault="00000000">
            <w:r>
              <w:rPr>
                <w:sz w:val="20"/>
                <w:szCs w:val="20"/>
              </w:rPr>
              <w:t>Most strongly supported conclusion in the papers.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32A09" w14:textId="77777777" w:rsidR="003E342E" w:rsidRDefault="00000000">
            <w:r>
              <w:rPr>
                <w:sz w:val="20"/>
                <w:szCs w:val="20"/>
              </w:rPr>
              <w:t>de la Feria &amp; Swistak [12]; OECD Consumption Tax Trends [11]; France’s existing VAT infrastructure.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606E12" w14:textId="77777777" w:rsidR="003E342E" w:rsidRDefault="00000000">
            <w:r>
              <w:rPr>
                <w:sz w:val="20"/>
                <w:szCs w:val="20"/>
              </w:rPr>
              <w:t>Rate and threshold calibration not specified in narrative; real-time rebate administration.</w:t>
            </w:r>
          </w:p>
        </w:tc>
      </w:tr>
      <w:tr w:rsidR="003E342E" w14:paraId="208B27B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0F4A24" w14:textId="77777777" w:rsidR="003E342E" w:rsidRDefault="00000000">
            <w:r>
              <w:rPr>
                <w:sz w:val="20"/>
                <w:szCs w:val="20"/>
              </w:rPr>
              <w:t>State-contingent mortgages with lender neutralization prevent deflationary dynamics from cascading through households and banks.</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9BF217" w14:textId="77777777" w:rsidR="003E342E" w:rsidRDefault="00000000">
            <w:r>
              <w:rPr>
                <w:sz w:val="20"/>
                <w:szCs w:val="20"/>
              </w:rPr>
              <w:t>Analytically rigorous and original; institutionally complex.</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A3255F" w14:textId="77777777" w:rsidR="003E342E" w:rsidRDefault="00000000">
            <w:r>
              <w:rPr>
                <w:sz w:val="20"/>
                <w:szCs w:val="20"/>
              </w:rPr>
              <w:t>Campbell, Clara &amp; Cocco (2021); Piskorski &amp; Seru (2018); Fisher [27]; Mian &amp; Sufi [23].</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DD9ADF" w14:textId="77777777" w:rsidR="003E342E" w:rsidRDefault="00000000">
            <w:r>
              <w:rPr>
                <w:sz w:val="20"/>
                <w:szCs w:val="20"/>
              </w:rPr>
              <w:t>Fiscal cost of neutralization at scale; EU state aid rules; closed-economy model limitation for international transmission.</w:t>
            </w:r>
          </w:p>
        </w:tc>
      </w:tr>
    </w:tbl>
    <w:p w14:paraId="157F74FE" w14:textId="77777777" w:rsidR="003E342E" w:rsidRDefault="003E342E">
      <w:pPr>
        <w:spacing w:after="120"/>
      </w:pPr>
    </w:p>
    <w:p w14:paraId="55B8021F" w14:textId="77777777" w:rsidR="003E342E" w:rsidRDefault="00000000">
      <w:pPr>
        <w:pStyle w:val="Heading2"/>
      </w:pPr>
      <w:r>
        <w:t>8.3 Overall Verdict</w:t>
      </w:r>
    </w:p>
    <w:p w14:paraId="0F3654E7" w14:textId="77777777" w:rsidR="003E342E" w:rsidRDefault="00000000">
      <w:pPr>
        <w:spacing w:after="120"/>
      </w:pPr>
      <w:r>
        <w:t>The papers’ conclusions are well supported at the level of direction and mechanism. They are partially supported at the level of precise calibration and political implementation. This is appropriate for a future-history scenario paired with an exploratory model: the purpose is to make the structure of the transition visible and debatable, not to prescribe exact parameters.</w:t>
      </w:r>
    </w:p>
    <w:p w14:paraId="3263DC23" w14:textId="77777777" w:rsidR="003E342E" w:rsidRDefault="00000000">
      <w:pPr>
        <w:spacing w:after="120"/>
      </w:pPr>
      <w:r>
        <w:t xml:space="preserve">The addition of the companion policy paper and the simulator substantially </w:t>
      </w:r>
      <w:proofErr w:type="gramStart"/>
      <w:r>
        <w:t>strengthens</w:t>
      </w:r>
      <w:proofErr w:type="gramEnd"/>
      <w:r>
        <w:t xml:space="preserve"> the argument’s credibility. The claim that the instruments interact coherently is no longer merely asserted; it is modeled. The claim that the architecture is non-confiscatory is no longer merely stated; it is demonstrated by Gini metrics and wealth distribution plots.</w:t>
      </w:r>
    </w:p>
    <w:p w14:paraId="3C0109B9" w14:textId="77777777" w:rsidR="003E342E" w:rsidRDefault="00000000">
      <w:pPr>
        <w:spacing w:after="120"/>
      </w:pPr>
      <w:r>
        <w:t xml:space="preserve">The papers’ central contribution—that the AI transition must be analyzed as a linked system of ownership, purchasing power, taxation, debt contracts, and political legitimacy, and that isolated single-policy debates are therefore inadequate—is both correct and underrepresented in the literature. This remains a genuinely important </w:t>
      </w:r>
      <w:r>
        <w:lastRenderedPageBreak/>
        <w:t>intellectual contribution to a public debate that badly needs it. The reading list has been substantially improved since the original version. The most critical remaining gaps are the Pillar Two international arbitrage connection and the Santiago Principles governance specification.</w:t>
      </w:r>
    </w:p>
    <w:p w14:paraId="0EDEE456" w14:textId="77777777" w:rsidR="003E342E" w:rsidRDefault="00000000">
      <w:pPr>
        <w:pStyle w:val="Heading1"/>
      </w:pPr>
      <w:r>
        <w:t>9. Recommendations for the Next Revision</w:t>
      </w:r>
    </w:p>
    <w:p w14:paraId="17EA80D3" w14:textId="77777777" w:rsidR="003E342E" w:rsidRDefault="00000000">
      <w:pPr>
        <w:pStyle w:val="ListParagraph"/>
        <w:numPr>
          <w:ilvl w:val="0"/>
          <w:numId w:val="2"/>
        </w:numPr>
        <w:spacing w:after="120"/>
      </w:pPr>
      <w:r>
        <w:rPr>
          <w:b/>
          <w:bCs/>
        </w:rPr>
        <w:t xml:space="preserve">Address the Pillar Two gap. </w:t>
      </w:r>
      <w:r>
        <w:t>The automation-responsive corporate tax’s avoidance risk is the papers’ most significant unaddressed analytical weakness. One paragraph in the policy paper connecting the indexed corporate tax to the OECD’s Pillar Two global minimum tax framework as a design scaffold would substantially raise the instrument’s credibility without requiring major redesign. Pillar Two has been operative since 2024 and is a live international policy reality.</w:t>
      </w:r>
    </w:p>
    <w:p w14:paraId="1A5CE05E" w14:textId="77777777" w:rsidR="003E342E" w:rsidRDefault="00000000">
      <w:pPr>
        <w:pStyle w:val="ListParagraph"/>
        <w:numPr>
          <w:ilvl w:val="0"/>
          <w:numId w:val="2"/>
        </w:numPr>
        <w:spacing w:after="120"/>
      </w:pPr>
      <w:r>
        <w:rPr>
          <w:b/>
          <w:bCs/>
        </w:rPr>
        <w:t xml:space="preserve">Specify the Santiago Principles. </w:t>
      </w:r>
      <w:r>
        <w:t>The Trust Fund governance section acknowledges EU law constraints but does not name the Santiago Principles (IFSWF 2008), which are the international governance framework most directly applicable to the design. Adding this reference, plus one paragraph specifying board appointment mechanics and legal insulation from ministerial direction, would close the most persistent gap in the architecture’s institutional design.</w:t>
      </w:r>
    </w:p>
    <w:p w14:paraId="78183516" w14:textId="77777777" w:rsidR="003E342E" w:rsidRDefault="00000000">
      <w:pPr>
        <w:pStyle w:val="ListParagraph"/>
        <w:numPr>
          <w:ilvl w:val="0"/>
          <w:numId w:val="2"/>
        </w:numPr>
        <w:spacing w:after="120"/>
      </w:pPr>
      <w:r>
        <w:rPr>
          <w:b/>
          <w:bCs/>
        </w:rPr>
        <w:t xml:space="preserve">Integrate UBI labor-supply evidence into the argument. </w:t>
      </w:r>
      <w:r>
        <w:t xml:space="preserve">Jones and Marinescu [13] and </w:t>
      </w:r>
      <w:proofErr w:type="spellStart"/>
      <w:r>
        <w:t>Vivalt</w:t>
      </w:r>
      <w:proofErr w:type="spellEnd"/>
      <w:r>
        <w:t xml:space="preserve"> et al. [14] are now in the reading list but are not used in the text. The rebuttal to the labor-supply objection is straightforward and should be made explicit in the narrative or policy paper: in an economy of contracting labor demand, a 1–2 percentage-point reduction in labor supply is a feature, not a bug.</w:t>
      </w:r>
    </w:p>
    <w:p w14:paraId="53B97D02" w14:textId="77777777" w:rsidR="003E342E" w:rsidRDefault="00000000">
      <w:pPr>
        <w:pStyle w:val="ListParagraph"/>
        <w:numPr>
          <w:ilvl w:val="0"/>
          <w:numId w:val="2"/>
        </w:numPr>
        <w:spacing w:after="120"/>
      </w:pPr>
      <w:r>
        <w:rPr>
          <w:b/>
          <w:bCs/>
        </w:rPr>
        <w:t xml:space="preserve">Acknowledge the closed-economy model assumption. </w:t>
      </w:r>
      <w:r>
        <w:t>One sentence in the policy paper noting that the model does not include international trade or capital flows, and therefore cannot directly test the cross-border arbitrage implications of the corporate tax, would be intellectually honest and would preempt a predictable methodological objection.</w:t>
      </w:r>
    </w:p>
    <w:p w14:paraId="0DFDA4D9" w14:textId="77777777" w:rsidR="003E342E" w:rsidRDefault="00000000">
      <w:pPr>
        <w:pStyle w:val="ListParagraph"/>
        <w:numPr>
          <w:ilvl w:val="0"/>
          <w:numId w:val="2"/>
        </w:numPr>
        <w:spacing w:after="120"/>
      </w:pPr>
      <w:r>
        <w:rPr>
          <w:b/>
          <w:bCs/>
        </w:rPr>
        <w:t xml:space="preserve">Promote the non-confiscatory result. </w:t>
      </w:r>
      <w:r>
        <w:t>The Gini metric plots and wealth distribution charts showing that wealthy households are not significantly harmed while the bottom of the distribution benefits substantially are the most important political economy result in the papers. This finding should be stated explicitly in the narrative paper’s conclusion, not left for readers who work through the simulator section.</w:t>
      </w:r>
    </w:p>
    <w:p w14:paraId="56A9DA9E" w14:textId="77777777" w:rsidR="003E342E" w:rsidRDefault="00000000">
      <w:pPr>
        <w:pStyle w:val="ListParagraph"/>
        <w:numPr>
          <w:ilvl w:val="0"/>
          <w:numId w:val="2"/>
        </w:numPr>
        <w:spacing w:after="120"/>
      </w:pPr>
      <w:r>
        <w:rPr>
          <w:b/>
          <w:bCs/>
        </w:rPr>
        <w:t xml:space="preserve">Add a VAT rate and threshold anchor. </w:t>
      </w:r>
      <w:r>
        <w:t>The narrative paper should include one sentence anchoring the VAT rate in an existing comparative range (e.g., “a rate in the 15–25 percent range that characterizes successful VAT-funded welfare states”). This is presumably parameterized in the simulator; the narrative should briefly reflect it.</w:t>
      </w:r>
    </w:p>
    <w:p w14:paraId="4D34CBAB" w14:textId="77777777" w:rsidR="003E342E" w:rsidRDefault="00000000">
      <w:pPr>
        <w:pStyle w:val="ListParagraph"/>
        <w:numPr>
          <w:ilvl w:val="0"/>
          <w:numId w:val="2"/>
        </w:numPr>
        <w:spacing w:after="120"/>
      </w:pPr>
      <w:r>
        <w:rPr>
          <w:b/>
          <w:bCs/>
        </w:rPr>
        <w:t xml:space="preserve">State the dividend-flow interaction explicitly. </w:t>
      </w:r>
      <w:r>
        <w:t xml:space="preserve">The interaction between the automation-responsive corporate tax’s dividend exemption and the Trust Fund’s dividend revenue is the most sophisticated design feature in the architecture and currently goes </w:t>
      </w:r>
      <w:proofErr w:type="spellStart"/>
      <w:r>
        <w:t>unemphasized</w:t>
      </w:r>
      <w:proofErr w:type="spellEnd"/>
      <w:r>
        <w:t xml:space="preserve">. A sentence or two in the narrative paper </w:t>
      </w:r>
      <w:r>
        <w:lastRenderedPageBreak/>
        <w:t>describing how these two instruments reinforce each other would strengthen the non-redundancy argument.</w:t>
      </w:r>
    </w:p>
    <w:p w14:paraId="7D764B04" w14:textId="77777777" w:rsidR="003E342E" w:rsidRDefault="00000000">
      <w:pPr>
        <w:pStyle w:val="ListParagraph"/>
        <w:numPr>
          <w:ilvl w:val="0"/>
          <w:numId w:val="2"/>
        </w:numPr>
        <w:spacing w:after="120"/>
      </w:pPr>
      <w:r>
        <w:rPr>
          <w:b/>
          <w:bCs/>
        </w:rPr>
        <w:t xml:space="preserve">Discuss transitional political economy in more depth. </w:t>
      </w:r>
      <w:r>
        <w:t>The papers acknowledge that “corporations and wealthy stockholders would fiercely resist dilution” and that “conservatives will cling to inherited structures.” But the reform coalitions, the institutional insulation mechanisms, and the specific political feasibility argument for France remain underdeveloped. Pierson’s work [8, 9] on retrenchment politics and welfare state durability, now in the reading list, provides the framework—it should be integrated into the argument, not left as a footnote.</w:t>
      </w:r>
    </w:p>
    <w:p w14:paraId="3E28C7DF" w14:textId="77777777" w:rsidR="003E342E" w:rsidRDefault="00000000">
      <w:pPr>
        <w:pStyle w:val="ListParagraph"/>
        <w:numPr>
          <w:ilvl w:val="0"/>
          <w:numId w:val="2"/>
        </w:numPr>
        <w:spacing w:after="120"/>
      </w:pPr>
      <w:r>
        <w:rPr>
          <w:b/>
          <w:bCs/>
        </w:rPr>
        <w:t xml:space="preserve">Consider Atkinson’s Inequality (2015). </w:t>
      </w:r>
      <w:r>
        <w:t>Anthony Atkinson’s proposal for a Social Wealth Fund through new share issuance is the most direct precedent for the Trust Fund design in the academic literature and is notably absent from the reading list. Its inclusion would locate the Trust Fund in a well-known institutional economics tradition and would make the proposal more credible to specialist readers.</w:t>
      </w:r>
    </w:p>
    <w:p w14:paraId="3D8893BF" w14:textId="77777777" w:rsidR="003E342E" w:rsidRDefault="003E342E">
      <w:pPr>
        <w:spacing w:after="120"/>
      </w:pPr>
    </w:p>
    <w:p w14:paraId="3B98E925" w14:textId="77777777" w:rsidR="003E342E" w:rsidRDefault="00000000">
      <w:pPr>
        <w:spacing w:after="120"/>
        <w:jc w:val="center"/>
      </w:pPr>
      <w:r>
        <w:rPr>
          <w:i/>
          <w:iCs/>
        </w:rPr>
        <w:t>— End of Critique —</w:t>
      </w:r>
    </w:p>
    <w:sectPr w:rsidR="003E34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3720E"/>
    <w:multiLevelType w:val="hybridMultilevel"/>
    <w:tmpl w:val="B0589CBE"/>
    <w:lvl w:ilvl="0" w:tplc="A1000E30">
      <w:start w:val="1"/>
      <w:numFmt w:val="bullet"/>
      <w:lvlText w:val="●"/>
      <w:lvlJc w:val="left"/>
      <w:pPr>
        <w:ind w:left="720" w:hanging="360"/>
      </w:pPr>
    </w:lvl>
    <w:lvl w:ilvl="1" w:tplc="9B348E98">
      <w:start w:val="1"/>
      <w:numFmt w:val="bullet"/>
      <w:lvlText w:val="○"/>
      <w:lvlJc w:val="left"/>
      <w:pPr>
        <w:ind w:left="1440" w:hanging="360"/>
      </w:pPr>
    </w:lvl>
    <w:lvl w:ilvl="2" w:tplc="04800BB8">
      <w:start w:val="1"/>
      <w:numFmt w:val="bullet"/>
      <w:lvlText w:val="■"/>
      <w:lvlJc w:val="left"/>
      <w:pPr>
        <w:ind w:left="2160" w:hanging="360"/>
      </w:pPr>
    </w:lvl>
    <w:lvl w:ilvl="3" w:tplc="F57E712A">
      <w:start w:val="1"/>
      <w:numFmt w:val="bullet"/>
      <w:lvlText w:val="●"/>
      <w:lvlJc w:val="left"/>
      <w:pPr>
        <w:ind w:left="2880" w:hanging="360"/>
      </w:pPr>
    </w:lvl>
    <w:lvl w:ilvl="4" w:tplc="B7B2B660">
      <w:start w:val="1"/>
      <w:numFmt w:val="bullet"/>
      <w:lvlText w:val="○"/>
      <w:lvlJc w:val="left"/>
      <w:pPr>
        <w:ind w:left="3600" w:hanging="360"/>
      </w:pPr>
    </w:lvl>
    <w:lvl w:ilvl="5" w:tplc="20B64BD0">
      <w:start w:val="1"/>
      <w:numFmt w:val="bullet"/>
      <w:lvlText w:val="■"/>
      <w:lvlJc w:val="left"/>
      <w:pPr>
        <w:ind w:left="4320" w:hanging="360"/>
      </w:pPr>
    </w:lvl>
    <w:lvl w:ilvl="6" w:tplc="D42E708C">
      <w:start w:val="1"/>
      <w:numFmt w:val="bullet"/>
      <w:lvlText w:val="●"/>
      <w:lvlJc w:val="left"/>
      <w:pPr>
        <w:ind w:left="5040" w:hanging="360"/>
      </w:pPr>
    </w:lvl>
    <w:lvl w:ilvl="7" w:tplc="325C533C">
      <w:start w:val="1"/>
      <w:numFmt w:val="bullet"/>
      <w:lvlText w:val="●"/>
      <w:lvlJc w:val="left"/>
      <w:pPr>
        <w:ind w:left="5760" w:hanging="360"/>
      </w:pPr>
    </w:lvl>
    <w:lvl w:ilvl="8" w:tplc="96AE182C">
      <w:start w:val="1"/>
      <w:numFmt w:val="bullet"/>
      <w:lvlText w:val="●"/>
      <w:lvlJc w:val="left"/>
      <w:pPr>
        <w:ind w:left="6480" w:hanging="360"/>
      </w:pPr>
    </w:lvl>
  </w:abstractNum>
  <w:abstractNum w:abstractNumId="1" w15:restartNumberingAfterBreak="0">
    <w:nsid w:val="644A44C3"/>
    <w:multiLevelType w:val="hybridMultilevel"/>
    <w:tmpl w:val="80469726"/>
    <w:lvl w:ilvl="0" w:tplc="10CCC3E2">
      <w:start w:val="1"/>
      <w:numFmt w:val="bullet"/>
      <w:lvlText w:val="•"/>
      <w:lvlJc w:val="left"/>
      <w:pPr>
        <w:spacing w:after="80"/>
        <w:ind w:left="720" w:hanging="360"/>
      </w:pPr>
    </w:lvl>
    <w:lvl w:ilvl="1" w:tplc="5AFCCB0E">
      <w:numFmt w:val="decimal"/>
      <w:lvlText w:val=""/>
      <w:lvlJc w:val="left"/>
    </w:lvl>
    <w:lvl w:ilvl="2" w:tplc="63C01DF4">
      <w:numFmt w:val="decimal"/>
      <w:lvlText w:val=""/>
      <w:lvlJc w:val="left"/>
    </w:lvl>
    <w:lvl w:ilvl="3" w:tplc="9FB6BBB4">
      <w:numFmt w:val="decimal"/>
      <w:lvlText w:val=""/>
      <w:lvlJc w:val="left"/>
    </w:lvl>
    <w:lvl w:ilvl="4" w:tplc="59E65A44">
      <w:numFmt w:val="decimal"/>
      <w:lvlText w:val=""/>
      <w:lvlJc w:val="left"/>
    </w:lvl>
    <w:lvl w:ilvl="5" w:tplc="72D6F6F6">
      <w:numFmt w:val="decimal"/>
      <w:lvlText w:val=""/>
      <w:lvlJc w:val="left"/>
    </w:lvl>
    <w:lvl w:ilvl="6" w:tplc="DFC661C2">
      <w:numFmt w:val="decimal"/>
      <w:lvlText w:val=""/>
      <w:lvlJc w:val="left"/>
    </w:lvl>
    <w:lvl w:ilvl="7" w:tplc="D0B67836">
      <w:numFmt w:val="decimal"/>
      <w:lvlText w:val=""/>
      <w:lvlJc w:val="left"/>
    </w:lvl>
    <w:lvl w:ilvl="8" w:tplc="220EF1DA">
      <w:numFmt w:val="decimal"/>
      <w:lvlText w:val=""/>
      <w:lvlJc w:val="left"/>
    </w:lvl>
  </w:abstractNum>
  <w:num w:numId="1" w16cid:durableId="633484205">
    <w:abstractNumId w:val="0"/>
    <w:lvlOverride w:ilvl="0">
      <w:startOverride w:val="1"/>
    </w:lvlOverride>
  </w:num>
  <w:num w:numId="2" w16cid:durableId="4805857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42E"/>
    <w:rsid w:val="003E342E"/>
    <w:rsid w:val="006722C3"/>
    <w:rsid w:val="00910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5ED0F5"/>
  <w15:docId w15:val="{932FF6B9-0549-5D40-BB75-BD0756201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6400</Words>
  <Characters>38342</Characters>
  <Application>Microsoft Office Word</Application>
  <DocSecurity>0</DocSecurity>
  <Lines>833</Lines>
  <Paragraphs>228</Paragraphs>
  <ScaleCrop>false</ScaleCrop>
  <Company/>
  <LinksUpToDate>false</LinksUpToDate>
  <CharactersWithSpaces>44514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 Ison</cp:lastModifiedBy>
  <cp:revision>3</cp:revision>
  <cp:lastPrinted>2026-03-09T19:51:00Z</cp:lastPrinted>
  <dcterms:created xsi:type="dcterms:W3CDTF">2026-03-09T19:49:00Z</dcterms:created>
  <dcterms:modified xsi:type="dcterms:W3CDTF">2026-03-09T19:51:00Z</dcterms:modified>
</cp:coreProperties>
</file>