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Reformatted and Verified Reference List</w:t>
      </w:r>
    </w:p>
    <w:p>
      <w:pPr>
        <w:jc w:val="center"/>
      </w:pPr>
      <w:r>
        <w:rPr>
          <w:i/>
          <w:sz w:val="21"/>
        </w:rPr>
        <w:t>Grouped by topic, renumbered consecutively, and supplemented with verified additional sources</w:t>
      </w:r>
    </w:p>
    <w:p>
      <w:pPr>
        <w:jc w:val="center"/>
      </w:pPr>
      <w:r>
        <w:rPr>
          <w:color w:val="646464"/>
          <w:sz w:val="18"/>
        </w:rPr>
        <w:t>Prepared March 8, 2026</w:t>
      </w:r>
    </w:p>
    <w:p/>
    <w:p>
      <w:pPr/>
      <w:r>
        <w:rPr>
          <w:b/>
        </w:rPr>
        <w:t xml:space="preserve">Notes. </w:t>
      </w:r>
      <w:r>
        <w:t>This bibliography reorganizes the sources you supplied, renumbers them, and adds selected verified references on demand fragility, household debt, and debt deflation by Atif Mian and Amir Sufi, plus a direct reference to Irving Fisher’s original debt-deflation article. URLs were checked against publisher, institutional, or stable archival pages.</w:t>
      </w:r>
    </w:p>
    <w:p>
      <w:pPr>
        <w:pStyle w:val="SectionHeadCustom"/>
      </w:pPr>
      <w:r>
        <w:t>Artificial intelligence, labor markets, and technology</w:t>
      </w:r>
    </w:p>
    <w:p>
      <w:pPr>
        <w:pStyle w:val="RefEntry"/>
      </w:pPr>
      <w:r>
        <w:rPr>
          <w:b/>
        </w:rPr>
        <w:t xml:space="preserve">[1] </w:t>
      </w:r>
      <w:r>
        <w:t xml:space="preserve">Acemoglu, Daron, and Pascual Restrepo. </w:t>
      </w:r>
      <w:r>
        <w:rPr>
          <w:i w:val="0"/>
        </w:rPr>
        <w:t xml:space="preserve">“Automation and New Tasks: How Technology Displaces and Reinstates Labor.” </w:t>
      </w:r>
      <w:r>
        <w:t xml:space="preserve">Journal of Economic Perspectives 33, no. 2 </w:t>
      </w:r>
      <w:r>
        <w:t>(2019)</w:t>
      </w:r>
      <w:r>
        <w:t>: 3-30</w:t>
      </w:r>
      <w:r>
        <w:t>.</w:t>
      </w:r>
      <w:r>
        <w:t xml:space="preserve"> DOI: 10.1257/jep.33.2.3.</w:t>
      </w:r>
      <w:r>
        <w:t xml:space="preserve"> URL: </w:t>
      </w:r>
      <w:hyperlink r:id="rId9">
        <w:r>
          <w:rPr>
            <w:color w:val="0563C1"/>
            <w:u w:val="single"/>
          </w:rPr>
          <w:t>https://www.aeaweb.org/articles?id=10.1257/jep.33.2.3</w:t>
        </w:r>
      </w:hyperlink>
    </w:p>
    <w:p>
      <w:pPr>
        <w:pStyle w:val="RefEntry"/>
      </w:pPr>
      <w:r>
        <w:rPr>
          <w:b/>
        </w:rPr>
        <w:t xml:space="preserve">[2] </w:t>
      </w:r>
      <w:r>
        <w:t xml:space="preserve">Cazzaniga, Mauro, Florence Jaumotte, Longji Li, Giovanni Melina, Adrian J. Panton, Carolina Pizzinelli, Esteban Rockall, and Marina M. Tavares. </w:t>
      </w:r>
      <w:r>
        <w:rPr>
          <w:i w:val="0"/>
        </w:rPr>
        <w:t xml:space="preserve">“Gen-AI: Artificial Intelligence and the Future of Work.” </w:t>
      </w:r>
      <w:r>
        <w:t xml:space="preserve">IMF Staff Discussion Note SDN/2024/001 </w:t>
      </w:r>
      <w:r>
        <w:t>(2024)</w:t>
      </w:r>
      <w:r>
        <w:t>.</w:t>
      </w:r>
      <w:r>
        <w:t xml:space="preserve"> URL: </w:t>
      </w:r>
      <w:hyperlink r:id="rId10">
        <w:r>
          <w:rPr>
            <w:color w:val="0563C1"/>
            <w:u w:val="single"/>
          </w:rPr>
          <w:t>https://www.imf.org/en/publications/staff-discussion-notes/issues/2024/01/14/gen-ai-artificial-intelligence-and-the-future-of-work-542379</w:t>
        </w:r>
      </w:hyperlink>
    </w:p>
    <w:p>
      <w:pPr>
        <w:pStyle w:val="RefEntry"/>
      </w:pPr>
      <w:r>
        <w:rPr>
          <w:b/>
        </w:rPr>
        <w:t xml:space="preserve">[3] </w:t>
      </w:r>
      <w:r>
        <w:t xml:space="preserve">Melina, Giovanni, and Stefania Villa. </w:t>
      </w:r>
      <w:r>
        <w:rPr>
          <w:i w:val="0"/>
        </w:rPr>
        <w:t xml:space="preserve">“From Servers to Rates: AI, ICT Capital, and the Natural Rate.” </w:t>
      </w:r>
      <w:r>
        <w:t xml:space="preserve">IMF Working Paper WP/25/224 </w:t>
      </w:r>
      <w:r>
        <w:t>(2025)</w:t>
      </w:r>
      <w:r>
        <w:t>.</w:t>
      </w:r>
      <w:r>
        <w:t xml:space="preserve"> URL: </w:t>
      </w:r>
      <w:hyperlink r:id="rId11">
        <w:r>
          <w:rPr>
            <w:color w:val="0563C1"/>
            <w:u w:val="single"/>
          </w:rPr>
          <w:t>https://www.imf.org/-/media/files/publications/wp/2025/english/wpiea2025224-source-pdf.pdf</w:t>
        </w:r>
      </w:hyperlink>
    </w:p>
    <w:p>
      <w:pPr>
        <w:pStyle w:val="RefEntry"/>
      </w:pPr>
      <w:r>
        <w:rPr>
          <w:b/>
        </w:rPr>
        <w:t xml:space="preserve">[4] </w:t>
      </w:r>
      <w:r>
        <w:t xml:space="preserve">Gimbel, Martha, Molly Kinder, Joshua Kendall, and Maddie Lee. </w:t>
      </w:r>
      <w:r>
        <w:rPr>
          <w:i w:val="0"/>
        </w:rPr>
        <w:t xml:space="preserve">“Evaluating the Impact of AI on the Labor Market: Current State of Affairs.” </w:t>
      </w:r>
      <w:r>
        <w:t xml:space="preserve">The Budget Lab at Yale </w:t>
      </w:r>
      <w:r>
        <w:t>(October 1, 2025)</w:t>
      </w:r>
      <w:r>
        <w:t>.</w:t>
      </w:r>
      <w:r>
        <w:t xml:space="preserve"> URL: </w:t>
      </w:r>
      <w:hyperlink r:id="rId12">
        <w:r>
          <w:rPr>
            <w:color w:val="0563C1"/>
            <w:u w:val="single"/>
          </w:rPr>
          <w:t>https://budgetlab.yale.edu/research/evaluating-impact-ai-labor-market-current-state-affairs</w:t>
        </w:r>
      </w:hyperlink>
    </w:p>
    <w:p>
      <w:pPr>
        <w:pStyle w:val="RefEntry"/>
      </w:pPr>
      <w:r>
        <w:rPr>
          <w:b/>
        </w:rPr>
        <w:t xml:space="preserve">[5] </w:t>
      </w:r>
      <w:r>
        <w:t xml:space="preserve">Abel, Jaison R., Richard Deitz, Natalia Emanuel, Ben Hyman, and Nick Montalbano. </w:t>
      </w:r>
      <w:r>
        <w:rPr>
          <w:i w:val="0"/>
        </w:rPr>
        <w:t xml:space="preserve">“Are Businesses Scaling Back Hiring Due to AI?.” </w:t>
      </w:r>
      <w:r>
        <w:t xml:space="preserve">Liberty Street Economics, Federal Reserve Bank of New York </w:t>
      </w:r>
      <w:r>
        <w:t>(September 4, 2025)</w:t>
      </w:r>
      <w:r>
        <w:t>.</w:t>
      </w:r>
      <w:r>
        <w:t xml:space="preserve"> URL: </w:t>
      </w:r>
      <w:hyperlink r:id="rId13">
        <w:r>
          <w:rPr>
            <w:color w:val="0563C1"/>
            <w:u w:val="single"/>
          </w:rPr>
          <w:t>https://libertystreeteconomics.newyorkfed.org/2025/09/are-businesses-scaling-back-hiring-due-to-ai/</w:t>
        </w:r>
      </w:hyperlink>
    </w:p>
    <w:p>
      <w:pPr>
        <w:pStyle w:val="RefEntry"/>
      </w:pPr>
      <w:r>
        <w:rPr>
          <w:b/>
        </w:rPr>
        <w:t xml:space="preserve">[6] </w:t>
      </w:r>
      <w:r>
        <w:t xml:space="preserve">Barr, Michael S.. </w:t>
      </w:r>
      <w:r>
        <w:rPr>
          <w:i w:val="0"/>
        </w:rPr>
        <w:t xml:space="preserve">“What Will Artificial Intelligence Mean for the Labor Market and the Economy?.” </w:t>
      </w:r>
      <w:r>
        <w:t xml:space="preserve">Speech at the New York Association for Business Economics, Board of Governors of the Federal Reserve System </w:t>
      </w:r>
      <w:r>
        <w:t>(February 17, 2026)</w:t>
      </w:r>
      <w:r>
        <w:t>.</w:t>
      </w:r>
      <w:r>
        <w:t xml:space="preserve"> URL: </w:t>
      </w:r>
      <w:hyperlink r:id="rId14">
        <w:r>
          <w:rPr>
            <w:color w:val="0563C1"/>
            <w:u w:val="single"/>
          </w:rPr>
          <w:t>https://www.federalreserve.gov/newsevents/speech/barr20260217a.htm</w:t>
        </w:r>
      </w:hyperlink>
    </w:p>
    <w:p>
      <w:pPr>
        <w:pStyle w:val="SectionHeadCustom"/>
      </w:pPr>
      <w:r>
        <w:t>Inequality, taxation, transfers, and basic income</w:t>
      </w:r>
    </w:p>
    <w:p>
      <w:pPr>
        <w:pStyle w:val="RefEntry"/>
      </w:pPr>
      <w:r>
        <w:rPr>
          <w:b/>
        </w:rPr>
        <w:t xml:space="preserve">[7] </w:t>
      </w:r>
      <w:r>
        <w:t xml:space="preserve">OECD. </w:t>
      </w:r>
      <w:r>
        <w:rPr>
          <w:i w:val="0"/>
        </w:rPr>
        <w:t xml:space="preserve">“Income and Wealth Inequalities.” </w:t>
      </w:r>
      <w:r>
        <w:t xml:space="preserve">In Society at a Glance 2024 </w:t>
      </w:r>
      <w:r>
        <w:t>(2024)</w:t>
      </w:r>
      <w:r>
        <w:t>.</w:t>
      </w:r>
      <w:r>
        <w:t xml:space="preserve"> URL: </w:t>
      </w:r>
      <w:hyperlink r:id="rId15">
        <w:r>
          <w:rPr>
            <w:color w:val="0563C1"/>
            <w:u w:val="single"/>
          </w:rPr>
          <w:t>https://www.oecd.org/en/publications/society-at-a-glance-2024_918d8db3-en/full-report/income-and-wealth-inequalities_7ac4178f.html</w:t>
        </w:r>
      </w:hyperlink>
    </w:p>
    <w:p>
      <w:pPr>
        <w:pStyle w:val="RefEntry"/>
      </w:pPr>
      <w:r>
        <w:rPr>
          <w:b/>
        </w:rPr>
        <w:t xml:space="preserve">[8] </w:t>
      </w:r>
      <w:r>
        <w:t xml:space="preserve">OECD. </w:t>
      </w:r>
      <w:r>
        <w:rPr>
          <w:i w:val="0"/>
        </w:rPr>
        <w:t xml:space="preserve">“Consumption Tax Trends 2024: VAT/GST and Excise, Core Design Features and Trends.” </w:t>
      </w:r>
      <w:r>
        <w:t xml:space="preserve">OECD Publishing </w:t>
      </w:r>
      <w:r>
        <w:t>(2024)</w:t>
      </w:r>
      <w:r>
        <w:t>.</w:t>
      </w:r>
      <w:r>
        <w:t xml:space="preserve"> URL: </w:t>
      </w:r>
      <w:hyperlink r:id="rId16">
        <w:r>
          <w:rPr>
            <w:color w:val="0563C1"/>
            <w:u w:val="single"/>
          </w:rPr>
          <w:t>https://www.oecd.org/en/publications/consumption-tax-trends-2024_dcd4dd36-en.html</w:t>
        </w:r>
      </w:hyperlink>
    </w:p>
    <w:p>
      <w:pPr>
        <w:pStyle w:val="RefEntry"/>
      </w:pPr>
      <w:r>
        <w:rPr>
          <w:b/>
        </w:rPr>
        <w:t xml:space="preserve">[9] </w:t>
      </w:r>
      <w:r>
        <w:t xml:space="preserve">de la Feria, Rita, and Artur Swistak. </w:t>
      </w:r>
      <w:r>
        <w:rPr>
          <w:i w:val="0"/>
        </w:rPr>
        <w:t xml:space="preserve">“Designing a Progressive VAT.” </w:t>
      </w:r>
      <w:r>
        <w:t xml:space="preserve">IMF Working Paper WP/24/78 </w:t>
      </w:r>
      <w:r>
        <w:t>(2024)</w:t>
      </w:r>
      <w:r>
        <w:t>.</w:t>
      </w:r>
      <w:r>
        <w:t xml:space="preserve"> URL: </w:t>
      </w:r>
      <w:hyperlink r:id="rId17">
        <w:r>
          <w:rPr>
            <w:color w:val="0563C1"/>
            <w:u w:val="single"/>
          </w:rPr>
          <w:t>https://www.imf.org/en/publications/wp/issues/2024/04/05/designing-a-progressive-vat-546923</w:t>
        </w:r>
      </w:hyperlink>
    </w:p>
    <w:p>
      <w:pPr>
        <w:pStyle w:val="RefEntry"/>
      </w:pPr>
      <w:r>
        <w:rPr>
          <w:b/>
        </w:rPr>
        <w:t xml:space="preserve">[10] </w:t>
      </w:r>
      <w:r>
        <w:t xml:space="preserve">Jones, Damon, and Ioana Marinescu. </w:t>
      </w:r>
      <w:r>
        <w:rPr>
          <w:i w:val="0"/>
        </w:rPr>
        <w:t xml:space="preserve">“The Labor Market Impacts of Universal and Permanent Cash Transfers: Evidence from the Alaska Permanent Fund.” </w:t>
      </w:r>
      <w:r>
        <w:t xml:space="preserve">American Economic Journal: Economic Policy 14, no. 2 </w:t>
      </w:r>
      <w:r>
        <w:t>(2022)</w:t>
      </w:r>
      <w:r>
        <w:t>: 315-340</w:t>
      </w:r>
      <w:r>
        <w:t>.</w:t>
      </w:r>
      <w:r>
        <w:t xml:space="preserve"> DOI: 10.1257/pol.20190299.</w:t>
      </w:r>
      <w:r>
        <w:t xml:space="preserve"> URL: </w:t>
      </w:r>
      <w:hyperlink r:id="rId18">
        <w:r>
          <w:rPr>
            <w:color w:val="0563C1"/>
            <w:u w:val="single"/>
          </w:rPr>
          <w:t>https://www.aeaweb.org/articles?id=10.1257/pol.20190299</w:t>
        </w:r>
      </w:hyperlink>
    </w:p>
    <w:p>
      <w:pPr>
        <w:pStyle w:val="RefEntry"/>
      </w:pPr>
      <w:r>
        <w:rPr>
          <w:b/>
        </w:rPr>
        <w:t xml:space="preserve">[11] </w:t>
      </w:r>
      <w:r>
        <w:t xml:space="preserve">Vivalt, Eva, Elizabeth Rhodes, Alexander W. Bartik, David E. Broockman, Patrick Krause, and Sarah Miller. </w:t>
      </w:r>
      <w:r>
        <w:rPr>
          <w:i w:val="0"/>
        </w:rPr>
        <w:t xml:space="preserve">“The Employment Effects of a Guaranteed Income: Experimental Evidence from Two U.S. States.” </w:t>
      </w:r>
      <w:r>
        <w:t xml:space="preserve">NBER Working Paper 32719 </w:t>
      </w:r>
      <w:r>
        <w:t>(July 2024, revised January 2025)</w:t>
      </w:r>
      <w:r>
        <w:t>.</w:t>
      </w:r>
      <w:r>
        <w:t xml:space="preserve"> URL: </w:t>
      </w:r>
      <w:hyperlink r:id="rId19">
        <w:r>
          <w:rPr>
            <w:color w:val="0563C1"/>
            <w:u w:val="single"/>
          </w:rPr>
          <w:t>https://www.nber.org/papers/w32719</w:t>
        </w:r>
      </w:hyperlink>
    </w:p>
    <w:p>
      <w:pPr>
        <w:pStyle w:val="RefEntry"/>
      </w:pPr>
      <w:r>
        <w:rPr>
          <w:b/>
        </w:rPr>
        <w:t xml:space="preserve">[12] </w:t>
      </w:r>
      <w:r>
        <w:t xml:space="preserve">Browne, James, and Herwig Immervoll. </w:t>
      </w:r>
      <w:r>
        <w:rPr>
          <w:i w:val="0"/>
        </w:rPr>
        <w:t xml:space="preserve">“Mechanics of Replacing Benefit Systems with a Basic Income.” </w:t>
      </w:r>
      <w:r>
        <w:t xml:space="preserve">OECD Social, Employment and Migration Working Papers No. 193 </w:t>
      </w:r>
      <w:r>
        <w:t>(2017)</w:t>
      </w:r>
      <w:r>
        <w:t>.</w:t>
      </w:r>
      <w:r>
        <w:t xml:space="preserve"> URL: </w:t>
      </w:r>
      <w:hyperlink r:id="rId20">
        <w:r>
          <w:rPr>
            <w:color w:val="0563C1"/>
            <w:u w:val="single"/>
          </w:rPr>
          <w:t>https://www.oecd.org/en/publications/mechanics-of-replacing-benefits-systems-with-a-basic-income_ec38a279-en.html</w:t>
        </w:r>
      </w:hyperlink>
    </w:p>
    <w:p>
      <w:pPr>
        <w:pStyle w:val="SectionHeadCustom"/>
      </w:pPr>
      <w:r>
        <w:t>Financial fragility, investment, and broad-based asset ownership</w:t>
      </w:r>
    </w:p>
    <w:p>
      <w:pPr>
        <w:pStyle w:val="RefEntry"/>
      </w:pPr>
      <w:r>
        <w:rPr>
          <w:b/>
        </w:rPr>
        <w:t xml:space="preserve">[13] </w:t>
      </w:r>
      <w:r>
        <w:t xml:space="preserve">Bounader, Lahcen, and Selim Elekdag. </w:t>
      </w:r>
      <w:r>
        <w:rPr>
          <w:i w:val="0"/>
        </w:rPr>
        <w:t xml:space="preserve">“The Diagnostic Financial Accelerator.” </w:t>
      </w:r>
      <w:r>
        <w:t xml:space="preserve">IMF Working Paper WP/24/132 </w:t>
      </w:r>
      <w:r>
        <w:t>(2024)</w:t>
      </w:r>
      <w:r>
        <w:t>.</w:t>
      </w:r>
      <w:r>
        <w:t xml:space="preserve"> URL: </w:t>
      </w:r>
      <w:hyperlink r:id="rId21">
        <w:r>
          <w:rPr>
            <w:color w:val="0563C1"/>
            <w:u w:val="single"/>
          </w:rPr>
          <w:t>https://www.imf.org/-/media/files/publications/wp/2024/english/wpiea2024132-print-pdf.pdf</w:t>
        </w:r>
      </w:hyperlink>
    </w:p>
    <w:p>
      <w:pPr>
        <w:pStyle w:val="RefEntry"/>
      </w:pPr>
      <w:r>
        <w:rPr>
          <w:b/>
        </w:rPr>
        <w:t xml:space="preserve">[14] </w:t>
      </w:r>
      <w:r>
        <w:t xml:space="preserve">OECD. </w:t>
      </w:r>
      <w:r>
        <w:rPr>
          <w:i w:val="0"/>
        </w:rPr>
        <w:t xml:space="preserve">“Reigniting Investment for More Resilient Growth.” </w:t>
      </w:r>
      <w:r>
        <w:t xml:space="preserve">In OECD Economic Outlook, Volume 2025 Issue 1: Tackling Uncertainty, Reviving Growth </w:t>
      </w:r>
      <w:r>
        <w:t>(2025)</w:t>
      </w:r>
      <w:r>
        <w:t>.</w:t>
      </w:r>
      <w:r>
        <w:t xml:space="preserve"> URL: </w:t>
      </w:r>
      <w:hyperlink r:id="rId22">
        <w:r>
          <w:rPr>
            <w:color w:val="0563C1"/>
            <w:u w:val="single"/>
          </w:rPr>
          <w:t>https://www.oecd.org/en/publications/2025/06/oecd-economic-outlook-volume-2025-issue-1_1fd979a8/full-report/reigniting-investment-for-more-resilient-growth_99b36090.html</w:t>
        </w:r>
      </w:hyperlink>
    </w:p>
    <w:p>
      <w:pPr>
        <w:pStyle w:val="RefEntry"/>
      </w:pPr>
      <w:r>
        <w:rPr>
          <w:b/>
        </w:rPr>
        <w:t xml:space="preserve">[15] </w:t>
      </w:r>
      <w:r>
        <w:t xml:space="preserve">Blyth, Mark, and Eric Lonergan. </w:t>
      </w:r>
      <w:r>
        <w:rPr>
          <w:i w:val="0"/>
        </w:rPr>
        <w:t xml:space="preserve">“A Citizen's Wealth Fund: Broadening Asset Ownership, Reducing Inequality and Stabilizing the System.” </w:t>
      </w:r>
      <w:r>
        <w:t xml:space="preserve">In The Future of Wealth </w:t>
      </w:r>
      <w:r>
        <w:t>(2021)</w:t>
      </w:r>
      <w:r>
        <w:t>.</w:t>
      </w:r>
      <w:r>
        <w:t xml:space="preserve"> URL: </w:t>
      </w:r>
      <w:hyperlink r:id="rId23">
        <w:r>
          <w:rPr>
            <w:color w:val="0563C1"/>
            <w:u w:val="single"/>
          </w:rPr>
          <w:t>https://futureofwealth.org/wp-content/uploads/2021/12/Sec8-Ch-63-Blyth-Lonergan.pdf</w:t>
        </w:r>
      </w:hyperlink>
    </w:p>
    <w:p>
      <w:pPr>
        <w:pStyle w:val="SectionHeadCustom"/>
      </w:pPr>
      <w:r>
        <w:t>Stock-flow consistent modeling, public funds, and sovereign wealth funds</w:t>
      </w:r>
    </w:p>
    <w:p>
      <w:pPr>
        <w:pStyle w:val="RefEntry"/>
      </w:pPr>
      <w:r>
        <w:rPr>
          <w:b/>
        </w:rPr>
        <w:t xml:space="preserve">[16] </w:t>
      </w:r>
      <w:r>
        <w:t xml:space="preserve">Byrialsen, M. R., and N. Raza. </w:t>
      </w:r>
      <w:r>
        <w:rPr>
          <w:i w:val="0"/>
        </w:rPr>
        <w:t xml:space="preserve">“An Empirical Stock-Flow Consistent Macroeconomic Model for Denmark.” </w:t>
      </w:r>
      <w:r>
        <w:t xml:space="preserve">Levy Economics Institute Working Paper No. 942 </w:t>
      </w:r>
      <w:r>
        <w:t>(2020)</w:t>
      </w:r>
      <w:r>
        <w:t>.</w:t>
      </w:r>
      <w:r>
        <w:t xml:space="preserve"> URL: </w:t>
      </w:r>
      <w:hyperlink r:id="rId24">
        <w:r>
          <w:rPr>
            <w:color w:val="0563C1"/>
            <w:u w:val="single"/>
          </w:rPr>
          <w:t>https://www.levyinstitute.org/publications/an-empirical-stock-flow-consistent-macroeconomic-model-for-denmark</w:t>
        </w:r>
      </w:hyperlink>
    </w:p>
    <w:p>
      <w:pPr>
        <w:pStyle w:val="RefEntry"/>
      </w:pPr>
      <w:r>
        <w:rPr>
          <w:b/>
        </w:rPr>
        <w:t xml:space="preserve">[17] </w:t>
      </w:r>
      <w:r>
        <w:t xml:space="preserve">Ruggeri, Francesco, Riccardo Pariboni, and Giuliano Toshiro Yajima. </w:t>
      </w:r>
      <w:r>
        <w:rPr>
          <w:i w:val="0"/>
        </w:rPr>
        <w:t xml:space="preserve">“A Stock-Flow Consistent Model of Emulation, Debt, and Personal Income Inequality.” </w:t>
      </w:r>
      <w:r>
        <w:t xml:space="preserve">Levy Economics Institute Working Paper No. 1099 </w:t>
      </w:r>
      <w:r>
        <w:t>(October 2025)</w:t>
      </w:r>
      <w:r>
        <w:t>.</w:t>
      </w:r>
      <w:r>
        <w:t xml:space="preserve"> URL: </w:t>
      </w:r>
      <w:hyperlink r:id="rId25">
        <w:r>
          <w:rPr>
            <w:color w:val="0563C1"/>
            <w:u w:val="single"/>
          </w:rPr>
          <w:t>https://www.levyinstitute.org/publications/a-stock-flow-consistent-model-of-emulation-debt-and-personal-income-inequality</w:t>
        </w:r>
      </w:hyperlink>
    </w:p>
    <w:p>
      <w:pPr>
        <w:pStyle w:val="RefEntry"/>
      </w:pPr>
      <w:r>
        <w:rPr>
          <w:b/>
        </w:rPr>
        <w:t xml:space="preserve">[18] </w:t>
      </w:r>
      <w:r>
        <w:t xml:space="preserve">Cuervo-Cazurra, Alvaro, Anna Grosman, and Geoffrey T. Wood. </w:t>
      </w:r>
      <w:r>
        <w:rPr>
          <w:i w:val="0"/>
        </w:rPr>
        <w:t xml:space="preserve">“Cross-country Variations in Sovereign Wealth Funds’ Transparency.” </w:t>
      </w:r>
      <w:r>
        <w:t xml:space="preserve">Journal of International Business Policy 6, no. 3 </w:t>
      </w:r>
      <w:r>
        <w:t>(2023)</w:t>
      </w:r>
      <w:r>
        <w:t>: 447-468</w:t>
      </w:r>
      <w:r>
        <w:t>.</w:t>
      </w:r>
      <w:r>
        <w:t xml:space="preserve"> DOI: 10.1057/s42214-023-00149-0.</w:t>
      </w:r>
      <w:r>
        <w:t xml:space="preserve"> URL: </w:t>
      </w:r>
      <w:hyperlink r:id="rId26">
        <w:r>
          <w:rPr>
            <w:color w:val="0563C1"/>
            <w:u w:val="single"/>
          </w:rPr>
          <w:t>https://pmc.ncbi.nlm.nih.gov/articles/PMC10009841/</w:t>
        </w:r>
      </w:hyperlink>
    </w:p>
    <w:p>
      <w:pPr>
        <w:pStyle w:val="RefEntry"/>
      </w:pPr>
      <w:r>
        <w:rPr>
          <w:b/>
        </w:rPr>
        <w:t xml:space="preserve">[19] </w:t>
      </w:r>
      <w:r>
        <w:t xml:space="preserve">Avendaño, Rolando, and Javier Santiso. </w:t>
      </w:r>
      <w:r>
        <w:rPr>
          <w:i w:val="0"/>
        </w:rPr>
        <w:t xml:space="preserve">“Are Sovereign Wealth Funds’ Investments Politically Biased? A Comparison with Mutual Funds.” </w:t>
      </w:r>
      <w:r>
        <w:t xml:space="preserve">OECD Development Centre Working Paper No. 283 </w:t>
      </w:r>
      <w:r>
        <w:t>(2009)</w:t>
      </w:r>
      <w:r>
        <w:t>.</w:t>
      </w:r>
      <w:r>
        <w:t xml:space="preserve"> URL: </w:t>
      </w:r>
      <w:hyperlink r:id="rId27">
        <w:r>
          <w:rPr>
            <w:color w:val="0563C1"/>
            <w:u w:val="single"/>
          </w:rPr>
          <w:t>https://www.oecd.org/en/publications/are-sovereign-wealth-funds-investments-politically-biased_218475437211.html</w:t>
        </w:r>
      </w:hyperlink>
    </w:p>
    <w:p>
      <w:pPr>
        <w:pStyle w:val="SectionHeadCustom"/>
      </w:pPr>
      <w:r>
        <w:t>Additional sources: demand fragility, household debt, and debt deflation</w:t>
      </w:r>
    </w:p>
    <w:p>
      <w:pPr>
        <w:pStyle w:val="RefEntry"/>
      </w:pPr>
      <w:r>
        <w:rPr>
          <w:b/>
        </w:rPr>
        <w:t xml:space="preserve">[20] </w:t>
      </w:r>
      <w:r>
        <w:t xml:space="preserve">Mian, Atif, and Amir Sufi. </w:t>
      </w:r>
      <w:r>
        <w:rPr>
          <w:i w:val="0"/>
        </w:rPr>
        <w:t xml:space="preserve">“Household Leverage and the Recession of 2007 to 2009.” </w:t>
      </w:r>
      <w:r>
        <w:t xml:space="preserve">IMF Economic Review 58, no. 1 </w:t>
      </w:r>
      <w:r>
        <w:t>(2010)</w:t>
      </w:r>
      <w:r>
        <w:t>: 74-117</w:t>
      </w:r>
      <w:r>
        <w:t>.</w:t>
      </w:r>
      <w:r>
        <w:t xml:space="preserve"> URL: </w:t>
      </w:r>
      <w:hyperlink r:id="rId28">
        <w:r>
          <w:rPr>
            <w:color w:val="0563C1"/>
            <w:u w:val="single"/>
          </w:rPr>
          <w:t>https://atif.scholar.princeton.edu/publications/household-leverage-and-recession-2007-2009</w:t>
        </w:r>
      </w:hyperlink>
    </w:p>
    <w:p>
      <w:pPr>
        <w:pStyle w:val="RefEntry"/>
      </w:pPr>
      <w:r>
        <w:rPr>
          <w:b/>
        </w:rPr>
        <w:t xml:space="preserve">[21] </w:t>
      </w:r>
      <w:r>
        <w:t xml:space="preserve">Mian, Atif, and Amir Sufi. </w:t>
      </w:r>
      <w:r>
        <w:rPr>
          <w:i w:val="0"/>
        </w:rPr>
        <w:t xml:space="preserve">“House Prices, Home Equity-Based Borrowing, and the U.S. Household Leverage Crisis.” </w:t>
      </w:r>
      <w:r>
        <w:t xml:space="preserve">American Economic Review 101, no. 5 </w:t>
      </w:r>
      <w:r>
        <w:t>(2011)</w:t>
      </w:r>
      <w:r>
        <w:t>.</w:t>
      </w:r>
      <w:r>
        <w:t xml:space="preserve"> URL: </w:t>
      </w:r>
      <w:hyperlink r:id="rId29">
        <w:r>
          <w:rPr>
            <w:color w:val="0563C1"/>
            <w:u w:val="single"/>
          </w:rPr>
          <w:t>https://atif.scholar.princeton.edu/publications/house-prices-home-equity-based-borrowing-and-us-household-leverage-crisis</w:t>
        </w:r>
      </w:hyperlink>
    </w:p>
    <w:p>
      <w:pPr>
        <w:pStyle w:val="RefEntry"/>
      </w:pPr>
      <w:r>
        <w:rPr>
          <w:b/>
        </w:rPr>
        <w:t xml:space="preserve">[22] </w:t>
      </w:r>
      <w:r>
        <w:t xml:space="preserve">Mian, Atif, Amir Sufi, and Emil Verner. </w:t>
      </w:r>
      <w:r>
        <w:rPr>
          <w:i w:val="0"/>
        </w:rPr>
        <w:t xml:space="preserve">“Household Debt and Business Cycles Worldwide.” </w:t>
      </w:r>
      <w:r>
        <w:t xml:space="preserve">The Quarterly Journal of Economics 132, no. 4 </w:t>
      </w:r>
      <w:r>
        <w:t>(2017)</w:t>
      </w:r>
      <w:r>
        <w:t>: 1755-1817</w:t>
      </w:r>
      <w:r>
        <w:t>.</w:t>
      </w:r>
      <w:r>
        <w:t xml:space="preserve"> DOI: 10.1093/qje/qjx017.</w:t>
      </w:r>
      <w:r>
        <w:t xml:space="preserve"> URL: </w:t>
      </w:r>
      <w:hyperlink r:id="rId30">
        <w:r>
          <w:rPr>
            <w:color w:val="0563C1"/>
            <w:u w:val="single"/>
          </w:rPr>
          <w:t>https://academic.oup.com/qje/article-abstract/132/4/1755/3854928</w:t>
        </w:r>
      </w:hyperlink>
    </w:p>
    <w:p>
      <w:pPr>
        <w:pStyle w:val="RefEntry"/>
      </w:pPr>
      <w:r>
        <w:rPr>
          <w:b/>
        </w:rPr>
        <w:t xml:space="preserve">[23] </w:t>
      </w:r>
      <w:r>
        <w:t xml:space="preserve">Mian, Atif, and Amir Sufi. </w:t>
      </w:r>
      <w:r>
        <w:rPr>
          <w:i w:val="0"/>
        </w:rPr>
        <w:t xml:space="preserve">“Finance and Business Cycles: The Credit-Driven Household Demand Channel.” </w:t>
      </w:r>
      <w:r>
        <w:t xml:space="preserve">Journal of Economic Perspectives 32, no. 3 </w:t>
      </w:r>
      <w:r>
        <w:t>(2018)</w:t>
      </w:r>
      <w:r>
        <w:t>: 31-58</w:t>
      </w:r>
      <w:r>
        <w:t>.</w:t>
      </w:r>
      <w:r>
        <w:t xml:space="preserve"> URL: </w:t>
      </w:r>
      <w:hyperlink r:id="rId31">
        <w:r>
          <w:rPr>
            <w:color w:val="0563C1"/>
            <w:u w:val="single"/>
          </w:rPr>
          <w:t>https://www.nber.org/papers/w24322</w:t>
        </w:r>
      </w:hyperlink>
    </w:p>
    <w:p>
      <w:pPr>
        <w:pStyle w:val="RefEntry"/>
      </w:pPr>
      <w:r>
        <w:rPr>
          <w:b/>
        </w:rPr>
        <w:t xml:space="preserve">[24] </w:t>
      </w:r>
      <w:r>
        <w:t xml:space="preserve">Fisher, Irving. </w:t>
      </w:r>
      <w:r>
        <w:rPr>
          <w:i w:val="0"/>
        </w:rPr>
        <w:t xml:space="preserve">“The Debt-Deflation Theory of Great Depressions.” </w:t>
      </w:r>
      <w:r>
        <w:t xml:space="preserve">Econometrica 1, no. 4 </w:t>
      </w:r>
      <w:r>
        <w:t>(1933)</w:t>
      </w:r>
      <w:r>
        <w:t>: 337-357</w:t>
      </w:r>
      <w:r>
        <w:t>.</w:t>
      </w:r>
      <w:r>
        <w:t xml:space="preserve"> URL: </w:t>
      </w:r>
      <w:hyperlink r:id="rId32">
        <w:r>
          <w:rPr>
            <w:color w:val="0563C1"/>
            <w:u w:val="single"/>
          </w:rPr>
          <w:t>https://fraser.stlouisfed.org/files/docs/meltzer/fisdeb33.pdf</w:t>
        </w:r>
      </w:hyperlink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ntry">
    <w:name w:val="RefEntry"/>
    <w:basedOn w:val="Normal"/>
    <w:pPr>
      <w:spacing w:after="120" w:line="269" w:lineRule="auto"/>
      <w:ind w:left="504" w:hanging="317"/>
    </w:pPr>
    <w:rPr>
      <w:rFonts w:ascii="Calibri" w:hAnsi="Calibri"/>
      <w:sz w:val="21"/>
    </w:rPr>
  </w:style>
  <w:style w:type="paragraph" w:customStyle="1" w:styleId="SectionHeadCustom">
    <w:name w:val="SectionHeadCustom"/>
    <w:basedOn w:val="Heading1"/>
    <w:pPr>
      <w:spacing w:before="200" w:after="80"/>
    </w:pPr>
    <w:rPr>
      <w:rFonts w:ascii="Calibri" w:hAnsi="Calibri"/>
      <w:b/>
      <w:color w:val="1F4E7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eaweb.org/articles?id=10.1257/jep.33.2.3" TargetMode="External"/><Relationship Id="rId10" Type="http://schemas.openxmlformats.org/officeDocument/2006/relationships/hyperlink" Target="https://www.imf.org/en/publications/staff-discussion-notes/issues/2024/01/14/gen-ai-artificial-intelligence-and-the-future-of-work-542379" TargetMode="External"/><Relationship Id="rId11" Type="http://schemas.openxmlformats.org/officeDocument/2006/relationships/hyperlink" Target="https://www.imf.org/-/media/files/publications/wp/2025/english/wpiea2025224-source-pdf.pdf" TargetMode="External"/><Relationship Id="rId12" Type="http://schemas.openxmlformats.org/officeDocument/2006/relationships/hyperlink" Target="https://budgetlab.yale.edu/research/evaluating-impact-ai-labor-market-current-state-affairs" TargetMode="External"/><Relationship Id="rId13" Type="http://schemas.openxmlformats.org/officeDocument/2006/relationships/hyperlink" Target="https://libertystreeteconomics.newyorkfed.org/2025/09/are-businesses-scaling-back-hiring-due-to-ai/" TargetMode="External"/><Relationship Id="rId14" Type="http://schemas.openxmlformats.org/officeDocument/2006/relationships/hyperlink" Target="https://www.federalreserve.gov/newsevents/speech/barr20260217a.htm" TargetMode="External"/><Relationship Id="rId15" Type="http://schemas.openxmlformats.org/officeDocument/2006/relationships/hyperlink" Target="https://www.oecd.org/en/publications/society-at-a-glance-2024_918d8db3-en/full-report/income-and-wealth-inequalities_7ac4178f.html" TargetMode="External"/><Relationship Id="rId16" Type="http://schemas.openxmlformats.org/officeDocument/2006/relationships/hyperlink" Target="https://www.oecd.org/en/publications/consumption-tax-trends-2024_dcd4dd36-en.html" TargetMode="External"/><Relationship Id="rId17" Type="http://schemas.openxmlformats.org/officeDocument/2006/relationships/hyperlink" Target="https://www.imf.org/en/publications/wp/issues/2024/04/05/designing-a-progressive-vat-546923" TargetMode="External"/><Relationship Id="rId18" Type="http://schemas.openxmlformats.org/officeDocument/2006/relationships/hyperlink" Target="https://www.aeaweb.org/articles?id=10.1257/pol.20190299" TargetMode="External"/><Relationship Id="rId19" Type="http://schemas.openxmlformats.org/officeDocument/2006/relationships/hyperlink" Target="https://www.nber.org/papers/w32719" TargetMode="External"/><Relationship Id="rId20" Type="http://schemas.openxmlformats.org/officeDocument/2006/relationships/hyperlink" Target="https://www.oecd.org/en/publications/mechanics-of-replacing-benefits-systems-with-a-basic-income_ec38a279-en.html" TargetMode="External"/><Relationship Id="rId21" Type="http://schemas.openxmlformats.org/officeDocument/2006/relationships/hyperlink" Target="https://www.imf.org/-/media/files/publications/wp/2024/english/wpiea2024132-print-pdf.pdf" TargetMode="External"/><Relationship Id="rId22" Type="http://schemas.openxmlformats.org/officeDocument/2006/relationships/hyperlink" Target="https://www.oecd.org/en/publications/2025/06/oecd-economic-outlook-volume-2025-issue-1_1fd979a8/full-report/reigniting-investment-for-more-resilient-growth_99b36090.html" TargetMode="External"/><Relationship Id="rId23" Type="http://schemas.openxmlformats.org/officeDocument/2006/relationships/hyperlink" Target="https://futureofwealth.org/wp-content/uploads/2021/12/Sec8-Ch-63-Blyth-Lonergan.pdf" TargetMode="External"/><Relationship Id="rId24" Type="http://schemas.openxmlformats.org/officeDocument/2006/relationships/hyperlink" Target="https://www.levyinstitute.org/publications/an-empirical-stock-flow-consistent-macroeconomic-model-for-denmark" TargetMode="External"/><Relationship Id="rId25" Type="http://schemas.openxmlformats.org/officeDocument/2006/relationships/hyperlink" Target="https://www.levyinstitute.org/publications/a-stock-flow-consistent-model-of-emulation-debt-and-personal-income-inequality" TargetMode="External"/><Relationship Id="rId26" Type="http://schemas.openxmlformats.org/officeDocument/2006/relationships/hyperlink" Target="https://pmc.ncbi.nlm.nih.gov/articles/PMC10009841/" TargetMode="External"/><Relationship Id="rId27" Type="http://schemas.openxmlformats.org/officeDocument/2006/relationships/hyperlink" Target="https://www.oecd.org/en/publications/are-sovereign-wealth-funds-investments-politically-biased_218475437211.html" TargetMode="External"/><Relationship Id="rId28" Type="http://schemas.openxmlformats.org/officeDocument/2006/relationships/hyperlink" Target="https://atif.scholar.princeton.edu/publications/household-leverage-and-recession-2007-2009" TargetMode="External"/><Relationship Id="rId29" Type="http://schemas.openxmlformats.org/officeDocument/2006/relationships/hyperlink" Target="https://atif.scholar.princeton.edu/publications/house-prices-home-equity-based-borrowing-and-us-household-leverage-crisis" TargetMode="External"/><Relationship Id="rId30" Type="http://schemas.openxmlformats.org/officeDocument/2006/relationships/hyperlink" Target="https://academic.oup.com/qje/article-abstract/132/4/1755/3854928" TargetMode="External"/><Relationship Id="rId31" Type="http://schemas.openxmlformats.org/officeDocument/2006/relationships/hyperlink" Target="https://www.nber.org/papers/w24322" TargetMode="External"/><Relationship Id="rId32" Type="http://schemas.openxmlformats.org/officeDocument/2006/relationships/hyperlink" Target="https://fraser.stlouisfed.org/files/docs/meltzer/fisdeb3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