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F3864"/>
          <w:sz w:val="36"/>
          <w:szCs w:val="36"/>
        </w:rPr>
        <w:t xml:space="preserve">Detailed Critique and Literature Review</w:t>
      </w:r>
    </w:p>
    <w:p>
      <w:pPr>
        <w:spacing w:before="0" w:after="80"/>
      </w:pPr>
      <w:r>
        <w:rPr>
          <w:rFonts w:ascii="Arial" w:cs="Arial" w:eastAsia="Arial" w:hAnsi="Arial"/>
          <w:i/>
          <w:iCs/>
          <w:color w:val="2E75B6"/>
          <w:sz w:val="28"/>
          <w:szCs w:val="28"/>
        </w:rPr>
        <w:t xml:space="preserve">"The New Loop: A Future History of the AI Transition"</w:t>
      </w:r>
    </w:p>
    <w:p>
      <w:pPr>
        <w:spacing w:before="0" w:after="120"/>
      </w:pPr>
      <w:r>
        <w:rPr>
          <w:rFonts w:ascii="Arial" w:cs="Arial" w:eastAsia="Arial" w:hAnsi="Arial"/>
          <w:i/>
          <w:iCs/>
          <w:color w:val="2E75B6"/>
          <w:sz w:val="28"/>
          <w:szCs w:val="28"/>
        </w:rPr>
        <w:t xml:space="preserve">and "New Loop Policy Architecture and Simulator"</w:t>
      </w:r>
    </w:p>
    <w:p>
      <w:pPr>
        <w:pBdr>
          <w:bottom w:val="single" w:color="2E75B6" w:sz="6" w:space="4"/>
        </w:pBdr>
        <w:spacing w:before="0" w:after="400"/>
      </w:pPr>
      <w:r>
        <w:rPr>
          <w:rFonts w:ascii="Arial" w:cs="Arial" w:eastAsia="Arial" w:hAnsi="Arial"/>
          <w:color w:val="555555"/>
          <w:sz w:val="22"/>
          <w:szCs w:val="22"/>
        </w:rPr>
        <w:t xml:space="preserve">Roger Ison  |  Prepared March 9, 2026  |  Second Review</w:t>
      </w:r>
    </w:p>
    <w:p>
      <w:pPr>
        <w:spacing w:before="0" w:after="80"/>
      </w:pPr>
      <w:r>
        <w:t xml:space="preserve"/>
      </w:r>
    </w:p>
    <w:p>
      <w:pPr>
        <w:pStyle w:val="Heading1"/>
        <w:spacing w:before="240" w:after="120"/>
      </w:pPr>
      <w:r>
        <w:rPr>
          <w:rFonts w:ascii="Arial" w:cs="Arial" w:eastAsia="Arial" w:hAnsi="Arial"/>
          <w:b/>
          <w:bCs/>
          <w:color w:val="1F3864"/>
          <w:sz w:val="28"/>
          <w:szCs w:val="28"/>
        </w:rPr>
        <w:t xml:space="preserve">OVERVIEW</w:t>
      </w:r>
    </w:p>
    <w:p>
      <w:pPr>
        <w:spacing w:before="0" w:after="160"/>
      </w:pPr>
      <w:r>
        <w:rPr>
          <w:rFonts w:ascii="Arial" w:cs="Arial" w:eastAsia="Arial" w:hAnsi="Arial"/>
          <w:sz w:val="22"/>
          <w:szCs w:val="22"/>
        </w:rPr>
        <w:t xml:space="preserve">This critique evaluates both companion papers in their revised forms: the future-history narrative (</w:t>
      </w:r>
      <w:r>
        <w:rPr>
          <w:rFonts w:ascii="Arial" w:cs="Arial" w:eastAsia="Arial" w:hAnsi="Arial"/>
          <w:i/>
          <w:iCs/>
          <w:sz w:val="22"/>
          <w:szCs w:val="22"/>
        </w:rPr>
        <w:t xml:space="preserve">The New Loop</w:t>
      </w:r>
      <w:r>
        <w:rPr>
          <w:rFonts w:ascii="Arial" w:cs="Arial" w:eastAsia="Arial" w:hAnsi="Arial"/>
          <w:sz w:val="22"/>
          <w:szCs w:val="22"/>
        </w:rPr>
        <w:t xml:space="preserve">) and the technical policy and simulator paper (</w:t>
      </w:r>
      <w:r>
        <w:rPr>
          <w:rFonts w:ascii="Arial" w:cs="Arial" w:eastAsia="Arial" w:hAnsi="Arial"/>
          <w:i/>
          <w:iCs/>
          <w:sz w:val="22"/>
          <w:szCs w:val="22"/>
        </w:rPr>
        <w:t xml:space="preserve">New Loop Policy Architecture and Simulator</w:t>
      </w:r>
      <w:r>
        <w:rPr>
          <w:rFonts w:ascii="Arial" w:cs="Arial" w:eastAsia="Arial" w:hAnsi="Arial"/>
          <w:sz w:val="22"/>
          <w:szCs w:val="22"/>
        </w:rPr>
        <w:t xml:space="preserve">). The papers have been substantially revised since the first critique. This review notes where the authors have responded to earlier recommendations, where responses remain partial, and where significant gaps persist. Section references follow the structure of the narrative paper, with the policy paper assessed as a parallel and complementary document.</w:t>
      </w:r>
    </w:p>
    <w:p>
      <w:pPr>
        <w:spacing w:before="0" w:after="160"/>
      </w:pPr>
      <w:r>
        <w:rPr>
          <w:rFonts w:ascii="Arial" w:cs="Arial" w:eastAsia="Arial" w:hAnsi="Arial"/>
          <w:sz w:val="22"/>
          <w:szCs w:val="22"/>
        </w:rPr>
        <w:t xml:space="preserve">The revisions are substantive. The reading list has been rebuilt rather than merely extended: five new entries address labor-market and natural-rate dynamics, the UBI design literature, and the intellectual lineage of the Trust Fund proposal. The narrative paper has acquired explicit mentions of the Santiago Principles and the OECD Two-Pillar Solution, as well as a VAT rate anchor and a new section on the lifecycle function of the Trust Fund. The policy paper now contains an explicit Income Tax Design section that was absent before, and the closed-economy assumption is explicitly acknowledged. Several of the first review's most urgent recommendations have been addressed, at least in part.</w:t>
      </w:r>
    </w:p>
    <w:p>
      <w:pPr>
        <w:spacing w:before="0" w:after="160"/>
      </w:pPr>
      <w:r>
        <w:rPr>
          <w:rFonts w:ascii="Arial" w:cs="Arial" w:eastAsia="Arial" w:hAnsi="Arial"/>
          <w:sz w:val="22"/>
          <w:szCs w:val="22"/>
        </w:rPr>
        <w:t xml:space="preserve">The core assessment from the first review is unchanged and, if anything, reinforced by the revisions: the papers address a genuine gap in the literature, the two-document architecture is well-designed, and the central claim — that the AI transition must be analyzed as a linked system rather than a series of single-policy debates — remains both correct and underrepresented elsewhere. The revisions improve the papers' scholarly credibility and their institutional specificity. Several important gaps remain and are identified below.</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1. What the Papers Are Doing — and What Kind of Argument They Make</w:t>
      </w:r>
    </w:p>
    <w:p>
      <w:pPr>
        <w:spacing w:before="0" w:after="160"/>
      </w:pPr>
      <w:r>
        <w:rPr>
          <w:rFonts w:ascii="Arial" w:cs="Arial" w:eastAsia="Arial" w:hAnsi="Arial"/>
          <w:sz w:val="22"/>
          <w:szCs w:val="22"/>
        </w:rPr>
        <w:t xml:space="preserve">The two-paper architecture remains methodologically sound. The narrative paper is explicit about its genre — purposeful storytelling — and the policy paper provides institutional and mathematical detail in a structured format. This division continues to serve different reader types effectively and has not been compromised by the revisions.</w:t>
      </w:r>
    </w:p>
    <w:p>
      <w:pPr>
        <w:spacing w:before="0" w:after="160"/>
      </w:pPr>
      <w:r>
        <w:rPr>
          <w:rFonts w:ascii="Arial" w:cs="Arial" w:eastAsia="Arial" w:hAnsi="Arial"/>
          <w:sz w:val="22"/>
          <w:szCs w:val="22"/>
        </w:rPr>
        <w:t xml:space="preserve">The most significant structural addition in this version is the explicit acknowledgment, at the outset of the policy paper, that the New Loop simulation models a closed economy with no international trade component. The first review identified this omission as an unacknowledged limitation; it is now stated directly and briefly. This is exactly the right treatment: the limitation is noted, its implications for the corporate tax analysis are implicitly flagged, and the reader is not misled.</w:t>
      </w:r>
    </w:p>
    <w:p>
      <w:pPr>
        <w:spacing w:before="0" w:after="160"/>
      </w:pPr>
      <w:r>
        <w:rPr>
          <w:rFonts w:ascii="Arial" w:cs="Arial" w:eastAsia="Arial" w:hAnsi="Arial"/>
          <w:sz w:val="22"/>
          <w:szCs w:val="22"/>
        </w:rPr>
        <w:t xml:space="preserve">The narrative paper has also been expanded in two important areas. First, the Trust Fund section now includes a new passage on the lifecycle and duration-matching function of the fund — serving young families, students, old age — which locates the proposal in a broader social-contract argument and strengthens the political legitimacy case. Second, the CEO/CFO/portfolio manager dialogues that explain why corporations would accept dilution have been elaborated into a more complete acceptance-logic sequence. These additions improve the narrative without undermining its pace.</w:t>
      </w:r>
    </w:p>
    <w:p>
      <w:pPr>
        <w:spacing w:before="0" w:after="160"/>
      </w:pPr>
      <w:r>
        <w:rPr>
          <w:rFonts w:ascii="Arial" w:cs="Arial" w:eastAsia="Arial" w:hAnsi="Arial"/>
          <w:sz w:val="22"/>
          <w:szCs w:val="22"/>
        </w:rPr>
        <w:t xml:space="preserve">The policy paper's claim to present a whole-economy, non-redundant, stock-flow-consistent treatment of multiple AI-transition policy instruments simultaneously remains valid. The addition of an explicit Income Tax Design section (Section 4 of the policy paper) closes a gap that the first review noted but did not foreground: the earlier version discussed income tax only implicitly, as a component of the funding architecture rather than as a distinct instrument with its own design rationale.</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2. Issues Raised by the Papers</w:t>
      </w:r>
    </w:p>
    <w:p>
      <w:pPr>
        <w:spacing w:before="0" w:after="160"/>
      </w:pPr>
      <w:r>
        <w:rPr>
          <w:rFonts w:ascii="Arial" w:cs="Arial" w:eastAsia="Arial" w:hAnsi="Arial"/>
          <w:sz w:val="22"/>
          <w:szCs w:val="22"/>
        </w:rPr>
        <w:t xml:space="preserve">The papers raise five analytically distinct problems. Each is assessed below against the current draft.</w:t>
      </w:r>
    </w:p>
    <w:p>
      <w:pPr>
        <w:pStyle w:val="Heading2"/>
        <w:spacing w:before="240" w:after="80"/>
      </w:pPr>
      <w:r>
        <w:rPr>
          <w:rFonts w:ascii="Arial" w:cs="Arial" w:eastAsia="Arial" w:hAnsi="Arial"/>
          <w:b/>
          <w:bCs/>
          <w:color w:val="2E75B6"/>
          <w:sz w:val="24"/>
          <w:szCs w:val="24"/>
        </w:rPr>
        <w:t xml:space="preserve">2.1 The Income Architecture Problem</w:t>
      </w:r>
    </w:p>
    <w:p>
      <w:pPr>
        <w:spacing w:before="0" w:after="160"/>
      </w:pPr>
      <w:r>
        <w:rPr>
          <w:rFonts w:ascii="Arial" w:cs="Arial" w:eastAsia="Arial" w:hAnsi="Arial"/>
          <w:sz w:val="22"/>
          <w:szCs w:val="22"/>
        </w:rPr>
        <w:t xml:space="preserve">The papers' central claim — that automation shifts value-added from wages toward profits, threatening aggregate demand — is now even more strongly supported than before. Two new entries in the reading list directly address this channel with very recent evidence.</w:t>
      </w:r>
    </w:p>
    <w:p>
      <w:pPr>
        <w:spacing w:before="0" w:after="160"/>
      </w:pPr>
      <w:r>
        <w:rPr>
          <w:rFonts w:ascii="Arial" w:cs="Arial" w:eastAsia="Arial" w:hAnsi="Arial"/>
          <w:sz w:val="22"/>
          <w:szCs w:val="22"/>
        </w:rPr>
        <w:t xml:space="preserve">Melina and Villa's 2025 IMF Working Paper [3] on AI, ICT capital, and the natural rate is the most analytically significant new addition. It models how AI-driven capital accumulation affects the equilibrium interest rate, providing a theoretical mechanism that connects the papers' deflationary thesis to mainstream monetary economics. The finding that AI capital deepening can push the natural rate lower independently of demographic factors strengthens the papers' claim that conventional monetary policy tools face structural limits during the transition — a point made in the narrative's US section but previously without a cited formal model.</w:t>
      </w:r>
    </w:p>
    <w:p>
      <w:pPr>
        <w:spacing w:before="0" w:after="160"/>
      </w:pPr>
      <w:r>
        <w:rPr>
          <w:rFonts w:ascii="Arial" w:cs="Arial" w:eastAsia="Arial" w:hAnsi="Arial"/>
          <w:sz w:val="22"/>
          <w:szCs w:val="22"/>
        </w:rPr>
        <w:t xml:space="preserve">Gimbel et al.'s Budget Lab at Yale paper [4] (October 2025) provides current-state empirical grounding for labor-market exposure that supplements Abel et al. [5] and the IMF SDN [2]. Its inclusion reflects the authors' effort to keep the empirical foundation updated as the evidence base evolves, which is appropriate given how rapidly this literature is moving.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0" w:after="0"/>
            </w:pPr>
            <w:r>
              <w:rPr>
                <w:rFonts w:ascii="Arial" w:cs="Arial" w:eastAsia="Arial" w:hAnsi="Arial"/>
                <w:b/>
                <w:bCs/>
                <w:sz w:val="22"/>
                <w:szCs w:val="22"/>
              </w:rPr>
              <w:t xml:space="preserve">LIT </w:t>
            </w:r>
            <w:r>
              <w:rPr>
                <w:rFonts w:ascii="Arial" w:cs="Arial" w:eastAsia="Arial" w:hAnsi="Arial"/>
                <w:sz w:val="22"/>
                <w:szCs w:val="22"/>
              </w:rPr>
              <w:t xml:space="preserve">Strongly supported and now more comprehensively evidenced. Acemoglu &amp; Restrepo [1]; IMF SDN/2024/001 [2]; Melina &amp; Villa [3]; Budget Lab at Yale [4]; Abel et al. [5]; Barr [6]. The addition of Melina &amp; Villa is particularly valuable because it grounds the deflationary-transition argument in a formal monetary-economics framework that policymakers and central bankers will recognize. The aggregate employment collapse has not yet materialized in headline data, and the papers acknowledge this implicitly in their S-curve treatment; that hedge remains appropriate.</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2.2 The Demand-Fragility and Debt-Deflation Problem</w:t>
      </w:r>
    </w:p>
    <w:p>
      <w:pPr>
        <w:spacing w:before="0" w:after="160"/>
      </w:pPr>
      <w:r>
        <w:rPr>
          <w:rFonts w:ascii="Arial" w:cs="Arial" w:eastAsia="Arial" w:hAnsi="Arial"/>
          <w:sz w:val="22"/>
          <w:szCs w:val="22"/>
        </w:rPr>
        <w:t xml:space="preserve">The debt-fragility mechanism remains the papers' analytical core and is well-supported. The reading list retains all four Mian and Sufi papers [27–30] and Fisher's debt-deflation theory [31]. No new entries have been added to this section of the literature, which is appropriate: the theoretical and empirical anchors were already strong in the previous version.</w:t>
      </w:r>
    </w:p>
    <w:p>
      <w:pPr>
        <w:spacing w:before="0" w:after="160"/>
      </w:pPr>
      <w:r>
        <w:rPr>
          <w:rFonts w:ascii="Arial" w:cs="Arial" w:eastAsia="Arial" w:hAnsi="Arial"/>
          <w:sz w:val="22"/>
          <w:szCs w:val="22"/>
        </w:rPr>
        <w:t xml:space="preserve">The policy paper's mortgage indexation section (7.4) remains technically the most detailed and strongest contribution in either document. The hybrid index construction, the neutralization funding logic, and the six-part sub-section structure are unchanged and continue to represent a genuine institutional innovation. The lender-neutralization framing — explicitly not a bailout, but a macroeconomic stabilization cost covered by the public sector — is analytically and politically important and is stated clearly.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0" w:after="0"/>
            </w:pPr>
            <w:r>
              <w:rPr>
                <w:rFonts w:ascii="Arial" w:cs="Arial" w:eastAsia="Arial" w:hAnsi="Arial"/>
                <w:b/>
                <w:bCs/>
                <w:sz w:val="22"/>
                <w:szCs w:val="22"/>
              </w:rPr>
              <w:t xml:space="preserve">LIT </w:t>
            </w:r>
            <w:r>
              <w:rPr>
                <w:rFonts w:ascii="Arial" w:cs="Arial" w:eastAsia="Arial" w:hAnsi="Arial"/>
                <w:sz w:val="22"/>
                <w:szCs w:val="22"/>
              </w:rPr>
              <w:t xml:space="preserve">Strongly supported. Mian &amp; Sufi [27–30]; Fisher [31]; Bounader &amp; Elekdag [18]. No change from the first review's assessment. The authors have correctly left this well-established section of the architecture intact.</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2.3 The Deflation Risk</w:t>
      </w:r>
    </w:p>
    <w:p>
      <w:pPr>
        <w:spacing w:before="0" w:after="160"/>
      </w:pPr>
      <w:r>
        <w:rPr>
          <w:rFonts w:ascii="Arial" w:cs="Arial" w:eastAsia="Arial" w:hAnsi="Arial"/>
          <w:sz w:val="22"/>
          <w:szCs w:val="22"/>
        </w:rPr>
        <w:t xml:space="preserve">The deflation argument is now more formally grounded than before. The addition of Melina and Villa [3] is directly relevant: their finding that AI and ICT capital deepening compresses the natural rate of interest provides a transmission pathway from the papers' automation premise to deflationary pressure that is independent of the demand-side channel. The papers thus now have both a demand-side (Mian-Sufi household balance sheet) and a supply-side (Melina-Villa natural-rate compression) argument for why deflation should be anticipated.</w:t>
      </w:r>
    </w:p>
    <w:p>
      <w:pPr>
        <w:spacing w:before="0" w:after="160"/>
      </w:pPr>
      <w:r>
        <w:rPr>
          <w:rFonts w:ascii="Arial" w:cs="Arial" w:eastAsia="Arial" w:hAnsi="Arial"/>
          <w:sz w:val="22"/>
          <w:szCs w:val="22"/>
        </w:rPr>
        <w:t xml:space="preserve">The policy paper's structural treatment of deflation — "the model does not enforce deflation; it arises structurally" — remains in place and continues to be the epistemologically correct approach. The simulator output showing prices falling steeply through approximately quarter 25 before recovering remains visible as a model output rather than an assumption.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0" w:after="0"/>
            </w:pPr>
            <w:r>
              <w:rPr>
                <w:rFonts w:ascii="Arial" w:cs="Arial" w:eastAsia="Arial" w:hAnsi="Arial"/>
                <w:b/>
                <w:bCs/>
                <w:sz w:val="22"/>
                <w:szCs w:val="22"/>
              </w:rPr>
              <w:t xml:space="preserve">LIT </w:t>
            </w:r>
            <w:r>
              <w:rPr>
                <w:rFonts w:ascii="Arial" w:cs="Arial" w:eastAsia="Arial" w:hAnsi="Arial"/>
                <w:sz w:val="22"/>
                <w:szCs w:val="22"/>
              </w:rPr>
              <w:t xml:space="preserve">Partially supported but now better anchored in monetary theory. Melina &amp; Villa [3] adds a formal natural-rate mechanism that substantially strengthens the deflationary thesis beyond the demand-compression argument alone. The authors' personal epistemic note — acknowledging that they spent much of their adult life investing against inflation and now judge AI to be deflationary — remains appropriate intellectual honesty and should be retained.</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2.4 The Concentration Trap vs. Treadmill Trap</w:t>
      </w:r>
    </w:p>
    <w:p>
      <w:pPr>
        <w:spacing w:before="0" w:after="160"/>
      </w:pPr>
      <w:r>
        <w:rPr>
          <w:rFonts w:ascii="Arial" w:cs="Arial" w:eastAsia="Arial" w:hAnsi="Arial"/>
          <w:sz w:val="22"/>
          <w:szCs w:val="22"/>
        </w:rPr>
        <w:t xml:space="preserve">This taxonomy remains the papers' most intellectually distinctive framing contribution. It is unchanged from the previous version and continues to be well-supported by historical and comparative political economy. The policy paper's closing perspective still makes the non-redundancy argument explicit by identifying which failure channel each instrument addresses. No revision was needed here, and none was made.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0" w:after="0"/>
            </w:pPr>
            <w:r>
              <w:rPr>
                <w:rFonts w:ascii="Arial" w:cs="Arial" w:eastAsia="Arial" w:hAnsi="Arial"/>
                <w:b/>
                <w:bCs/>
                <w:sz w:val="22"/>
                <w:szCs w:val="22"/>
              </w:rPr>
              <w:t xml:space="preserve">LIT </w:t>
            </w:r>
            <w:r>
              <w:rPr>
                <w:rFonts w:ascii="Arial" w:cs="Arial" w:eastAsia="Arial" w:hAnsi="Arial"/>
                <w:sz w:val="22"/>
                <w:szCs w:val="22"/>
              </w:rPr>
              <w:t xml:space="preserve">Novel framing, well-supported logic. Not standard in the literature but accurately characterizes outcomes documented in historical and comparative political economy. Should be retained and developed.</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2.5 The Political Legitimacy Problem</w:t>
      </w:r>
    </w:p>
    <w:p>
      <w:pPr>
        <w:spacing w:before="0" w:after="160"/>
      </w:pPr>
      <w:r>
        <w:rPr>
          <w:rFonts w:ascii="Arial" w:cs="Arial" w:eastAsia="Arial" w:hAnsi="Arial"/>
          <w:sz w:val="22"/>
          <w:szCs w:val="22"/>
        </w:rPr>
        <w:t xml:space="preserve">The political legitimacy argument has been strengthened in two ways. First, the narrative paper now includes an explicit, if brief, mention of the Santiago Principles. The passage is carefully worded: the Trust Fund is described as "not a Sovereign Wealth fund governed under by the Santiago Principles. Even so, those Principles provided guidance and management form." This is progress. The first review recommended explicit citation; the Principles are now named. However, the framing is slightly ambiguous — the sentence structure implies the Principles are acknowledged as a reference framework while being deliberately not the governing instrument. This distinction is correct in substance (EU law requires the Trust to be constituted as an independent property trust, not a standard SWF), but the papers would benefit from one sentence clarifying that the Santiago Principles provide a recognized best-practice benchmark for governance transparency and political insulation, even though the formal legal structure differs.</w:t>
      </w:r>
    </w:p>
    <w:p>
      <w:pPr>
        <w:spacing w:before="0" w:after="160"/>
      </w:pPr>
      <w:r>
        <w:rPr>
          <w:rFonts w:ascii="Arial" w:cs="Arial" w:eastAsia="Arial" w:hAnsi="Arial"/>
          <w:sz w:val="22"/>
          <w:szCs w:val="22"/>
        </w:rPr>
        <w:t xml:space="preserve">Second, the narrative paper now explicitly mentions the OECD Two-Pillar Solution in the Treatment Plan section: "The OECD's Two-Pillar Solution for cross-national taxation could begin to address the problem of capital flight from equity dilution and remodeled corporate taxation, but the Treatment Plan acknowledged that more would be required to fully address capital flight." This is the most important single addition in this revision from the perspective of the first critique, which identified the Pillar Two gap as the most significant unaddressed analytical weakness. The authors have addressed it, and done so honestly by acknowledging that Pillar Two provides only partial coverage.</w:t>
      </w:r>
    </w:p>
    <w:p>
      <w:pPr>
        <w:spacing w:before="0" w:after="160"/>
      </w:pPr>
      <w:r>
        <w:rPr>
          <w:rFonts w:ascii="Arial" w:cs="Arial" w:eastAsia="Arial" w:hAnsi="Arial"/>
          <w:sz w:val="22"/>
          <w:szCs w:val="22"/>
        </w:rPr>
        <w:t xml:space="preserve">Esping-Andersen [7] and Pierson [8, 9] remain in the reading list but are still not integrated into the political argument beyond their presence in the bibliography. The transitional political economy — which coalitions support the Trust Fund, how dilution is made binding, and how the architecture survives multiple election cycles — remains underdeveloped in the 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0" w:after="0"/>
            </w:pPr>
            <w:r>
              <w:rPr>
                <w:rFonts w:ascii="Arial" w:cs="Arial" w:eastAsia="Arial" w:hAnsi="Arial"/>
                <w:b/>
                <w:bCs/>
                <w:sz w:val="22"/>
                <w:szCs w:val="22"/>
              </w:rPr>
              <w:t xml:space="preserve">LIT </w:t>
            </w:r>
            <w:r>
              <w:rPr>
                <w:rFonts w:ascii="Arial" w:cs="Arial" w:eastAsia="Arial" w:hAnsi="Arial"/>
                <w:sz w:val="22"/>
                <w:szCs w:val="22"/>
              </w:rPr>
              <w:t xml:space="preserve">Well-motivated and improved. The Santiago Principles are now named; the Pillar Two solution is acknowledged; Esping-Andersen and Pierson remain. The governance insulation specification is still incomplete at the level of board appointment mechanics. The transitional political economy of the reform coalition is the most persistent remaining gap in the legitimacy argument.</w:t>
            </w:r>
          </w:p>
        </w:tc>
      </w:tr>
    </w:tbl>
    <w:p>
      <w:pPr>
        <w:spacing w:before="0" w:after="80"/>
      </w:pPr>
      <w:r>
        <w:t xml:space="preserve"/>
      </w:r>
    </w:p>
    <w:p>
      <w:pPr>
        <w:pStyle w:val="Heading1"/>
        <w:spacing w:before="360" w:after="120"/>
      </w:pPr>
      <w:r>
        <w:rPr>
          <w:rFonts w:ascii="Arial" w:cs="Arial" w:eastAsia="Arial" w:hAnsi="Arial"/>
          <w:b/>
          <w:bCs/>
          <w:color w:val="1F3864"/>
          <w:sz w:val="28"/>
          <w:szCs w:val="28"/>
        </w:rPr>
        <w:t xml:space="preserve">3. Main Movements of the Storyline</w:t>
      </w:r>
    </w:p>
    <w:p>
      <w:pPr>
        <w:spacing w:before="0" w:after="160"/>
      </w:pPr>
      <w:r>
        <w:rPr>
          <w:rFonts w:ascii="Arial" w:cs="Arial" w:eastAsia="Arial" w:hAnsi="Arial"/>
          <w:sz w:val="22"/>
          <w:szCs w:val="22"/>
        </w:rPr>
        <w:t xml:space="preserve">The narrative paper's storyline unfolds through five sequential movements. The table below summarizes each movement and assesses its internal logic and literature support in the current version.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2400"/>
        <w:gridCol w:w="2460"/>
      </w:tblGrid>
      <w:tr>
        <w:tc>
          <w:tcPr>
            <w:tcW w:type="dxa" w:w="2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Movement</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Internal Logic</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Literature Support</w:t>
            </w:r>
          </w:p>
        </w:tc>
        <w:tc>
          <w:tcPr>
            <w:tcW w:type="dxa" w:w="2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Summary</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First Wave: AI becomes a commodity input; information work compresses; productivity rises; wage share begins to slide.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Strong. The task-substitution sequence now supported by Budget Lab Yale [4] and Melina &amp; Villa [3] in addition to prior citations.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Strong — Acemoglu &amp; Restrepo [1]; IMF SDN/2024/001 [2]; Melina &amp; Villa [3]; Budget Lab at Yale [4]; Abel et al. [5]; Barr [6].</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Reinforced. New 2025 empirical entries add timeliness. S-curve parameterization allows users to test speed assumptions.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Second Wave: Hiring becomes an irreversible decision; households substitute debt for income; revolving credit expands in the middle.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Strong. Debt-substitution mechanism is the papers' most analytically precise contribution. 95th-percentile debt-service framing is original and correct.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Strong — Mian &amp; Sufi [27–30]; Fisher [31]; Bounader &amp; Elekdag [18].</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Unchanged. The best-supported causal chain in either paper.</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Recognition Moment: Credit tightens; economy becomes demand-constrained even as capacity grows; the loop breaks.</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Strong. The bank risk officer's line is analytically precise and pedagogically effective. Now reinforced by Melina &amp; Villa on natural-rate compression.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Moderate to strong — AI demand-constraint nexus is newer but grounded in multiple channels.</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Improved by the addition of a formal monetary-economics pathway via [3].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National Stories: China, USA, and Europe face the same storm with different institutional hulls; France acts first.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The France narrative (Saint-Guillaume, Declaration, Health and Wealth) is the strongest element. China-Taiwan section remains the most speculative. US AI-as-policy-communicator argument is plausible and original.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Mixed. Institutional analysis is qualitatively sound. China-Taiwan scenario involves genuinely unpredictable geopolitical variables.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Largely unchanged. The lifecycle/duration-matching passage on the Trust Fund is a useful new addition to the France section.</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La Nouvelle Boucle: France implements the four-part architecture; over 20 years the transition holds; capitalism is preserved and strengthened.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Coherent as a scenario conclusion. The dividend-exemption payoff passage is a strong new narrative addition that makes the Trust Fund's economic success visible.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Moderate. Individual instruments well-supported; interaction effects and political durability over 20 years necessarily speculative but quantitatively illustrated.</w:t>
            </w:r>
          </w:p>
        </w:tc>
        <w:tc>
          <w:tcPr>
            <w:tcW w:type="dxa" w:w="2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The closing outcome section has been improved. The non-confiscatory result is now more prominently stated.</w:t>
            </w:r>
          </w:p>
        </w:tc>
      </w:tr>
    </w:tbl>
    <w:p>
      <w:pPr>
        <w:spacing w:before="0" w:after="80"/>
      </w:pPr>
      <w:r>
        <w:t xml:space="preserve"/>
      </w:r>
    </w:p>
    <w:p>
      <w:pPr>
        <w:spacing w:before="0" w:after="160"/>
      </w:pPr>
      <w:r>
        <w:rPr>
          <w:rFonts w:ascii="Arial" w:cs="Arial" w:eastAsia="Arial" w:hAnsi="Arial"/>
          <w:sz w:val="22"/>
          <w:szCs w:val="22"/>
        </w:rPr>
        <w:t xml:space="preserve">The most important structural improvement to the storyline is the Trust Fund lifecycle passage, which addresses an implicit challenge to the narrative's social contract argument: the Trust Fund is not merely a macroeconomic stabilizer but a national endowment that serves citizens across the full arc of their financial lives. This is a genuine conceptual addition that also opens a connection to the Meade tradition [16, 17] now present in the reading list.</w:t>
      </w:r>
    </w:p>
    <w:p>
      <w:pPr>
        <w:spacing w:before="0" w:after="160"/>
      </w:pPr>
      <w:r>
        <w:rPr>
          <w:rFonts w:ascii="Arial" w:cs="Arial" w:eastAsia="Arial" w:hAnsi="Arial"/>
          <w:sz w:val="22"/>
          <w:szCs w:val="22"/>
        </w:rPr>
        <w:t xml:space="preserve">The feedback from successful ownership broadening back to demand stability — identified as an implicit gap in the first review — is still not narrated explicitly. The simulator output (real consumption rising after approximately fifty quarters) demonstrates this dynamic quantitatively, but the narrative paper does not describe the transitional arc in text. One paragraph in the concluding section connecting the Trust Fund's income growth to the observed consumption recovery would close this gap.</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4. Policy Architecture: Detailed Assessment</w:t>
      </w:r>
    </w:p>
    <w:p>
      <w:pPr>
        <w:spacing w:before="0" w:after="160"/>
      </w:pPr>
      <w:r>
        <w:rPr>
          <w:rFonts w:ascii="Arial" w:cs="Arial" w:eastAsia="Arial" w:hAnsi="Arial"/>
          <w:sz w:val="22"/>
          <w:szCs w:val="22"/>
        </w:rPr>
        <w:t xml:space="preserve">The policy paper continues to present each instrument in a structured format answering three questions: what problem it addresses, how it operates, and why it helps stabilize the transition. The non-redundancy of the instruments — each addressing a distinct failure channel — remains the architecture's most important property.</w:t>
      </w:r>
    </w:p>
    <w:p>
      <w:pPr>
        <w:pStyle w:val="Heading2"/>
        <w:spacing w:before="240" w:after="80"/>
      </w:pPr>
      <w:r>
        <w:rPr>
          <w:rFonts w:ascii="Arial" w:cs="Arial" w:eastAsia="Arial" w:hAnsi="Arial"/>
          <w:b/>
          <w:bCs/>
          <w:color w:val="2E75B6"/>
          <w:sz w:val="24"/>
          <w:szCs w:val="24"/>
        </w:rPr>
        <w:t xml:space="preserve">4.1 Public Trust Fund (Equity Broadening)</w:t>
      </w:r>
    </w:p>
    <w:p>
      <w:pPr>
        <w:spacing w:before="0" w:after="160"/>
      </w:pPr>
      <w:r>
        <w:rPr>
          <w:rFonts w:ascii="Arial" w:cs="Arial" w:eastAsia="Arial" w:hAnsi="Arial"/>
          <w:sz w:val="22"/>
          <w:szCs w:val="22"/>
        </w:rPr>
        <w:t xml:space="preserve">The Trust Fund section has not changed substantially in mechanical terms from the previous version, but the narrative paper has added important conceptual content around it. The CEO/CFO/portfolio manager dialogue sequence is now more elaborated and presents a three-stage acceptance logic: the CEO frames dilution as demand-preservation ("we can build capacity faster than the economy can absorb it"); the CFO frames it as a priceable cost of doing business; and the portfolio manager identifies the social-legitimacy gap as the real tail risk. This sequence is analytically sound and represents one of the more effective pieces of new narrative writing in the revision.</w:t>
      </w:r>
    </w:p>
    <w:p>
      <w:pPr>
        <w:spacing w:before="0" w:after="160"/>
      </w:pPr>
      <w:r>
        <w:rPr>
          <w:rFonts w:ascii="Arial" w:cs="Arial" w:eastAsia="Arial" w:hAnsi="Arial"/>
          <w:sz w:val="22"/>
          <w:szCs w:val="22"/>
        </w:rPr>
        <w:t xml:space="preserve">The Santiago Principles are now cited by name in the narrative. The formulation — that the fund should not be governed under the Santiago Principles as a Sovereign Wealth Fund, but that those Principles nonetheless provide guidance and management form — is institutionally accurate. EU law indeed requires a different constitutional structure. However, the papers still do not specify who appoints the Trust's board, what the legal insulation mechanisms are in French constitutional terms, or how the two-percent annual dilution is made binding on successor governments. These are the questions a policy practitioner will ask immediately.</w:t>
      </w:r>
    </w:p>
    <w:p>
      <w:pPr>
        <w:spacing w:before="0" w:after="160"/>
      </w:pPr>
      <w:r>
        <w:rPr>
          <w:rFonts w:ascii="Arial" w:cs="Arial" w:eastAsia="Arial" w:hAnsi="Arial"/>
          <w:sz w:val="22"/>
          <w:szCs w:val="22"/>
        </w:rPr>
        <w:t xml:space="preserve">The addition of James Meade [16] and Van Trier [17] to the reading list directly addresses the first review's recommendation to cite the intellectual antecedents of the Trust Fund proposal. Meade's "social dividend" and his argument for a property-owning democracy as the institutional foundation of welfare capitalism are the closest precursor to the New Loop's Trust Fund design in the academic literature. Their inclusion substantially improves the papers' scholarly positioning and provides a response to the recommendation to cite Atkinson (2015) — Atkinson's Social Wealth Fund proposal was itself a development of Meade's work, and citing Meade directly is arguably more foundational.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Goal: strongly supported and now quantitatively demonstrated and intellectually better grounded through Meade [16] and Van Trier [17]. Capitalization mechanics: well specified. Santiago Principles: now named, correctly distinguished from the EU law structure. Governance insulation: acknowledged but still incompletely specified — board appointment mechanics and binding-dilution enforcement remain unaddressed. The CEO/CFO/portfolio manager acceptance-logic sequence is among the most effective new writing in the revision.</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4.2 Universal Basic Income (Household Cash Flow)</w:t>
      </w:r>
    </w:p>
    <w:p>
      <w:pPr>
        <w:spacing w:before="0" w:after="160"/>
      </w:pPr>
      <w:r>
        <w:rPr>
          <w:rFonts w:ascii="Arial" w:cs="Arial" w:eastAsia="Arial" w:hAnsi="Arial"/>
          <w:sz w:val="22"/>
          <w:szCs w:val="22"/>
        </w:rPr>
        <w:t xml:space="preserve">The UBI section has three significant additions in this version. First, Browne and Immervoll [15] — the OECD's systematic analysis of the mechanics of replacing benefit systems with a basic income — is now in the reading list. This entry directly addresses the operational design question of how UBI interacts with existing transfer systems and provides comparative evidence on implementation challenges. Its absence was not flagged in the first review, but its inclusion is appropriate and improves the section's institutional grounding.</w:t>
      </w:r>
    </w:p>
    <w:p>
      <w:pPr>
        <w:spacing w:before="0" w:after="160"/>
      </w:pPr>
      <w:r>
        <w:rPr>
          <w:rFonts w:ascii="Arial" w:cs="Arial" w:eastAsia="Arial" w:hAnsi="Arial"/>
          <w:sz w:val="22"/>
          <w:szCs w:val="22"/>
        </w:rPr>
        <w:t xml:space="preserve">Second, Meade [16] provides intellectual lineage for the combination of a UBI ("social dividend") with broad capital ownership, the core of the New Loop's design. The policy paper's "Further Reading" section makes this connection explicit: "James Meade, writing on the unequal ownership of property and the need for a property-owning democracy, argued over many years for institutional arrangements that would spread claims on capital income more widely, including through a social dividend." This is exactly the right framing.</w:t>
      </w:r>
    </w:p>
    <w:p>
      <w:pPr>
        <w:spacing w:before="0" w:after="160"/>
      </w:pPr>
      <w:r>
        <w:rPr>
          <w:rFonts w:ascii="Arial" w:cs="Arial" w:eastAsia="Arial" w:hAnsi="Arial"/>
          <w:sz w:val="22"/>
          <w:szCs w:val="22"/>
        </w:rPr>
        <w:t xml:space="preserve">Third, the narrative paper now specifies the UBI funding mix more concretely: "some share can be financed by monetary issuance; then trust balance contributes; then government balance contributes; with further issuance as the final backstop." The policy paper retains the explicit funding hierarchy (Section 2.3).</w:t>
      </w:r>
    </w:p>
    <w:p>
      <w:pPr>
        <w:spacing w:before="0" w:after="160"/>
      </w:pPr>
      <w:r>
        <w:rPr>
          <w:rFonts w:ascii="Arial" w:cs="Arial" w:eastAsia="Arial" w:hAnsi="Arial"/>
          <w:sz w:val="22"/>
          <w:szCs w:val="22"/>
        </w:rPr>
        <w:t xml:space="preserve">The UBI labor-supply objection remains unaddressed in the argument text. Jones and Marinescu [13] and Vivalt et al. [14] are still in the reading list but not integrated into the policy discussion. This is the most persistent unaddressed recommendation from the first review. The rebuttal is straightforward and should be stated explicitly: in an economy of contracting labor demand, a modest reduction in labor supply is a feature, not a bug. The authors' own automation premise provides the argument; the evidence in [13] and [14] supports it. One paragraph would close this gap.</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Design is sophisticated and the funding hierarchy is clearly specified. The addition of Meade [16], Van Trier [17], and Browne &amp; Immervoll [15] substantially improves the intellectual grounding. The ratchet rationale is correctly framed as policy commitment. The labor-supply objection should still be addressed explicitly using [13] and [14]; their presence in the reading list without integration into the argument leaves a gap that an informed critic will exploit.</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4.3 VAT with Low-Income Credit (Fiscal Base Redesign)</w:t>
      </w:r>
    </w:p>
    <w:p>
      <w:pPr>
        <w:spacing w:before="0" w:after="160"/>
      </w:pPr>
      <w:r>
        <w:rPr>
          <w:rFonts w:ascii="Arial" w:cs="Arial" w:eastAsia="Arial" w:hAnsi="Arial"/>
          <w:sz w:val="22"/>
          <w:szCs w:val="22"/>
        </w:rPr>
        <w:t xml:space="preserve">The first review's recommendation to add a VAT rate anchor to the narrative paper has been directly addressed. The narrative now states: "The value-added tax would be substantial, on the order of 15% to 20%." This is both responsive and appropriate — it anchors the proposal in the range characteristic of successful VAT-funded welfare states in Europe while remaining a narrative statement rather than a false-precision parameter.</w:t>
      </w:r>
    </w:p>
    <w:p>
      <w:pPr>
        <w:spacing w:before="0" w:after="160"/>
      </w:pPr>
      <w:r>
        <w:rPr>
          <w:rFonts w:ascii="Arial" w:cs="Arial" w:eastAsia="Arial" w:hAnsi="Arial"/>
          <w:sz w:val="22"/>
          <w:szCs w:val="22"/>
        </w:rPr>
        <w:t xml:space="preserve">The income threshold for the credit phaseout is still not specified in the narrative. This is a lesser concern than the rate: the phaseout threshold is more properly a model parameter than a narrative design choice, and the simulator presumably allows users to test it. But one brief sentence — for instance, noting that the credit phases out at approximately median household income — would complete the specification.</w:t>
      </w:r>
    </w:p>
    <w:p>
      <w:pPr>
        <w:spacing w:before="0" w:after="160"/>
      </w:pPr>
      <w:r>
        <w:rPr>
          <w:rFonts w:ascii="Arial" w:cs="Arial" w:eastAsia="Arial" w:hAnsi="Arial"/>
          <w:sz w:val="22"/>
          <w:szCs w:val="22"/>
        </w:rPr>
        <w:t xml:space="preserve">The policy paper's guaranteed-credit framing — "compensation for regressivity is not optional once the tax exists. It is part of the tax design itself" — is unchanged and remains correct. The three-tax architecture (VAT plus simplified income tax plus corporate tax) is now made more visible by the addition of an explicit Income Tax Design section (Section 4 of the policy paper), which was absent in the previous version.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Strongest literature support of any instrument in the package. Rate anchor has been added, responding directly to the first review. The guaranteed-credit framing remains correct. Credit phaseout threshold calibration is the one remaining specific gap. The new Income Tax Design section makes the three-tax architecture more legible.</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4.4 Automation-Responsive Corporate Tax</w:t>
      </w:r>
    </w:p>
    <w:p>
      <w:pPr>
        <w:spacing w:before="0" w:after="160"/>
      </w:pPr>
      <w:r>
        <w:rPr>
          <w:rFonts w:ascii="Arial" w:cs="Arial" w:eastAsia="Arial" w:hAnsi="Arial"/>
          <w:sz w:val="22"/>
          <w:szCs w:val="22"/>
        </w:rPr>
        <w:t xml:space="preserve">The Pillar Two gap — identified in the first review as the most significant unaddressed analytical weakness — has been explicitly acknowledged in the narrative paper. The Treatment Plan section now states that "the OECD's Two-Pillar Solution for cross-national taxation could begin to address the problem of capital flight from equity dilution and remodeled corporate taxation, but the Treatment Plan acknowledged that more would be required to fully address capital flight." This is the right level of intellectual honesty: Pillar Two is a live international policy reality (operative since 2024), it is the natural scaffold for coordinating the automation-responsive rate, and its partial coverage is acknowledged rather than overstated.</w:t>
      </w:r>
    </w:p>
    <w:p>
      <w:pPr>
        <w:spacing w:before="0" w:after="160"/>
      </w:pPr>
      <w:r>
        <w:rPr>
          <w:rFonts w:ascii="Arial" w:cs="Arial" w:eastAsia="Arial" w:hAnsi="Arial"/>
          <w:sz w:val="22"/>
          <w:szCs w:val="22"/>
        </w:rPr>
        <w:t xml:space="preserve">The clamped adjustment range and the dividend-flow incentive (distributed profits not taxed at the corporate level, creating systematic pressure toward payout that reinforces the Trust Fund's revenue channel) are unchanged from the previous version. These remain the most sophisticated design features in the architecture and are clearly stated in both papers.</w:t>
      </w:r>
    </w:p>
    <w:p>
      <w:pPr>
        <w:spacing w:before="0" w:after="160"/>
      </w:pPr>
      <w:r>
        <w:rPr>
          <w:rFonts w:ascii="Arial" w:cs="Arial" w:eastAsia="Arial" w:hAnsi="Arial"/>
          <w:sz w:val="22"/>
          <w:szCs w:val="22"/>
        </w:rPr>
        <w:t xml:space="preserve">However, the first review's recommendation to "state the dividend-flow interaction explicitly" in the narrative paper has only been partially addressed. The narrative describes the dividend exemption and its incentive logic in the Treatment Plan section, and the outcome section notes that "the decision not to tax distributed dividends at the corporate level proved especially important." But the specific interaction between the dividend exemption and the Trust Fund's dividend revenue stream — the two instruments' mutual reinforcement — is still not made explicit in a single, clearly labeled passage. This is the architecture's most sophisticated design feature and currently requires readers to connect the passages themselves.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Conceptually original and mechanically well-specified. The Pillar Two acknowledgment directly addresses the most important gap from the first review, and does so with appropriate intellectual honesty about the limits of current international coordination. The dividend-flow incentive is present in the narrative but the mutual-reinforcement logic between the corporate tax's dividend exemption and the Trust Fund's dividend income should be stated more explicitly in a single passage.</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4.5 Mortgage Indexation with Lender Neutralization</w:t>
      </w:r>
    </w:p>
    <w:p>
      <w:pPr>
        <w:spacing w:before="0" w:after="160"/>
      </w:pPr>
      <w:r>
        <w:rPr>
          <w:rFonts w:ascii="Arial" w:cs="Arial" w:eastAsia="Arial" w:hAnsi="Arial"/>
          <w:sz w:val="22"/>
          <w:szCs w:val="22"/>
        </w:rPr>
        <w:t xml:space="preserve">This section remains the policy paper's most technically detailed and analytically strongest contribution. It is unchanged in substance. The hybrid index construction, the seven-sub-section structure, the payment rule, the neutralization funding mechanics, and the accounting treatment are all as before.</w:t>
      </w:r>
    </w:p>
    <w:p>
      <w:pPr>
        <w:spacing w:before="0" w:after="160"/>
      </w:pPr>
      <w:r>
        <w:rPr>
          <w:rFonts w:ascii="Arial" w:cs="Arial" w:eastAsia="Arial" w:hAnsi="Arial"/>
          <w:sz w:val="22"/>
          <w:szCs w:val="22"/>
        </w:rPr>
        <w:t xml:space="preserve">One small improvement is visible in the narrative's Treatment Plan section, which now presents the mechanism in clear, accessible language before the policy paper provides the technical detail. The renter asymmetry — flagged in the first review — continues to be addressed by noting that UBI at the proposed level would help renter households directly. The policy paper's brief statement that "rents might be 'sticky' and not contract much with deflation, but would be unlikely to rise and should eventually adjust" is a slightly hedged treatment of a genuine distributional concern, but it is at least acknowledged.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Analytically rigorous, technically detailed, and well-supported by the state-contingent mortgage literature. The lender-neutralization framing is politically important and clearly stated. The renter asymmetry is addressed. The hybrid index construction remains a specific institutional innovation with no direct precedent in the policy literature.</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4.6 Income Tax Design (New Explicit Section)</w:t>
      </w:r>
    </w:p>
    <w:p>
      <w:pPr>
        <w:spacing w:before="0" w:after="160"/>
      </w:pPr>
      <w:r>
        <w:rPr>
          <w:rFonts w:ascii="Arial" w:cs="Arial" w:eastAsia="Arial" w:hAnsi="Arial"/>
          <w:sz w:val="22"/>
          <w:szCs w:val="22"/>
        </w:rPr>
        <w:t xml:space="preserve">The explicit Income Tax Design section (Section 4 of the policy paper) is a structural improvement over the previous version, where income tax was discussed only implicitly. The section now specifies: income applies to market income including wages and dividends, but not to UBI; the threshold is defined relative to the income distribution rather than as a fixed nominal figure; and income above the threshold faces a flat marginal rate.</w:t>
      </w:r>
    </w:p>
    <w:p>
      <w:pPr>
        <w:spacing w:before="0" w:after="160"/>
      </w:pPr>
      <w:r>
        <w:rPr>
          <w:rFonts w:ascii="Arial" w:cs="Arial" w:eastAsia="Arial" w:hAnsi="Arial"/>
          <w:sz w:val="22"/>
          <w:szCs w:val="22"/>
        </w:rPr>
        <w:t xml:space="preserve">The design logic — simplicity and legibility as political virtues during a long transition — is well-stated. The relative-threshold approach (progressivity adjusts as the economy changes rather than eroding as inflation reduces the real value of a fixed nominal threshold) is technically superior to most simple flat-tax proposals and is noted correctly as providing "a minimal and transparent definition of fairness."</w:t>
      </w:r>
    </w:p>
    <w:p>
      <w:pPr>
        <w:spacing w:before="0" w:after="160"/>
      </w:pPr>
      <w:r>
        <w:rPr>
          <w:rFonts w:ascii="Arial" w:cs="Arial" w:eastAsia="Arial" w:hAnsi="Arial"/>
          <w:sz w:val="22"/>
          <w:szCs w:val="22"/>
        </w:rPr>
        <w:t xml:space="preserve">What the section still lacks is any discussion of the transition from the existing French income tax structure, which is considerably more complex than the proposed flat rate above a threshold. The narrative paper's Treatment Plan describes the new tax structure coherently, but neither paper addresses the political or administrative path from the current system to the simplified one. This is a design implementation gap that the transitional political economy literature — Pierson [8, 9] in particular — could address.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A welcome structural addition that makes the three-tax architecture explicit and legible. The relative-threshold design is technically sound. The transition path from France's existing income tax structure remains unaddressed and is a concrete gap in the implementation narrative.</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4.7 Government Surplus Recycling</w:t>
      </w:r>
    </w:p>
    <w:p>
      <w:pPr>
        <w:spacing w:before="0" w:after="160"/>
      </w:pPr>
      <w:r>
        <w:rPr>
          <w:rFonts w:ascii="Arial" w:cs="Arial" w:eastAsia="Arial" w:hAnsi="Arial"/>
          <w:sz w:val="22"/>
          <w:szCs w:val="22"/>
        </w:rPr>
        <w:t xml:space="preserve">Government surplus recycling (Section 6 of the policy paper) is unchanged from the previous version. It remains a technically sound and analytically important mechanism: in a stock-flow-consistent model, idle public balances represent a demand withdrawal from the circulation, and the surplus recycling mechanism closes the loop. Its rationale — preventing the public sector from becoming a passive sink for purchasing power — is clearly stated.</w:t>
      </w:r>
    </w:p>
    <w:p>
      <w:pPr>
        <w:spacing w:before="0" w:after="160"/>
      </w:pPr>
      <w:r>
        <w:rPr>
          <w:rFonts w:ascii="Arial" w:cs="Arial" w:eastAsia="Arial" w:hAnsi="Arial"/>
          <w:sz w:val="22"/>
          <w:szCs w:val="22"/>
        </w:rPr>
        <w:t xml:space="preserve">The first review recommended that this mechanism's motivation be stated more prominently in the narrative paper. In the current version, the narrative does not include a named discussion of surplus recycling as a distinct mechanism, though the general principle that "value must keep moving through the whole system" is stated in the Treatment Plan. The policy paper's Closing Perspective makes the full architecture explicit, including surplus recycling. This is adequate, though a brief mention in the narrative would improve completeness.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Sound addition that closes a stock-flow consistency gap. Rationale is clear in the policy paper. A brief mention in the narrative paper's Treatment Plan would complete the architecture's visibility for readers who do not proceed to the companion document.</w:t>
            </w:r>
          </w:p>
        </w:tc>
      </w:tr>
    </w:tbl>
    <w:p>
      <w:pPr>
        <w:spacing w:before="0" w:after="80"/>
      </w:pPr>
      <w:r>
        <w:t xml:space="preserve"/>
      </w:r>
    </w:p>
    <w:p>
      <w:pPr>
        <w:pStyle w:val="Heading1"/>
        <w:spacing w:before="360" w:after="120"/>
      </w:pPr>
      <w:r>
        <w:rPr>
          <w:rFonts w:ascii="Arial" w:cs="Arial" w:eastAsia="Arial" w:hAnsi="Arial"/>
          <w:b/>
          <w:bCs/>
          <w:color w:val="1F3864"/>
          <w:sz w:val="28"/>
          <w:szCs w:val="28"/>
        </w:rPr>
        <w:t xml:space="preserve">5. The Simulator: Assessment of the Quantitative Architecture</w:t>
      </w:r>
    </w:p>
    <w:p>
      <w:pPr>
        <w:pStyle w:val="Heading2"/>
        <w:spacing w:before="240" w:after="80"/>
      </w:pPr>
      <w:r>
        <w:rPr>
          <w:rFonts w:ascii="Arial" w:cs="Arial" w:eastAsia="Arial" w:hAnsi="Arial"/>
          <w:b/>
          <w:bCs/>
          <w:color w:val="2E75B6"/>
          <w:sz w:val="24"/>
          <w:szCs w:val="24"/>
        </w:rPr>
        <w:t xml:space="preserve">5.1 The Stock-Flow-Consistent Framework</w:t>
      </w:r>
    </w:p>
    <w:p>
      <w:pPr>
        <w:spacing w:before="0" w:after="160"/>
      </w:pPr>
      <w:r>
        <w:rPr>
          <w:rFonts w:ascii="Arial" w:cs="Arial" w:eastAsia="Arial" w:hAnsi="Arial"/>
          <w:sz w:val="22"/>
          <w:szCs w:val="22"/>
        </w:rPr>
        <w:t xml:space="preserve">The model's stock-flow-consistent framework is unchanged. The Levy Economics Institute papers [21, 22] remain in the reading list as methodological precedent. The 2025 Levy paper by Ruggeri, Pariboni, and Yajima [22] — on a stock-flow-consistent model of emulation, debt, and personal income inequality — is a notably recent addition that connects the SFC tradition to the distributional and household-balance-sheet concerns at the center of the New Loop's argument. Its presence in the literature review is appropriate and strengthens the methodological grounding.</w:t>
      </w:r>
    </w:p>
    <w:p>
      <w:pPr>
        <w:pStyle w:val="Heading2"/>
        <w:spacing w:before="240" w:after="80"/>
      </w:pPr>
      <w:r>
        <w:rPr>
          <w:rFonts w:ascii="Arial" w:cs="Arial" w:eastAsia="Arial" w:hAnsi="Arial"/>
          <w:b/>
          <w:bCs/>
          <w:color w:val="2E75B6"/>
          <w:sz w:val="24"/>
          <w:szCs w:val="24"/>
        </w:rPr>
        <w:t xml:space="preserve">5.2 Closed-Economy Acknowledgment</w:t>
      </w:r>
    </w:p>
    <w:p>
      <w:pPr>
        <w:spacing w:before="0" w:after="160"/>
      </w:pPr>
      <w:r>
        <w:rPr>
          <w:rFonts w:ascii="Arial" w:cs="Arial" w:eastAsia="Arial" w:hAnsi="Arial"/>
          <w:sz w:val="22"/>
          <w:szCs w:val="22"/>
        </w:rPr>
        <w:t xml:space="preserve">The first review's recommendation to acknowledge the closed-economy assumption has been directly addressed. The policy paper now states explicitly: "the New Loop simulation models a closed economy with no international trade component." This one-sentence acknowledgment is precisely what was needed. It is intellectually honest, it preempts a predictable methodological objection, and it correctly scopes the model's ability to speak to the international arbitrage concerns raised about the corporate tax.</w:t>
      </w:r>
    </w:p>
    <w:p>
      <w:pPr>
        <w:pStyle w:val="Heading2"/>
        <w:spacing w:before="240" w:after="80"/>
      </w:pPr>
      <w:r>
        <w:rPr>
          <w:rFonts w:ascii="Arial" w:cs="Arial" w:eastAsia="Arial" w:hAnsi="Arial"/>
          <w:b/>
          <w:bCs/>
          <w:color w:val="2E75B6"/>
          <w:sz w:val="24"/>
          <w:szCs w:val="24"/>
        </w:rPr>
        <w:t xml:space="preserve">5.3 Non-Confiscatory Result</w:t>
      </w:r>
    </w:p>
    <w:p>
      <w:pPr>
        <w:spacing w:before="0" w:after="160"/>
      </w:pPr>
      <w:r>
        <w:rPr>
          <w:rFonts w:ascii="Arial" w:cs="Arial" w:eastAsia="Arial" w:hAnsi="Arial"/>
          <w:sz w:val="22"/>
          <w:szCs w:val="22"/>
        </w:rPr>
        <w:t xml:space="preserve">The first review recommended that the non-confiscatory result be promoted more prominently in the narrative paper. The policy paper has responded to the spirit of this recommendation by bolding the finding in the Gini metrics section: "This outcome reveals a very important result that deserves to be emphasized: the proposed policies demonstrably do not play out as a socialist or confiscatory regime." The narrative paper's concluding section now includes the statement that "neither share dilution nor the wage-linked corporate tax became confiscatory" and that "households with great wealth did not lose much of that wealth." These additions are responsive and appropriate.</w:t>
      </w:r>
    </w:p>
    <w:p>
      <w:pPr>
        <w:pStyle w:val="Heading2"/>
        <w:spacing w:before="240" w:after="80"/>
      </w:pPr>
      <w:r>
        <w:rPr>
          <w:rFonts w:ascii="Arial" w:cs="Arial" w:eastAsia="Arial" w:hAnsi="Arial"/>
          <w:b/>
          <w:bCs/>
          <w:color w:val="2E75B6"/>
          <w:sz w:val="24"/>
          <w:szCs w:val="24"/>
        </w:rPr>
        <w:t xml:space="preserve">5.4 Model Limitations</w:t>
      </w:r>
    </w:p>
    <w:p>
      <w:pPr>
        <w:spacing w:before="0" w:after="160"/>
      </w:pPr>
      <w:r>
        <w:rPr>
          <w:rFonts w:ascii="Arial" w:cs="Arial" w:eastAsia="Arial" w:hAnsi="Arial"/>
          <w:sz w:val="22"/>
          <w:szCs w:val="22"/>
        </w:rPr>
        <w:t xml:space="preserve">The explicitly acknowledged limitations — no bonds, one Bank, generated rather than actual microdata, closed economy — are appropriate to state and the paper defends each briefly. The defense of the bond omission (that in a persistently deflationary environment much commercial debt would be renegotiated rather than defaulted, and that mortgage debt demonstrates the relevant policy logic) is reasonable.</w:t>
      </w:r>
    </w:p>
    <w:p>
      <w:pPr>
        <w:spacing w:before="0" w:after="160"/>
      </w:pPr>
      <w:r>
        <w:rPr>
          <w:rFonts w:ascii="Arial" w:cs="Arial" w:eastAsia="Arial" w:hAnsi="Arial"/>
          <w:sz w:val="22"/>
          <w:szCs w:val="22"/>
        </w:rPr>
        <w:t xml:space="preserve">The UBI labor-supply modeling gap identified in the first review remains unaddressed in the simulator. The model presumably treats labor supply as exogenous or fully determined by automation; the question of whether UBI modestly reduces labor participation and whether that is a desirable or undesirable feature in an automation transition is not tested. Given that [13] and [14] are in the reading list, this is a design extension worth noting explicitly.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B" w:val="clear"/>
            <w:tcMar>
              <w:top w:type="dxa" w:w="100"/>
              <w:left w:type="dxa" w:w="160"/>
              <w:bottom w:type="dxa" w:w="100"/>
              <w:right w:type="dxa" w:w="160"/>
            </w:tcMar>
          </w:tcPr>
          <w:p>
            <w:pPr>
              <w:spacing w:before="0" w:after="0"/>
            </w:pPr>
            <w:r>
              <w:rPr>
                <w:rFonts w:ascii="Arial" w:cs="Arial" w:eastAsia="Arial" w:hAnsi="Arial"/>
                <w:b/>
                <w:bCs/>
                <w:sz w:val="22"/>
                <w:szCs w:val="22"/>
              </w:rPr>
              <w:t xml:space="preserve">VERDICT </w:t>
            </w:r>
            <w:r>
              <w:rPr>
                <w:rFonts w:ascii="Arial" w:cs="Arial" w:eastAsia="Arial" w:hAnsi="Arial"/>
                <w:sz w:val="22"/>
                <w:szCs w:val="22"/>
              </w:rPr>
              <w:t xml:space="preserve">The simulator continues to be the papers' most important addition. The stock-flow-consistent framework has explicit academic precedent. The closed-economy assumption is now acknowledged. The non-confiscatory result is now prominently stated. The Ruggeri et al. [22] addition strengthens the methodological grounding. Labor-supply modeling remains absent and should be noted as a limitation alongside the others.</w:t>
            </w:r>
          </w:p>
        </w:tc>
      </w:tr>
    </w:tbl>
    <w:p>
      <w:pPr>
        <w:spacing w:before="0" w:after="80"/>
      </w:pPr>
      <w:r>
        <w:t xml:space="preserve"/>
      </w:r>
    </w:p>
    <w:p>
      <w:pPr>
        <w:pStyle w:val="Heading1"/>
        <w:spacing w:before="360" w:after="120"/>
      </w:pPr>
      <w:r>
        <w:rPr>
          <w:rFonts w:ascii="Arial" w:cs="Arial" w:eastAsia="Arial" w:hAnsi="Arial"/>
          <w:b/>
          <w:bCs/>
          <w:color w:val="1F3864"/>
          <w:sz w:val="28"/>
          <w:szCs w:val="28"/>
        </w:rPr>
        <w:t xml:space="preserve">6. Overall Flow and Quality of Argument</w:t>
      </w:r>
    </w:p>
    <w:p>
      <w:pPr>
        <w:pStyle w:val="Heading2"/>
        <w:spacing w:before="240" w:after="80"/>
      </w:pPr>
      <w:r>
        <w:rPr>
          <w:rFonts w:ascii="Arial" w:cs="Arial" w:eastAsia="Arial" w:hAnsi="Arial"/>
          <w:b/>
          <w:bCs/>
          <w:color w:val="2E75B6"/>
          <w:sz w:val="24"/>
          <w:szCs w:val="24"/>
        </w:rPr>
        <w:t xml:space="preserve">6.1 Structural Strengths</w:t>
      </w:r>
    </w:p>
    <w:p>
      <w:pPr>
        <w:spacing w:before="0" w:after="160"/>
      </w:pPr>
      <w:r>
        <w:rPr>
          <w:rFonts w:ascii="Arial" w:cs="Arial" w:eastAsia="Arial" w:hAnsi="Arial"/>
          <w:sz w:val="22"/>
          <w:szCs w:val="22"/>
        </w:rPr>
        <w:t xml:space="preserve">The reading list has been rebuilt rather than merely extended. The most notable additions are:</w:t>
      </w:r>
      <w:r>
        <w:rPr>
          <w:rFonts w:ascii="Arial" w:cs="Arial" w:eastAsia="Arial" w:hAnsi="Arial"/>
          <w:sz w:val="22"/>
          <w:szCs w:val="22"/>
        </w:rPr>
        <w:t xml:space="preserve"/>
      </w:r>
    </w:p>
    <w:p>
      <w:pPr>
        <w:spacing w:before="0" w:after="160"/>
      </w:pPr>
      <w:r>
        <w:rPr>
          <w:rFonts w:ascii="Arial" w:cs="Arial" w:eastAsia="Arial" w:hAnsi="Arial"/>
          <w:sz w:val="22"/>
          <w:szCs w:val="22"/>
        </w:rPr>
        <w:t xml:space="preserve">Melina and Villa [3] — the most analytically significant new entry, providing a formal monetary-economics pathway from AI capital deepening to natural-rate compression and deflationary pressure.</w:t>
      </w:r>
    </w:p>
    <w:p>
      <w:pPr>
        <w:spacing w:before="0" w:after="160"/>
      </w:pPr>
      <w:r>
        <w:rPr>
          <w:rFonts w:ascii="Arial" w:cs="Arial" w:eastAsia="Arial" w:hAnsi="Arial"/>
          <w:sz w:val="22"/>
          <w:szCs w:val="22"/>
        </w:rPr>
        <w:t xml:space="preserve">Meade [16] and Van Trier [17] — directly addressing the first review's recommendation to cite the intellectual antecedents of the Trust Fund proposal. Meade is the foundational academic source for the social-dividend/broad-ownership logic; Van Trier traces its intellectual history. Together they place the New Loop's Trust Fund in a well-established tradition.</w:t>
      </w:r>
    </w:p>
    <w:p>
      <w:pPr>
        <w:spacing w:before="0" w:after="160"/>
      </w:pPr>
      <w:r>
        <w:rPr>
          <w:rFonts w:ascii="Arial" w:cs="Arial" w:eastAsia="Arial" w:hAnsi="Arial"/>
          <w:sz w:val="22"/>
          <w:szCs w:val="22"/>
        </w:rPr>
        <w:t xml:space="preserve">Browne and Immervoll [15] — the OECD's systematic analysis of mechanics for replacing benefit systems with a basic income, directly relevant to the UBI design section and previously absent.</w:t>
      </w:r>
    </w:p>
    <w:p>
      <w:pPr>
        <w:spacing w:before="0" w:after="160"/>
      </w:pPr>
      <w:r>
        <w:rPr>
          <w:rFonts w:ascii="Arial" w:cs="Arial" w:eastAsia="Arial" w:hAnsi="Arial"/>
          <w:sz w:val="22"/>
          <w:szCs w:val="22"/>
        </w:rPr>
        <w:t xml:space="preserve">Alaska Permanent Fund entries [25, 26] — adding detailed historical documentation of the world's most relevant practical precedent for the Trust Fund and UBI combination.</w:t>
      </w:r>
    </w:p>
    <w:p>
      <w:pPr>
        <w:spacing w:before="0" w:after="160"/>
      </w:pPr>
      <w:r>
        <w:rPr>
          <w:rFonts w:ascii="Arial" w:cs="Arial" w:eastAsia="Arial" w:hAnsi="Arial"/>
          <w:sz w:val="22"/>
          <w:szCs w:val="22"/>
        </w:rPr>
        <w:t xml:space="preserve">Budget Lab at Yale [4] — current-state empirical grounding from October 2025, adding timeliness to the labor-market exposure evidence.</w:t>
      </w:r>
    </w:p>
    <w:p>
      <w:pPr>
        <w:spacing w:before="0" w:after="160"/>
      </w:pPr>
      <w:r>
        <w:rPr>
          <w:rFonts w:ascii="Arial" w:cs="Arial" w:eastAsia="Arial" w:hAnsi="Arial"/>
          <w:sz w:val="22"/>
          <w:szCs w:val="22"/>
        </w:rPr>
        <w:t xml:space="preserve">OECD Economic Outlook 2025 [19] — the investment outlook entry is appropriately recent and connects the papers' reinvestment argument to a major multilateral source.</w:t>
      </w:r>
    </w:p>
    <w:p>
      <w:pPr>
        <w:spacing w:before="0" w:after="160"/>
      </w:pPr>
      <w:r>
        <w:rPr>
          <w:rFonts w:ascii="Arial" w:cs="Arial" w:eastAsia="Arial" w:hAnsi="Arial"/>
          <w:sz w:val="22"/>
          <w:szCs w:val="22"/>
        </w:rPr>
        <w:t xml:space="preserve">The Pillar Two acknowledgment in the narrative is the revision's most important substantive addition. The first review identified this as the most significant analytical gap; it has now been addressed honestly and at the right level of specificity — neither overstating Pillar Two's coverage nor ignoring it.</w:t>
      </w:r>
    </w:p>
    <w:p>
      <w:pPr>
        <w:spacing w:before="0" w:after="160"/>
      </w:pPr>
      <w:r>
        <w:rPr>
          <w:rFonts w:ascii="Arial" w:cs="Arial" w:eastAsia="Arial" w:hAnsi="Arial"/>
          <w:sz w:val="22"/>
          <w:szCs w:val="22"/>
        </w:rPr>
        <w:t xml:space="preserve">The lifecycle/duration-matching passage on the Trust Fund strengthens the political legitimacy argument by showing that the Trust serves citizens across the full arc of their financial lives, not merely as a macroeconomic stabilizer. This is a genuinely useful conceptual addition.</w:t>
      </w:r>
    </w:p>
    <w:p>
      <w:pPr>
        <w:spacing w:before="0" w:after="160"/>
      </w:pPr>
      <w:r>
        <w:rPr>
          <w:rFonts w:ascii="Arial" w:cs="Arial" w:eastAsia="Arial" w:hAnsi="Arial"/>
          <w:sz w:val="22"/>
          <w:szCs w:val="22"/>
        </w:rPr>
        <w:t xml:space="preserve">The VAT rate anchor ("on the order of 15% to 20%") responds directly to a specific first-review recommendation and grounds the proposal in the range characteristic of successful European VAT systems.</w:t>
      </w:r>
    </w:p>
    <w:p>
      <w:pPr>
        <w:pStyle w:val="Heading2"/>
        <w:spacing w:before="240" w:after="80"/>
      </w:pPr>
      <w:r>
        <w:rPr>
          <w:rFonts w:ascii="Arial" w:cs="Arial" w:eastAsia="Arial" w:hAnsi="Arial"/>
          <w:b/>
          <w:bCs/>
          <w:color w:val="2E75B6"/>
          <w:sz w:val="24"/>
          <w:szCs w:val="24"/>
        </w:rPr>
        <w:t xml:space="preserve">6.2 Structural Weaknesses</w:t>
      </w:r>
    </w:p>
    <w:p>
      <w:pPr>
        <w:spacing w:before="0" w:after="160"/>
      </w:pPr>
      <w:r>
        <w:rPr>
          <w:rFonts w:ascii="Arial" w:cs="Arial" w:eastAsia="Arial" w:hAnsi="Arial"/>
          <w:sz w:val="22"/>
          <w:szCs w:val="22"/>
        </w:rPr>
        <w:t xml:space="preserve">UBI labor-supply effects remain unaddressed in the argument text. Jones and Marinescu [13] and Vivalt et al. [14] are in the reading list but not integrated. The rebuttal to the labor-supply objection is straightforward given the papers' own automation premise and should be stated explicitly. This is the single most persistent unaddressed recommendation from the first review.</w:t>
      </w:r>
    </w:p>
    <w:p>
      <w:pPr>
        <w:spacing w:before="0" w:after="160"/>
      </w:pPr>
      <w:r>
        <w:rPr>
          <w:rFonts w:ascii="Arial" w:cs="Arial" w:eastAsia="Arial" w:hAnsi="Arial"/>
          <w:sz w:val="22"/>
          <w:szCs w:val="22"/>
        </w:rPr>
        <w:t xml:space="preserve">Trust Fund governance specification remains incomplete. The Santiago Principles are now named, which is progress. But the papers still do not specify board appointment mechanics, legal insulation mechanisms beyond the EU law constraint, or how the two-percent annual dilution is made binding on successor governments. Cuervo-Cazurra et al. [23] and Avendaño and Santiso [24] provide relevant transparency benchmarks; the Alaska Permanent Fund entries [25, 26] provide a practical governance model. None of these is drawn upon in the argument text to specify the Trust's governance structure.</w:t>
      </w:r>
    </w:p>
    <w:p>
      <w:pPr>
        <w:spacing w:before="0" w:after="160"/>
      </w:pPr>
      <w:r>
        <w:rPr>
          <w:rFonts w:ascii="Arial" w:cs="Arial" w:eastAsia="Arial" w:hAnsi="Arial"/>
          <w:sz w:val="22"/>
          <w:szCs w:val="22"/>
        </w:rPr>
        <w:t xml:space="preserve">Transitional political economy remains underdeveloped. The papers acknowledge political resistance from corporations and wealthy stockholders, and from conservatives and progressives. But the reform coalitions, the institutional insulation mechanisms, and the specific path through French parliamentary politics are not described. Pierson's retrenchment framework [8, 9] is in the reading list; it should be integrated into the political argument rather than left as a footnote.</w:t>
      </w:r>
    </w:p>
    <w:p>
      <w:pPr>
        <w:spacing w:before="0" w:after="160"/>
      </w:pPr>
      <w:r>
        <w:rPr>
          <w:rFonts w:ascii="Arial" w:cs="Arial" w:eastAsia="Arial" w:hAnsi="Arial"/>
          <w:sz w:val="22"/>
          <w:szCs w:val="22"/>
        </w:rPr>
        <w:t xml:space="preserve">The dividend-flow interaction between the corporate tax exemption and the Trust Fund's income is the architecture's most sophisticated design feature and is still not stated as a unified argument in a single passage. The two instruments' mutual reinforcement — dividend exemption at the corporate level encourages payout; payout flows to the Trust Fund; Trust Fund income supports UBI — deserves explicit treatment, as its omission understates the architecture's coherence.</w:t>
      </w:r>
    </w:p>
    <w:p>
      <w:pPr>
        <w:spacing w:before="0" w:after="160"/>
      </w:pPr>
      <w:r>
        <w:rPr>
          <w:rFonts w:ascii="Arial" w:cs="Arial" w:eastAsia="Arial" w:hAnsi="Arial"/>
          <w:sz w:val="22"/>
          <w:szCs w:val="22"/>
        </w:rPr>
        <w:t xml:space="preserve">Income tax transition path from France's current structure is not addressed. The new Income Tax Design section specifies the target design clearly but says nothing about how France moves from its existing complex progressive system to the simplified flat-rate-above-threshold model. This is a concrete implementation gap.</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7. What Is Novel and Innovative</w:t>
      </w:r>
    </w:p>
    <w:p>
      <w:pPr>
        <w:spacing w:before="0" w:after="160"/>
      </w:pPr>
      <w:r>
        <w:rPr>
          <w:rFonts w:ascii="Arial" w:cs="Arial" w:eastAsia="Arial" w:hAnsi="Arial"/>
          <w:sz w:val="22"/>
          <w:szCs w:val="22"/>
        </w:rPr>
        <w:t xml:space="preserve">The revision consolidates and extends the innovations of the previous version. Several new contributions deserve specific recognition.</w:t>
      </w:r>
    </w:p>
    <w:p>
      <w:pPr>
        <w:pStyle w:val="Heading2"/>
        <w:spacing w:before="240" w:after="80"/>
      </w:pPr>
      <w:r>
        <w:rPr>
          <w:rFonts w:ascii="Arial" w:cs="Arial" w:eastAsia="Arial" w:hAnsi="Arial"/>
          <w:b/>
          <w:bCs/>
          <w:color w:val="2E75B6"/>
          <w:sz w:val="24"/>
          <w:szCs w:val="24"/>
        </w:rPr>
        <w:t xml:space="preserve">7.1 The Old Loop / New Loop Conceptual Frame</w:t>
      </w:r>
    </w:p>
    <w:p>
      <w:pPr>
        <w:spacing w:before="0" w:after="160"/>
      </w:pPr>
      <w:r>
        <w:rPr>
          <w:rFonts w:ascii="Arial" w:cs="Arial" w:eastAsia="Arial" w:hAnsi="Arial"/>
          <w:sz w:val="22"/>
          <w:szCs w:val="22"/>
        </w:rPr>
        <w:t xml:space="preserve">Unchanged from the previous version and still the papers' most important conceptual contribution. No comparable synthesis framing exists in the AI policy literature.</w:t>
      </w:r>
    </w:p>
    <w:p>
      <w:pPr>
        <w:pStyle w:val="Heading2"/>
        <w:spacing w:before="240" w:after="80"/>
      </w:pPr>
      <w:r>
        <w:rPr>
          <w:rFonts w:ascii="Arial" w:cs="Arial" w:eastAsia="Arial" w:hAnsi="Arial"/>
          <w:b/>
          <w:bCs/>
          <w:color w:val="2E75B6"/>
          <w:sz w:val="24"/>
          <w:szCs w:val="24"/>
        </w:rPr>
        <w:t xml:space="preserve">7.2 The Systems Architecture Approach with Quantitative Closure</w:t>
      </w:r>
    </w:p>
    <w:p>
      <w:pPr>
        <w:spacing w:before="0" w:after="160"/>
      </w:pPr>
      <w:r>
        <w:rPr>
          <w:rFonts w:ascii="Arial" w:cs="Arial" w:eastAsia="Arial" w:hAnsi="Arial"/>
          <w:sz w:val="22"/>
          <w:szCs w:val="22"/>
        </w:rPr>
        <w:t xml:space="preserve">Unchanged. The stock-flow-consistent model provides quantitative closure for the non-redundancy claim. The new Ruggeri et al. [22] addition connects this approach to the most recent developments in SFC macroeconomic modeling of distributional dynamics.</w:t>
      </w:r>
    </w:p>
    <w:p>
      <w:pPr>
        <w:pStyle w:val="Heading2"/>
        <w:spacing w:before="240" w:after="80"/>
      </w:pPr>
      <w:r>
        <w:rPr>
          <w:rFonts w:ascii="Arial" w:cs="Arial" w:eastAsia="Arial" w:hAnsi="Arial"/>
          <w:b/>
          <w:bCs/>
          <w:color w:val="2E75B6"/>
          <w:sz w:val="24"/>
          <w:szCs w:val="24"/>
        </w:rPr>
        <w:t xml:space="preserve">7.3 Placement in the Meade-Atkinson Tradition</w:t>
      </w:r>
    </w:p>
    <w:p>
      <w:pPr>
        <w:spacing w:before="0" w:after="160"/>
      </w:pPr>
      <w:r>
        <w:rPr>
          <w:rFonts w:ascii="Arial" w:cs="Arial" w:eastAsia="Arial" w:hAnsi="Arial"/>
          <w:sz w:val="22"/>
          <w:szCs w:val="22"/>
        </w:rPr>
        <w:t xml:space="preserve">The addition of Meade [16] and Van Trier [17] is a new scholarly contribution in this revision. By explicitly locating the New Loop Trust Fund in the Meade social-dividend tradition — and by quoting the "Further Reading" section's framing that the New Loop "belongs to that broad family of ideas, but does not replicate any close antecedent" — the papers achieve a precise intellectual positioning. The distinctive feature identified is the integration of the ownership logic into a rule-based macroeconomic architecture designed for the automation transition specifically. This is accurate and analytically important.</w:t>
      </w:r>
    </w:p>
    <w:p>
      <w:pPr>
        <w:pStyle w:val="Heading2"/>
        <w:spacing w:before="240" w:after="80"/>
      </w:pPr>
      <w:r>
        <w:rPr>
          <w:rFonts w:ascii="Arial" w:cs="Arial" w:eastAsia="Arial" w:hAnsi="Arial"/>
          <w:b/>
          <w:bCs/>
          <w:color w:val="2E75B6"/>
          <w:sz w:val="24"/>
          <w:szCs w:val="24"/>
        </w:rPr>
        <w:t xml:space="preserve">7.4 The UBI Funding Hierarchy</w:t>
      </w:r>
    </w:p>
    <w:p>
      <w:pPr>
        <w:spacing w:before="0" w:after="160"/>
      </w:pPr>
      <w:r>
        <w:rPr>
          <w:rFonts w:ascii="Arial" w:cs="Arial" w:eastAsia="Arial" w:hAnsi="Arial"/>
          <w:sz w:val="22"/>
          <w:szCs w:val="22"/>
        </w:rPr>
        <w:t xml:space="preserve">Unchanged from the previous version. The explicit layered hierarchy — monetary issuance first, then Trust Fund distributions, then government balances, then additional issuance as residual backstop — remains a specific institutional design that does not appear in comparable form in the UBI literature, including in Browne and Immervoll [15].</w:t>
      </w:r>
    </w:p>
    <w:p>
      <w:pPr>
        <w:pStyle w:val="Heading2"/>
        <w:spacing w:before="240" w:after="80"/>
      </w:pPr>
      <w:r>
        <w:rPr>
          <w:rFonts w:ascii="Arial" w:cs="Arial" w:eastAsia="Arial" w:hAnsi="Arial"/>
          <w:b/>
          <w:bCs/>
          <w:color w:val="2E75B6"/>
          <w:sz w:val="24"/>
          <w:szCs w:val="24"/>
        </w:rPr>
        <w:t xml:space="preserve">7.5 The Non-Decreasing UBI Ratchet as Policy Commitment</w:t>
      </w:r>
    </w:p>
    <w:p>
      <w:pPr>
        <w:spacing w:before="0" w:after="160"/>
      </w:pPr>
      <w:r>
        <w:rPr>
          <w:rFonts w:ascii="Arial" w:cs="Arial" w:eastAsia="Arial" w:hAnsi="Arial"/>
          <w:sz w:val="22"/>
          <w:szCs w:val="22"/>
        </w:rPr>
        <w:t xml:space="preserve">Unchanged. The framing of the ratchet as representing policy commitment rather than generosity connects directly to Pierson's retrenchment politics literature [8, 9]. This connection is now slightly more visible because Pierson is in the reading list, though it is still not stated explicitly in the argument.</w:t>
      </w:r>
    </w:p>
    <w:p>
      <w:pPr>
        <w:pStyle w:val="Heading2"/>
        <w:spacing w:before="240" w:after="80"/>
      </w:pPr>
      <w:r>
        <w:rPr>
          <w:rFonts w:ascii="Arial" w:cs="Arial" w:eastAsia="Arial" w:hAnsi="Arial"/>
          <w:b/>
          <w:bCs/>
          <w:color w:val="2E75B6"/>
          <w:sz w:val="24"/>
          <w:szCs w:val="24"/>
        </w:rPr>
        <w:t xml:space="preserve">7.6 Government Surplus Recycling as Systemic Anti-Drain</w:t>
      </w:r>
    </w:p>
    <w:p>
      <w:pPr>
        <w:spacing w:before="0" w:after="160"/>
      </w:pPr>
      <w:r>
        <w:rPr>
          <w:rFonts w:ascii="Arial" w:cs="Arial" w:eastAsia="Arial" w:hAnsi="Arial"/>
          <w:sz w:val="22"/>
          <w:szCs w:val="22"/>
        </w:rPr>
        <w:t xml:space="preserve">Unchanged. A small but analytically important contribution. Its motivation should be made more prominent in the narrative paper.</w:t>
      </w:r>
    </w:p>
    <w:p>
      <w:pPr>
        <w:pStyle w:val="Heading2"/>
        <w:spacing w:before="240" w:after="80"/>
      </w:pPr>
      <w:r>
        <w:rPr>
          <w:rFonts w:ascii="Arial" w:cs="Arial" w:eastAsia="Arial" w:hAnsi="Arial"/>
          <w:b/>
          <w:bCs/>
          <w:color w:val="2E75B6"/>
          <w:sz w:val="24"/>
          <w:szCs w:val="24"/>
        </w:rPr>
        <w:t xml:space="preserve">7.7 Mortgage Indexation with Hybrid Index and Lender Neutralization</w:t>
      </w:r>
    </w:p>
    <w:p>
      <w:pPr>
        <w:spacing w:before="0" w:after="160"/>
      </w:pPr>
      <w:r>
        <w:rPr>
          <w:rFonts w:ascii="Arial" w:cs="Arial" w:eastAsia="Arial" w:hAnsi="Arial"/>
          <w:sz w:val="22"/>
          <w:szCs w:val="22"/>
        </w:rPr>
        <w:t xml:space="preserve">Unchanged and still one of the papers' most original contributions. The transmission pathway from AI to deflation to rising real debt burden to household insolvency to credit contraction to demand collapse remains absent from the AI economics literature even though each link is individually documented.</w:t>
      </w:r>
    </w:p>
    <w:p>
      <w:pPr>
        <w:pStyle w:val="Heading2"/>
        <w:spacing w:before="240" w:after="80"/>
      </w:pPr>
      <w:r>
        <w:rPr>
          <w:rFonts w:ascii="Arial" w:cs="Arial" w:eastAsia="Arial" w:hAnsi="Arial"/>
          <w:b/>
          <w:bCs/>
          <w:color w:val="2E75B6"/>
          <w:sz w:val="24"/>
          <w:szCs w:val="24"/>
        </w:rPr>
        <w:t xml:space="preserve">7.8 Trust Fund Lifecycle and Duration-Matching Function</w:t>
      </w:r>
    </w:p>
    <w:p>
      <w:pPr>
        <w:spacing w:before="0" w:after="160"/>
      </w:pPr>
      <w:r>
        <w:rPr>
          <w:rFonts w:ascii="Arial" w:cs="Arial" w:eastAsia="Arial" w:hAnsi="Arial"/>
          <w:sz w:val="22"/>
          <w:szCs w:val="22"/>
        </w:rPr>
        <w:t xml:space="preserve">New in this version. The passage in the narrative paper explaining that the Trust Fund addresses the duration-matching requirements of citizens' income needs across normal human lifecycles — that people are born without assets, face large financial demands when young, and rely on Social Security in old age — is a genuinely new conceptual contribution. It argues that the Trust Fund is not merely a macroeconomic stabilizer but a national endowment with a perpetual horizon that solves a lifecycle problem the existing Social Security architecture cannot address under automation. This framing is persuasive and original.</w:t>
      </w:r>
    </w:p>
    <w:p>
      <w:pPr>
        <w:pStyle w:val="Heading2"/>
        <w:spacing w:before="240" w:after="80"/>
      </w:pPr>
      <w:r>
        <w:rPr>
          <w:rFonts w:ascii="Arial" w:cs="Arial" w:eastAsia="Arial" w:hAnsi="Arial"/>
          <w:b/>
          <w:bCs/>
          <w:color w:val="2E75B6"/>
          <w:sz w:val="24"/>
          <w:szCs w:val="24"/>
        </w:rPr>
        <w:t xml:space="preserve">7.9 The Corporate Tax–Trust Fund Dividend Interaction</w:t>
      </w:r>
    </w:p>
    <w:p>
      <w:pPr>
        <w:spacing w:before="0" w:after="160"/>
      </w:pPr>
      <w:r>
        <w:rPr>
          <w:rFonts w:ascii="Arial" w:cs="Arial" w:eastAsia="Arial" w:hAnsi="Arial"/>
          <w:sz w:val="22"/>
          <w:szCs w:val="22"/>
        </w:rPr>
        <w:t xml:space="preserve">As noted in the previous version and still underemphasized. The interaction between the corporate tax's dividend exemption and the Trust Fund's dividend income stream is the architecture's most sophisticated design feature. As the Trust Fund's ownership share grows, the dividend exemption at the corporate level increasingly serves the Trust Fund's income, which in turn funds the UBI, which in turn sustains demand. This is a self-reinforcing loop within the architecture — the New Loop operating at the policy-instrument level — and deserves explicit treatment as a novel design innovation.</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8. Main Point, Conclusions, and Whether They Are Well Supported</w:t>
      </w:r>
    </w:p>
    <w:p>
      <w:pPr>
        <w:pStyle w:val="Heading2"/>
        <w:spacing w:before="240" w:after="80"/>
      </w:pPr>
      <w:r>
        <w:rPr>
          <w:rFonts w:ascii="Arial" w:cs="Arial" w:eastAsia="Arial" w:hAnsi="Arial"/>
          <w:b/>
          <w:bCs/>
          <w:color w:val="2E75B6"/>
          <w:sz w:val="24"/>
          <w:szCs w:val="24"/>
        </w:rPr>
        <w:t xml:space="preserve">8.1 The Main Point</w:t>
      </w:r>
    </w:p>
    <w:p>
      <w:pPr>
        <w:spacing w:before="0" w:after="160"/>
      </w:pPr>
      <w:r>
        <w:rPr>
          <w:rFonts w:ascii="Arial" w:cs="Arial" w:eastAsia="Arial" w:hAnsi="Arial"/>
          <w:sz w:val="22"/>
          <w:szCs w:val="22"/>
        </w:rPr>
        <w:t xml:space="preserve">The papers' main point is unchanged and remains well-supported: the AI transition will weaken the wage-based circulation of purchasing power that sustains capitalist demand; this cannot be addressed by any single instrument; and a coordinated, stock-flow-consistent policy architecture — addressing ownership concentration, household cash flow, fiscal base redesign, debt-contract rigidity, and political legitimacy simultaneously — is both necessary and feasible. The revisions strengthen this argument at the margins without altering its structure.</w:t>
      </w:r>
    </w:p>
    <w:p>
      <w:pPr>
        <w:pStyle w:val="Heading2"/>
        <w:spacing w:before="240" w:after="80"/>
      </w:pPr>
      <w:r>
        <w:rPr>
          <w:rFonts w:ascii="Arial" w:cs="Arial" w:eastAsia="Arial" w:hAnsi="Arial"/>
          <w:b/>
          <w:bCs/>
          <w:color w:val="2E75B6"/>
          <w:sz w:val="24"/>
          <w:szCs w:val="24"/>
        </w:rPr>
        <w:t xml:space="preserve">8.2 The Five Main Conclusions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800"/>
        <w:gridCol w:w="2360"/>
      </w:tblGrid>
      <w:tr>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Conclusion</w:t>
            </w:r>
          </w:p>
        </w:tc>
        <w:tc>
          <w:tcPr>
            <w:tcW w:type="dxa" w:w="1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Status</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Key Support</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Open Question</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AI will shift income from labor to capital at scale.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Well supported directionally; magnitude uncertain.</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Acemoglu &amp; Restrepo [1]; IMF SDN [2]; Melina &amp; Villa [3]; Budget Lab Yale [4]; Abel et al. [5]; Barr [6].</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Speed and degree of new-task creation. Aggregate employment collapse has not yet materialized in headline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This shift will weaken aggregate demand unless purchasing power is redirected through non-wage channels.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Well supported as mechanism; AI-specific magnitude pre-evidence.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Mian &amp; Sufi [27–30]; Fisher [31]; Bounader &amp; Elekdag [18].</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How fast debt substitution escalates. Whether fiscal and monetary policy can offset before the feedback loop closes.</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 Public Trust Fund broadening equity ownership is the appropriate structural response.</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Goal strongly supported; capitalization mechanics credible but not yet validated in practice.</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Alaska PFD [25, 26]; Norway GPFG; Cuervo-Cazurra et al. [23]; Blyth &amp; Lonergan [20]; Meade [16].</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Trust Fund governance insulation; Santiago Principles specification; political durability over 20 years.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 VAT with low-income credit rebuilds fiscal capacity in a post-wage economy.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Most strongly supported conclusion. Rate anchor now given.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de la Feria &amp; Swistak [12]; OECD Consumption Tax Trends [11]; France's existing VAT infrastructure.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Credit phaseout threshold calibration. Transition from France's existing tax complexity.</w:t>
            </w:r>
          </w:p>
        </w:tc>
      </w:tr>
      <w:tr>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State-contingent mortgages with lender neutralization prevent deflationary dynamics from cascading.</w:t>
            </w:r>
          </w:p>
        </w:tc>
        <w:tc>
          <w:tcPr>
            <w:tcW w:type="dxa" w:w="1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Analytically rigorous and original; institutionally complex.</w:t>
            </w:r>
          </w:p>
        </w:tc>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Campbell, Clara &amp; Cocco; Piskorski &amp; Seru; Fisher [31]; Mian &amp; Sufi [27].</w:t>
            </w:r>
          </w:p>
        </w:tc>
        <w:tc>
          <w:tcPr>
            <w:tcW w:type="dxa" w:w="2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vAlign w:val="top"/>
          </w:tcPr>
          <w:p>
            <w:pPr>
              <w:spacing w:before="0" w:after="0"/>
            </w:pPr>
            <w:r>
              <w:rPr>
                <w:rFonts w:ascii="Arial" w:cs="Arial" w:eastAsia="Arial" w:hAnsi="Arial"/>
                <w:sz w:val="20"/>
                <w:szCs w:val="20"/>
              </w:rPr>
              <w:t xml:space="preserve">Fiscal cost of neutralization at scale. EU state aid rules. Closed-economy model limitation for international transmission.</w:t>
            </w:r>
          </w:p>
        </w:tc>
      </w:tr>
    </w:tbl>
    <w:p>
      <w:pPr>
        <w:spacing w:before="0" w:after="80"/>
      </w:pPr>
      <w:r>
        <w:t xml:space="preserve"/>
      </w:r>
    </w:p>
    <w:p>
      <w:pPr>
        <w:pStyle w:val="Heading2"/>
        <w:spacing w:before="240" w:after="80"/>
      </w:pPr>
      <w:r>
        <w:rPr>
          <w:rFonts w:ascii="Arial" w:cs="Arial" w:eastAsia="Arial" w:hAnsi="Arial"/>
          <w:b/>
          <w:bCs/>
          <w:color w:val="2E75B6"/>
          <w:sz w:val="24"/>
          <w:szCs w:val="24"/>
        </w:rPr>
        <w:t xml:space="preserve">8.3 Overall Verdict</w:t>
      </w:r>
    </w:p>
    <w:p>
      <w:pPr>
        <w:spacing w:before="0" w:after="160"/>
      </w:pPr>
      <w:r>
        <w:rPr>
          <w:rFonts w:ascii="Arial" w:cs="Arial" w:eastAsia="Arial" w:hAnsi="Arial"/>
          <w:sz w:val="22"/>
          <w:szCs w:val="22"/>
        </w:rPr>
        <w:t xml:space="preserve">The papers' conclusions are well-supported at the level of direction and mechanism and partially supported at the level of precise calibration and political implementation. This is appropriate for a future-history scenario paired with an exploratory model: the purpose is to make the structure of the transition visible and debatable, not to prescribe exact parameters.</w:t>
      </w:r>
    </w:p>
    <w:p>
      <w:pPr>
        <w:spacing w:before="0" w:after="160"/>
      </w:pPr>
      <w:r>
        <w:rPr>
          <w:rFonts w:ascii="Arial" w:cs="Arial" w:eastAsia="Arial" w:hAnsi="Arial"/>
          <w:sz w:val="22"/>
          <w:szCs w:val="22"/>
        </w:rPr>
        <w:t xml:space="preserve">The revisions have addressed most of the first review's most urgent recommendations: the Pillar Two gap, the VAT rate anchor, the closed-economy acknowledgment, the Meade/Atkinson intellectual lineage, the non-confiscatory result, and the Santiago Principles. The most persistent gap is the failure to integrate the UBI labor-supply evidence into the argument text, despite the relevant papers being in the reading list. The Trust Fund governance specification and the transitional political economy remain the architecture's most incomplete areas.</w:t>
      </w:r>
    </w:p>
    <w:p>
      <w:pPr>
        <w:spacing w:before="0" w:after="160"/>
      </w:pPr>
      <w:r>
        <w:rPr>
          <w:rFonts w:ascii="Arial" w:cs="Arial" w:eastAsia="Arial" w:hAnsi="Arial"/>
          <w:sz w:val="22"/>
          <w:szCs w:val="22"/>
        </w:rPr>
        <w:t xml:space="preserve">The papers' central contribution — that the AI transition must be analyzed as a linked system of ownership, purchasing power, taxation, debt contracts, and political legitimacy, and that isolated single-policy debates are therefore inadequate — remains both correct and underrepresented in the literature. The reading list is now substantial, recent, and well-chosen. Both papers are ready for a wider audience.</w:t>
      </w:r>
    </w:p>
    <w:p>
      <w:pPr>
        <w:spacing w:before="0" w:after="80"/>
      </w:pPr>
      <w:r>
        <w:t xml:space="preserve"/>
      </w:r>
    </w:p>
    <w:p>
      <w:pPr>
        <w:pStyle w:val="Heading1"/>
        <w:spacing w:before="360" w:after="120"/>
      </w:pPr>
      <w:r>
        <w:rPr>
          <w:rFonts w:ascii="Arial" w:cs="Arial" w:eastAsia="Arial" w:hAnsi="Arial"/>
          <w:b/>
          <w:bCs/>
          <w:color w:val="1F3864"/>
          <w:sz w:val="28"/>
          <w:szCs w:val="28"/>
        </w:rPr>
        <w:t xml:space="preserve">9. Recommendations for the Next Revision</w:t>
      </w:r>
    </w:p>
    <w:p>
      <w:pPr>
        <w:spacing w:before="0" w:after="160"/>
      </w:pPr>
      <w:r>
        <w:rPr>
          <w:rFonts w:ascii="Arial" w:cs="Arial" w:eastAsia="Arial" w:hAnsi="Arial"/>
          <w:b/>
          <w:bCs/>
          <w:sz w:val="22"/>
          <w:szCs w:val="22"/>
        </w:rPr>
        <w:t xml:space="preserve">Integrate UBI labor-supply evidence into the argument. </w:t>
      </w:r>
      <w:r>
        <w:rPr>
          <w:rFonts w:ascii="Arial" w:cs="Arial" w:eastAsia="Arial" w:hAnsi="Arial"/>
          <w:sz w:val="22"/>
          <w:szCs w:val="22"/>
        </w:rPr>
        <w:t xml:space="preserve">This is the most persistent unaddressed recommendation from the first review. Jones and Marinescu [13] and Vivalt et al. [14] are in the reading list but not used in the text. The rebuttal is straightforward: in an economy of contracting labor demand, a modest reduction in labor-supply participation is a feature of the design, not a bug. One paragraph in the policy paper's UBI section — citing [13] and [14] and the papers' own automation premise — would close the most conspicuous analytical gap that an informed critic will raise.</w:t>
      </w:r>
    </w:p>
    <w:p>
      <w:pPr>
        <w:spacing w:before="0" w:after="160"/>
      </w:pPr>
      <w:r>
        <w:rPr>
          <w:rFonts w:ascii="Arial" w:cs="Arial" w:eastAsia="Arial" w:hAnsi="Arial"/>
          <w:b/>
          <w:bCs/>
          <w:sz w:val="22"/>
          <w:szCs w:val="22"/>
        </w:rPr>
        <w:t xml:space="preserve">Specify the Trust Fund governance structure more concretely. </w:t>
      </w:r>
      <w:r>
        <w:rPr>
          <w:rFonts w:ascii="Arial" w:cs="Arial" w:eastAsia="Arial" w:hAnsi="Arial"/>
          <w:sz w:val="22"/>
          <w:szCs w:val="22"/>
        </w:rPr>
        <w:t xml:space="preserve">The Santiago Principles are now named and the EU law constraint is acknowledged. But the papers still do not specify board appointment mechanics, legal insulation from ministerial direction, or how the two-percent annual dilution is made binding on successor governments. Alaska Permanent Fund [25, 26] provides a practical precedent for governance durability; Cuervo-Cazurra et al. [23] provides transparency benchmarks. Drawing on these sources to specify one or two concrete governance design elements — for instance, that Trust board members serve fixed, staggered terms appointed by an independent commission — would substantially improve the architecture's credibility with policy practitioners.</w:t>
      </w:r>
    </w:p>
    <w:p>
      <w:pPr>
        <w:spacing w:before="0" w:after="160"/>
      </w:pPr>
      <w:r>
        <w:rPr>
          <w:rFonts w:ascii="Arial" w:cs="Arial" w:eastAsia="Arial" w:hAnsi="Arial"/>
          <w:b/>
          <w:bCs/>
          <w:sz w:val="22"/>
          <w:szCs w:val="22"/>
        </w:rPr>
        <w:t xml:space="preserve">State the dividend-flow interaction explicitly. </w:t>
      </w:r>
      <w:r>
        <w:rPr>
          <w:rFonts w:ascii="Arial" w:cs="Arial" w:eastAsia="Arial" w:hAnsi="Arial"/>
          <w:sz w:val="22"/>
          <w:szCs w:val="22"/>
        </w:rPr>
        <w:t xml:space="preserve">The mutual reinforcement between the corporate tax's dividend exemption and the Trust Fund's dividend income is the architecture's most sophisticated design feature. It is currently present but dispersed across several passages in both papers. One paragraph — ideally in the narrative paper's conclusion or in the policy paper's Closing Perspective — stating that the exemption incentivizes payout, that payout flows to the Trust Fund, and that Trust Fund income supports the UBI, would make the New Loop's internal coherence visible as a unified argument rather than requiring readers to connect the passages themselves.</w:t>
      </w:r>
    </w:p>
    <w:p>
      <w:pPr>
        <w:spacing w:before="0" w:after="160"/>
      </w:pPr>
      <w:r>
        <w:rPr>
          <w:rFonts w:ascii="Arial" w:cs="Arial" w:eastAsia="Arial" w:hAnsi="Arial"/>
          <w:b/>
          <w:bCs/>
          <w:sz w:val="22"/>
          <w:szCs w:val="22"/>
        </w:rPr>
        <w:t xml:space="preserve">Integrate Pierson into the political argument. </w:t>
      </w:r>
      <w:r>
        <w:rPr>
          <w:rFonts w:ascii="Arial" w:cs="Arial" w:eastAsia="Arial" w:hAnsi="Arial"/>
          <w:sz w:val="22"/>
          <w:szCs w:val="22"/>
        </w:rPr>
        <w:t xml:space="preserve">Pierson [8, 9] is in the reading list but not used in the argument. His analysis of welfare state retrenchment politics — why benefits that can be withdrawn easily are not a stable foundation — directly supports the UBI ratchet design and the Trust Fund's insulation requirements. Two or three sentences in the narrative's Health and Wealth section drawing on Pierson would convert the political legitimacy argument from an assertion into an evidence-backed claim.</w:t>
      </w:r>
    </w:p>
    <w:p>
      <w:pPr>
        <w:spacing w:before="0" w:after="160"/>
      </w:pPr>
      <w:r>
        <w:rPr>
          <w:rFonts w:ascii="Arial" w:cs="Arial" w:eastAsia="Arial" w:hAnsi="Arial"/>
          <w:b/>
          <w:bCs/>
          <w:sz w:val="22"/>
          <w:szCs w:val="22"/>
        </w:rPr>
        <w:t xml:space="preserve">Address the income tax transition path. </w:t>
      </w:r>
      <w:r>
        <w:rPr>
          <w:rFonts w:ascii="Arial" w:cs="Arial" w:eastAsia="Arial" w:hAnsi="Arial"/>
          <w:sz w:val="22"/>
          <w:szCs w:val="22"/>
        </w:rPr>
        <w:t xml:space="preserve">The new Income Tax Design section specifies the target architecture clearly, but neither paper addresses how France moves from its existing complex progressive income tax to the simplified flat-rate-above-threshold model. Even a brief acknowledgment that this transition presents administrative and political challenges — and that the argument for simplicity during a long transition is precisely the one that justifies the redesign — would complete the instrument's specification.</w:t>
      </w:r>
    </w:p>
    <w:p>
      <w:pPr>
        <w:spacing w:before="0" w:after="160"/>
      </w:pPr>
      <w:r>
        <w:rPr>
          <w:rFonts w:ascii="Arial" w:cs="Arial" w:eastAsia="Arial" w:hAnsi="Arial"/>
          <w:b/>
          <w:bCs/>
          <w:sz w:val="22"/>
          <w:szCs w:val="22"/>
        </w:rPr>
        <w:t xml:space="preserve">Describe the demand-recovery arc in the narrative. </w:t>
      </w:r>
      <w:r>
        <w:rPr>
          <w:rFonts w:ascii="Arial" w:cs="Arial" w:eastAsia="Arial" w:hAnsi="Arial"/>
          <w:sz w:val="22"/>
          <w:szCs w:val="22"/>
        </w:rPr>
        <w:t xml:space="preserve">The simulator output shows real consumption falling for approximately twenty-five quarters before recovering. This transitional dynamic — the passage through which the New Loop's policy instruments take time to work before the new circulation reasserts itself — is currently visible only in the quantitative output, not in the narrative. One paragraph in the concluding section describing this arc would connect the story's conclusion to the model's output and make the transition's cost-benefit structure explicit.</w:t>
      </w:r>
    </w:p>
    <w:p>
      <w:pPr>
        <w:spacing w:before="0" w:after="160"/>
      </w:pPr>
      <w:r>
        <w:rPr>
          <w:rFonts w:ascii="Arial" w:cs="Arial" w:eastAsia="Arial" w:hAnsi="Arial"/>
          <w:b/>
          <w:bCs/>
          <w:sz w:val="22"/>
          <w:szCs w:val="22"/>
        </w:rPr>
        <w:t xml:space="preserve">Add a brief mention of government surplus recycling in the narrative. </w:t>
      </w:r>
      <w:r>
        <w:rPr>
          <w:rFonts w:ascii="Arial" w:cs="Arial" w:eastAsia="Arial" w:hAnsi="Arial"/>
          <w:sz w:val="22"/>
          <w:szCs w:val="22"/>
        </w:rPr>
        <w:t xml:space="preserve">Government surplus recycling is a logically necessary mechanism in a stock-flow-consistent architecture — idle public balances are a demand withdrawal — but it appears only in the policy paper. A single sentence in the narrative's Treatment Plan noting that surplus balances are recycled to households once stabilization objectives are met would complete the narrative's account of the architecture.</w:t>
      </w:r>
    </w:p>
    <w:p>
      <w:pPr>
        <w:spacing w:before="0" w:after="160"/>
      </w:pPr>
      <w:r>
        <w:rPr>
          <w:rFonts w:ascii="Arial" w:cs="Arial" w:eastAsia="Arial" w:hAnsi="Arial"/>
          <w:b/>
          <w:bCs/>
          <w:sz w:val="22"/>
          <w:szCs w:val="22"/>
        </w:rPr>
        <w:t xml:space="preserve">Consider adding the income-tax-to-VAT fiscal-transition argument. </w:t>
      </w:r>
      <w:r>
        <w:rPr>
          <w:rFonts w:ascii="Arial" w:cs="Arial" w:eastAsia="Arial" w:hAnsi="Arial"/>
          <w:sz w:val="22"/>
          <w:szCs w:val="22"/>
        </w:rPr>
        <w:t xml:space="preserve">The narrative argues that as labor income becomes a narrower tax base, the VAT becomes more important relative to income tax. But neither paper explicitly addresses the fiscal-transition path from a wage-tax-dominant revenue structure to a VAT-dominant one. This is a concrete policy engineering question — what happens to revenue and distribution during the transition period before the Trust Fund and UBI are fully operational — that the simulator presumably illuminates. A brief discussion in the policy paper's VAT section would strengthen the instrument's specification.</w:t>
      </w:r>
    </w:p>
    <w:p>
      <w:pPr>
        <w:spacing w:before="0" w:after="80"/>
      </w:pPr>
      <w:r>
        <w:t xml:space="preserve"/>
      </w:r>
    </w:p>
    <w:p>
      <w:pPr>
        <w:spacing w:before="240" w:after="0"/>
        <w:jc w:val="center"/>
      </w:pPr>
      <w:r>
        <w:rPr>
          <w:rFonts w:ascii="Arial" w:cs="Arial" w:eastAsia="Arial" w:hAnsi="Arial"/>
          <w:i/>
          <w:iCs/>
          <w:color w:val="555555"/>
          <w:sz w:val="22"/>
          <w:szCs w:val="22"/>
        </w:rPr>
        <w:t xml:space="preserve">— End of Second Critique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160" w:after="0"/>
    </w:pPr>
    <w:r>
      <w:rPr>
        <w:rFonts w:ascii="Arial" w:cs="Arial" w:eastAsia="Arial" w:hAnsi="Arial"/>
        <w:color w:val="888888"/>
        <w:sz w:val="18"/>
        <w:szCs w:val="18"/>
      </w:rPr>
      <w:t xml:space="preserve">Roger Ison  |  Prepared March 9,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160"/>
    </w:pPr>
    <w:r>
      <w:rPr>
        <w:rFonts w:ascii="Arial" w:cs="Arial" w:eastAsia="Arial" w:hAnsi="Arial"/>
        <w:color w:val="888888"/>
        <w:sz w:val="18"/>
        <w:szCs w:val="18"/>
      </w:rPr>
      <w:t xml:space="preserve">Detailed Critique and Literature Review — New Loop Papers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6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2026-03-10T05:16:44.105Z</dcterms:created>
  <dcterms:modified xsi:type="dcterms:W3CDTF">2026-03-10T05:16:44.106Z</dcterms:modified>
</cp:coreProperties>
</file>

<file path=docProps/custom.xml><?xml version="1.0" encoding="utf-8"?>
<Properties xmlns="http://schemas.openxmlformats.org/officeDocument/2006/custom-properties" xmlns:vt="http://schemas.openxmlformats.org/officeDocument/2006/docPropsVTypes"/>
</file>