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367EB30A"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rsidR="00BE66D3">
        <w:t>s</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5245C01A"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w:t>
      </w:r>
    </w:p>
    <w:p w14:paraId="28619CFD" w14:textId="4F1E344D"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w:t>
      </w:r>
      <w:r w:rsidR="00BE66D3">
        <w:t>would not be</w:t>
      </w:r>
      <w:r>
        <w:t xml:space="preserve"> a smooth transition into abundance. </w:t>
      </w:r>
      <w:r w:rsidR="00AA1AC0">
        <w:t xml:space="preserve">The </w:t>
      </w:r>
      <w:r>
        <w:t>economy</w:t>
      </w:r>
      <w:r w:rsidR="00BE66D3">
        <w:t xml:space="preserve"> would</w:t>
      </w:r>
      <w:r>
        <w:t xml:space="preserve"> </w:t>
      </w:r>
      <w:r w:rsidR="00AA1AC0">
        <w:t xml:space="preserve">instead </w:t>
      </w:r>
      <w:r>
        <w:t>drift</w:t>
      </w:r>
      <w:r w:rsidR="00BE66D3">
        <w:t xml:space="preserve"> </w:t>
      </w:r>
      <w:r>
        <w:t>toward weak demand, debt stress, political backlash, and repeated attempts to restore the old system after its economic base has already begun to erode.</w:t>
      </w:r>
    </w:p>
    <w:p w14:paraId="43D05D8B" w14:textId="05E140E9" w:rsidR="00F06D52" w:rsidRDefault="00000000">
      <w:r>
        <w:t xml:space="preserve">The policies </w:t>
      </w:r>
      <w:r w:rsidR="007F620B">
        <w:t xml:space="preserve">described </w:t>
      </w:r>
      <w:r>
        <w:t xml:space="preserve">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5ADB00F7"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r w:rsidR="004F6256">
        <w:t xml:space="preserve"> There is a reading list at the end.</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Cs w:val="22"/>
        </w:rPr>
      </w:pPr>
      <w:r>
        <w:br w:type="page"/>
      </w:r>
    </w:p>
    <w:p w14:paraId="16DF0BE4" w14:textId="0AAF2CD3" w:rsidR="00AB6536" w:rsidRDefault="00AB6536" w:rsidP="00AB6536">
      <w:pPr>
        <w:pStyle w:val="Heading1"/>
      </w:pPr>
      <w:r>
        <w:lastRenderedPageBreak/>
        <w:t>Some notes about the model</w:t>
      </w:r>
    </w:p>
    <w:p w14:paraId="38A18D0E" w14:textId="18132DDF" w:rsidR="00AB6536" w:rsidRDefault="00AB6536" w:rsidP="00AB6536">
      <w:pPr>
        <w:rPr>
          <w:szCs w:val="22"/>
        </w:rPr>
      </w:pPr>
      <w:r w:rsidRPr="00AB6536">
        <w:rPr>
          <w:i/>
          <w:iCs/>
          <w:szCs w:val="22"/>
        </w:rPr>
        <w:t>The New Loop</w:t>
      </w:r>
      <w:r w:rsidRPr="00AB6536">
        <w:rPr>
          <w:szCs w:val="22"/>
        </w:rPr>
        <w:t xml:space="preserve"> identifies distinct economic failure channels and policies to address them: income architecture, broad deflation, demand fragility and fixed-term debt, the concentration vs. treadmill trap, and political legitimacy.</w:t>
      </w:r>
      <w:r>
        <w:rPr>
          <w:szCs w:val="22"/>
        </w:rPr>
        <w:t xml:space="preserve"> </w:t>
      </w:r>
      <w:r w:rsidRPr="00AB6536">
        <w:rPr>
          <w:szCs w:val="22"/>
        </w:rPr>
        <w:t>There is substantial academic and professional literature relevant to these themes.</w:t>
      </w:r>
      <w:r>
        <w:rPr>
          <w:szCs w:val="22"/>
        </w:rPr>
        <w:t xml:space="preserve"> See the reading list at the end of this article.</w:t>
      </w:r>
      <w:r w:rsidRPr="00AB6536">
        <w:rPr>
          <w:szCs w:val="22"/>
        </w:rPr>
        <w:t xml:space="preserve"> </w:t>
      </w:r>
    </w:p>
    <w:p w14:paraId="3AF9795E" w14:textId="77777777" w:rsidR="007F620B" w:rsidRDefault="00AB6536" w:rsidP="00AB6536">
      <w:pPr>
        <w:rPr>
          <w:szCs w:val="22"/>
        </w:rPr>
      </w:pPr>
      <w:r w:rsidRPr="00AB6536">
        <w:rPr>
          <w:szCs w:val="22"/>
        </w:rPr>
        <w:t xml:space="preserve">The strongest and most mature </w:t>
      </w:r>
      <w:r w:rsidR="00C10520">
        <w:rPr>
          <w:szCs w:val="22"/>
        </w:rPr>
        <w:t xml:space="preserve">published </w:t>
      </w:r>
      <w:r w:rsidRPr="00AB6536">
        <w:rPr>
          <w:szCs w:val="22"/>
        </w:rPr>
        <w:t xml:space="preserve">work concerns Value-Added Tax. </w:t>
      </w:r>
      <w:r w:rsidR="007F620B">
        <w:rPr>
          <w:szCs w:val="22"/>
        </w:rPr>
        <w:t>Good</w:t>
      </w:r>
      <w:r w:rsidRPr="00AB6536">
        <w:rPr>
          <w:szCs w:val="22"/>
        </w:rPr>
        <w:t xml:space="preserve"> material also exists on sovereign or national wealth funds, labor displacement, debt-deflation dynamics, and the political constraints on durable reform. </w:t>
      </w:r>
    </w:p>
    <w:p w14:paraId="34A755D8" w14:textId="1B62DE5E" w:rsidR="00AB6536" w:rsidRPr="00AB6536" w:rsidRDefault="00AB6536" w:rsidP="00AB6536">
      <w:pPr>
        <w:rPr>
          <w:szCs w:val="22"/>
        </w:rPr>
      </w:pPr>
      <w:r w:rsidRPr="00AB6536">
        <w:rPr>
          <w:szCs w:val="22"/>
        </w:rPr>
        <w:t>Yet the literature remains fragmented. It generally treats these issues in isolation rather than as components of an integrated framework. Still largely missing is a serious effort to design whole-economy policy packages whose elements are explicitly non-redundant, mutually compatible, and interact macroeconomically over time.</w:t>
      </w:r>
      <w:r w:rsidR="00BE66D3">
        <w:rPr>
          <w:szCs w:val="22"/>
        </w:rPr>
        <w:t xml:space="preserve"> The New Loop model was built to remedy that.</w:t>
      </w:r>
    </w:p>
    <w:p w14:paraId="56E5B29A" w14:textId="77777777" w:rsidR="007F620B" w:rsidRDefault="00AB6536" w:rsidP="00AB6536">
      <w:pPr>
        <w:rPr>
          <w:szCs w:val="22"/>
        </w:rPr>
      </w:pPr>
      <w:r w:rsidRPr="00AB6536">
        <w:rPr>
          <w:szCs w:val="22"/>
        </w:rPr>
        <w:t xml:space="preserve">Several New Loop proposals </w:t>
      </w:r>
      <w:r w:rsidR="007F620B">
        <w:rPr>
          <w:szCs w:val="22"/>
        </w:rPr>
        <w:t>seem</w:t>
      </w:r>
      <w:r w:rsidRPr="00AB6536">
        <w:rPr>
          <w:szCs w:val="22"/>
        </w:rPr>
        <w:t xml:space="preserve"> to be novel, or are specified in greater detail than existing work. The New Loop proposes a</w:t>
      </w:r>
      <w:r w:rsidR="007F620B">
        <w:rPr>
          <w:szCs w:val="22"/>
        </w:rPr>
        <w:t xml:space="preserve"> specific</w:t>
      </w:r>
      <w:r w:rsidRPr="00AB6536">
        <w:rPr>
          <w:szCs w:val="22"/>
        </w:rPr>
        <w:t xml:space="preserve"> UBI funding hierarchy that </w:t>
      </w:r>
      <w:r w:rsidR="00BE66D3">
        <w:rPr>
          <w:szCs w:val="22"/>
        </w:rPr>
        <w:t xml:space="preserve">draws on </w:t>
      </w:r>
      <w:r w:rsidRPr="00AB6536">
        <w:rPr>
          <w:szCs w:val="22"/>
        </w:rPr>
        <w:t xml:space="preserve">Trust Fund distributions, VAT, general tax, and money issuance if needed. </w:t>
      </w:r>
      <w:r w:rsidR="00BE66D3">
        <w:rPr>
          <w:szCs w:val="22"/>
        </w:rPr>
        <w:t>Its</w:t>
      </w:r>
      <w:r w:rsidRPr="00AB6536">
        <w:rPr>
          <w:szCs w:val="22"/>
        </w:rPr>
        <w:t xml:space="preserve"> design includes a non-reducing ratchet for political viability and economic stability. </w:t>
      </w:r>
      <w:r w:rsidR="007F620B">
        <w:rPr>
          <w:szCs w:val="22"/>
        </w:rPr>
        <w:t xml:space="preserve">The computational model runs these cash flows. </w:t>
      </w:r>
    </w:p>
    <w:p w14:paraId="12951989" w14:textId="7666CB25" w:rsidR="00AB6536" w:rsidRPr="00AB6536" w:rsidRDefault="00AB6536" w:rsidP="00AB6536">
      <w:pPr>
        <w:rPr>
          <w:szCs w:val="22"/>
        </w:rPr>
      </w:pPr>
      <w:r w:rsidRPr="00AB6536">
        <w:rPr>
          <w:szCs w:val="22"/>
        </w:rPr>
        <w:t xml:space="preserve">The hybrid-indexed, automation-responsive corporate tax rate </w:t>
      </w:r>
      <w:r w:rsidR="007F620B">
        <w:rPr>
          <w:szCs w:val="22"/>
        </w:rPr>
        <w:t xml:space="preserve">also </w:t>
      </w:r>
      <w:r w:rsidRPr="00AB6536">
        <w:rPr>
          <w:szCs w:val="22"/>
        </w:rPr>
        <w:t xml:space="preserve">seems to be </w:t>
      </w:r>
      <w:r w:rsidR="00752A7D">
        <w:rPr>
          <w:szCs w:val="22"/>
        </w:rPr>
        <w:t>new</w:t>
      </w:r>
      <w:r w:rsidRPr="00AB6536">
        <w:rPr>
          <w:szCs w:val="22"/>
        </w:rPr>
        <w:t>, and the proposal to index mortgage payments to deflation while making lenders whole is a</w:t>
      </w:r>
      <w:r w:rsidR="007F620B">
        <w:rPr>
          <w:szCs w:val="22"/>
        </w:rPr>
        <w:t>nother</w:t>
      </w:r>
      <w:r w:rsidRPr="00AB6536">
        <w:rPr>
          <w:szCs w:val="22"/>
        </w:rPr>
        <w:t xml:space="preserve"> distinctive contribution.</w:t>
      </w:r>
      <w:r w:rsidR="007F620B">
        <w:rPr>
          <w:szCs w:val="22"/>
        </w:rPr>
        <w:t xml:space="preserve"> These also are implemented in the computational model.</w:t>
      </w:r>
    </w:p>
    <w:p w14:paraId="7D015CFB" w14:textId="502754EE" w:rsidR="00AB6536" w:rsidRPr="00AB6536" w:rsidRDefault="00AB6536" w:rsidP="00AB6536">
      <w:pPr>
        <w:rPr>
          <w:szCs w:val="22"/>
        </w:rPr>
      </w:pPr>
      <w:r w:rsidRPr="00AB6536">
        <w:rPr>
          <w:szCs w:val="22"/>
        </w:rPr>
        <w:t xml:space="preserve">The </w:t>
      </w:r>
      <w:r w:rsidR="007F620B">
        <w:rPr>
          <w:szCs w:val="22"/>
        </w:rPr>
        <w:t>software</w:t>
      </w:r>
      <w:r w:rsidRPr="00AB6536">
        <w:rPr>
          <w:szCs w:val="22"/>
        </w:rPr>
        <w:t xml:space="preserve"> </w:t>
      </w:r>
      <w:r w:rsidR="00C10520">
        <w:rPr>
          <w:szCs w:val="22"/>
        </w:rPr>
        <w:t>creates</w:t>
      </w:r>
      <w:r w:rsidRPr="00AB6536">
        <w:rPr>
          <w:szCs w:val="22"/>
        </w:rPr>
        <w:t xml:space="preserve"> a statistically generated population of 20,000 households whose income, wealth, revolving debt, and mortgage distributions roughly correspond to those in the United States. Household marginal propensities to consume (MPC) are quantized into quintiles. </w:t>
      </w:r>
      <w:r w:rsidR="007F620B">
        <w:rPr>
          <w:szCs w:val="22"/>
        </w:rPr>
        <w:t>T</w:t>
      </w:r>
      <w:r w:rsidR="00C10520">
        <w:rPr>
          <w:szCs w:val="22"/>
        </w:rPr>
        <w:t xml:space="preserve">he </w:t>
      </w:r>
      <w:r w:rsidRPr="00AB6536">
        <w:rPr>
          <w:szCs w:val="22"/>
        </w:rPr>
        <w:t>model could be extended and refined with actual population data</w:t>
      </w:r>
      <w:r w:rsidR="007F620B">
        <w:rPr>
          <w:szCs w:val="22"/>
        </w:rPr>
        <w:t>;</w:t>
      </w:r>
      <w:r w:rsidRPr="00AB6536">
        <w:rPr>
          <w:szCs w:val="22"/>
        </w:rPr>
        <w:t xml:space="preserve"> </w:t>
      </w:r>
      <w:r w:rsidR="007F620B">
        <w:rPr>
          <w:szCs w:val="22"/>
        </w:rPr>
        <w:t xml:space="preserve">but </w:t>
      </w:r>
      <w:r w:rsidRPr="00AB6536">
        <w:rPr>
          <w:szCs w:val="22"/>
        </w:rPr>
        <w:t xml:space="preserve">that was not necessary for its </w:t>
      </w:r>
      <w:r w:rsidR="00C144CC">
        <w:rPr>
          <w:szCs w:val="22"/>
        </w:rPr>
        <w:t xml:space="preserve">original </w:t>
      </w:r>
      <w:r w:rsidRPr="00AB6536">
        <w:rPr>
          <w:szCs w:val="22"/>
        </w:rPr>
        <w:t>design purpose, which is to explore policy designs, interactions and sensitivities in a closed-loop system.</w:t>
      </w:r>
    </w:p>
    <w:p w14:paraId="1809E8EC" w14:textId="33D73B21" w:rsidR="00AB6536" w:rsidRDefault="00C10520" w:rsidP="00AB6536">
      <w:pPr>
        <w:rPr>
          <w:szCs w:val="22"/>
        </w:rPr>
      </w:pPr>
      <w:r>
        <w:rPr>
          <w:szCs w:val="22"/>
        </w:rPr>
        <w:t>While the</w:t>
      </w:r>
      <w:r w:rsidR="00AB6536" w:rsidRPr="00AB6536">
        <w:rPr>
          <w:szCs w:val="22"/>
        </w:rPr>
        <w:t xml:space="preserve"> New Loop story focuses on deflation, the </w:t>
      </w:r>
      <w:r w:rsidR="007F620B">
        <w:rPr>
          <w:szCs w:val="22"/>
        </w:rPr>
        <w:t xml:space="preserve">computational </w:t>
      </w:r>
      <w:r w:rsidR="00AB6536" w:rsidRPr="00AB6536">
        <w:rPr>
          <w:szCs w:val="22"/>
        </w:rPr>
        <w:t xml:space="preserve">model does not enforce deflation; it arises structurally. </w:t>
      </w:r>
      <w:r>
        <w:rPr>
          <w:szCs w:val="22"/>
        </w:rPr>
        <w:t>There</w:t>
      </w:r>
      <w:r w:rsidR="00AB6536" w:rsidRPr="00AB6536">
        <w:rPr>
          <w:szCs w:val="22"/>
        </w:rPr>
        <w:t xml:space="preserve"> is presently no consensus on whether deflation is inevitable, </w:t>
      </w:r>
      <w:r>
        <w:rPr>
          <w:szCs w:val="22"/>
        </w:rPr>
        <w:t xml:space="preserve">but </w:t>
      </w:r>
      <w:r w:rsidR="00AB6536" w:rsidRPr="00AB6536">
        <w:rPr>
          <w:szCs w:val="22"/>
        </w:rPr>
        <w:t xml:space="preserve">the New Loop future history </w:t>
      </w:r>
      <w:r>
        <w:rPr>
          <w:szCs w:val="22"/>
        </w:rPr>
        <w:t xml:space="preserve">paper </w:t>
      </w:r>
      <w:r w:rsidR="00AB6536" w:rsidRPr="00AB6536">
        <w:rPr>
          <w:szCs w:val="22"/>
        </w:rPr>
        <w:t>gives strong arguments why deflation should be anticipated. In any case, the mechanisms that would lead instead to inflation are probably unsustainable; they involve issuing a lot of money, with all the well-understood limits and consequences that entails.</w:t>
      </w:r>
    </w:p>
    <w:p w14:paraId="4E9BAC95" w14:textId="6532BC22" w:rsidR="00B8068B" w:rsidRPr="00AB6536" w:rsidRDefault="00B8068B" w:rsidP="00AB6536">
      <w:pPr>
        <w:rPr>
          <w:szCs w:val="22"/>
        </w:rPr>
      </w:pPr>
      <w:r>
        <w:rPr>
          <w:szCs w:val="22"/>
        </w:rPr>
        <w:t xml:space="preserve">The companion future-history paper speculatively describes how different countries might respond to the AI transition. However, the New Loop simulation </w:t>
      </w:r>
      <w:r w:rsidR="004E6650">
        <w:rPr>
          <w:szCs w:val="22"/>
        </w:rPr>
        <w:t xml:space="preserve">models a closed economy with no </w:t>
      </w:r>
      <w:r w:rsidR="004E6650">
        <w:rPr>
          <w:szCs w:val="22"/>
        </w:rPr>
        <w:t>international trade</w:t>
      </w:r>
      <w:r w:rsidR="004E6650">
        <w:rPr>
          <w:szCs w:val="22"/>
        </w:rPr>
        <w:t xml:space="preserve"> component.</w:t>
      </w:r>
    </w:p>
    <w:p w14:paraId="296BF07C" w14:textId="21DA9A0C" w:rsidR="00AB6536" w:rsidRDefault="00AB6536" w:rsidP="00AB6536">
      <w:r>
        <w:br w:type="page"/>
      </w:r>
    </w:p>
    <w:p w14:paraId="5A547E46" w14:textId="77777777" w:rsidR="00AB6536" w:rsidRDefault="00AB6536" w:rsidP="00AB6536"/>
    <w:p w14:paraId="4779EA4E" w14:textId="37E00D53" w:rsidR="00AC3B05" w:rsidRDefault="00AC3B05" w:rsidP="00AC3B05">
      <w:pPr>
        <w:pStyle w:val="Heading1"/>
        <w:rPr>
          <w:sz w:val="27"/>
        </w:rPr>
      </w:pPr>
      <w:r>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lastRenderedPageBreak/>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Universal Basic Income is the New Loop’s principal purchasing-power stabilizer. Its purpose is to maintain a dependable floor under mass consumption when labor income becomes less adequate as the main channel 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lastRenderedPageBreak/>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0DCB287D" w14:textId="25FCBDD6" w:rsidR="00F22B41" w:rsidRP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4C9DA474" w14:textId="77777777" w:rsidR="00F06D52" w:rsidRDefault="00000000" w:rsidP="001326E2">
      <w:pPr>
        <w:pStyle w:val="Heading1"/>
      </w:pPr>
      <w:r>
        <w:lastRenderedPageBreak/>
        <w:t xml:space="preserve">5. </w:t>
      </w:r>
      <w:r w:rsidRPr="001326E2">
        <w:t>Corporate</w:t>
      </w:r>
      <w:r>
        <w:t xml:space="preserv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 xml:space="preserve">The architecture assumes a credit regime aimed at preventing temporary liquidity strain from turning into a cumulative collapse of demand. These rules are stylized, but they express an institutional </w:t>
      </w:r>
      <w:r>
        <w:lastRenderedPageBreak/>
        <w:t>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lastRenderedPageBreak/>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lastRenderedPageBreak/>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733D9D24" w14:textId="674B72A2" w:rsidR="00C144CC" w:rsidRDefault="00C144CC" w:rsidP="0095212B">
      <w:r>
        <w:t xml:space="preserve">A public version of the New Loop computational model is available here:  </w:t>
      </w:r>
      <w:r>
        <w:br/>
      </w:r>
      <w:hyperlink r:id="rId8" w:history="1">
        <w:r w:rsidRPr="0029541B">
          <w:rPr>
            <w:rStyle w:val="Hyperlink"/>
          </w:rPr>
          <w:t>https://newloop.streamlit.app</w:t>
        </w:r>
      </w:hyperlink>
    </w:p>
    <w:p w14:paraId="2420650B" w14:textId="31030DDE"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9"/>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is therefore </w:t>
      </w:r>
      <w:r w:rsidR="00C144CC">
        <w:t xml:space="preserve">reasonably </w:t>
      </w:r>
      <w:r w:rsidR="00925996">
        <w:t>easy to inspect</w:t>
      </w:r>
      <w:r>
        <w:t xml:space="preserve">. </w:t>
      </w:r>
      <w:r w:rsidR="00C144CC">
        <w:t>It is</w:t>
      </w:r>
      <w:r>
        <w:t xml:space="preserve"> </w:t>
      </w:r>
      <w:r w:rsidR="00C144CC">
        <w:t>complex</w:t>
      </w:r>
      <w:r>
        <w:t xml:space="preserve"> </w:t>
      </w:r>
      <w:r w:rsidR="00C144CC">
        <w:t>though, consisting of more than 6,300 lines of code</w:t>
      </w:r>
      <w:r>
        <w:t xml:space="preserve">, with many parameters that can be changed to observe their consequences. The purpose </w:t>
      </w:r>
      <w:r w:rsidR="00752A7D">
        <w:t>here</w:t>
      </w:r>
      <w:r>
        <w:t xml:space="preserve"> is to illustrate what can be learned by running the model, and to emphasize that the code implements the same mechanisms described in the policy discussion above.</w:t>
      </w:r>
    </w:p>
    <w:p w14:paraId="09D11E08" w14:textId="4371AB8D" w:rsidR="0095212B" w:rsidRDefault="0095212B" w:rsidP="0095212B">
      <w:r>
        <w:t>The partial screen capture at right illustrates that the app offers drop-down lists in a sidebar so users can change the default parameter values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3E282A02" w14:textId="1AB0450C" w:rsidR="00752A7D" w:rsidRDefault="0095212B" w:rsidP="0095212B">
      <w:r>
        <w:t>Because the story told here is about the production-wages-consumption</w:t>
      </w:r>
      <w:r w:rsidR="00752A7D">
        <w:t>-reinvestment</w:t>
      </w:r>
      <w:r>
        <w:t xml:space="preserve">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w:t>
      </w:r>
      <w:r>
        <w:lastRenderedPageBreak/>
        <w:t>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10"/>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lastRenderedPageBreak/>
        <w:t>Population distributions</w:t>
      </w:r>
    </w:p>
    <w:p w14:paraId="2E03F51C" w14:textId="7F731849" w:rsidR="0095212B" w:rsidRDefault="0095212B" w:rsidP="0095212B">
      <w:r>
        <w:t xml:space="preserve">The next two plots </w:t>
      </w:r>
      <w:r w:rsidR="00925996">
        <w:t>present</w:t>
      </w:r>
      <w:r>
        <w:t xml:space="preserve"> the income and wealth distributions before the new system is instituted, and at the end of the simulation. These</w:t>
      </w:r>
      <w:r w:rsidR="00752A7D">
        <w:t xml:space="preserve"> plots </w:t>
      </w:r>
      <w:r>
        <w:t>represent real, not nominal, dollars.</w:t>
      </w:r>
      <w:r w:rsidR="00752A7D">
        <w:t xml:space="preserve"> The model updates a price deflator as it runs.</w:t>
      </w:r>
    </w:p>
    <w:p w14:paraId="68DEF5A2" w14:textId="4A99DD88" w:rsidR="0095212B" w:rsidRDefault="00752A7D" w:rsidP="0095212B">
      <w:r>
        <w:t>Both</w:t>
      </w:r>
      <w:r w:rsidR="0095212B">
        <w:t xml:space="preserve"> income distributions </w:t>
      </w:r>
      <w:r>
        <w:t>show</w:t>
      </w:r>
      <w:r w:rsidR="0095212B">
        <w:t xml:space="preserve"> a spike at the left, because there is a proportion of unemployed households with no income. The “before” state of the model does not reflect existing </w:t>
      </w:r>
      <w:r>
        <w:t>S</w:t>
      </w:r>
      <w:r w:rsidR="0095212B">
        <w:t xml:space="preserve">ocial </w:t>
      </w:r>
      <w:r>
        <w:t>S</w:t>
      </w:r>
      <w:r w:rsidR="0095212B">
        <w:t xml:space="preserve">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1"/>
                    <a:stretch>
                      <a:fillRect/>
                    </a:stretch>
                  </pic:blipFill>
                  <pic:spPr>
                    <a:xfrm>
                      <a:off x="0" y="0"/>
                      <a:ext cx="5943600" cy="2037715"/>
                    </a:xfrm>
                    <a:prstGeom prst="rect">
                      <a:avLst/>
                    </a:prstGeom>
                  </pic:spPr>
                </pic:pic>
              </a:graphicData>
            </a:graphic>
          </wp:inline>
        </w:drawing>
      </w:r>
    </w:p>
    <w:p w14:paraId="7190BE63" w14:textId="77777777" w:rsidR="00752A7D"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w:t>
      </w:r>
    </w:p>
    <w:p w14:paraId="37FCED58" w14:textId="18746F2F" w:rsidR="0095212B" w:rsidRDefault="0095212B" w:rsidP="0095212B">
      <w:r>
        <w:t>Among the wealthiest household, total wealth is somewhat reduced but not dramatically. This represents two effects: equity dilution, which is a slow</w:t>
      </w:r>
      <w:r w:rsidR="009D4247">
        <w:t xml:space="preserve">, </w:t>
      </w:r>
      <w:r>
        <w:t>capped wealth tax, but also gain in total wealth over time due to continuing productivity improvements and greater total output</w:t>
      </w:r>
      <w:r w:rsidR="001748C8">
        <w:t>.</w:t>
      </w:r>
      <w:r w:rsidR="009D4247">
        <w:t xml:space="preserve"> Wealth gain gradually overcomes equity dilution.</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lastRenderedPageBreak/>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2"/>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drawing>
          <wp:anchor distT="0" distB="0" distL="114300" distR="114300" simplePos="0" relativeHeight="251660288" behindDoc="0" locked="0" layoutInCell="1" allowOverlap="1" wp14:anchorId="1772D937" wp14:editId="4C09B260">
            <wp:simplePos x="0" y="0"/>
            <wp:positionH relativeFrom="column">
              <wp:posOffset>2159000</wp:posOffset>
            </wp:positionH>
            <wp:positionV relativeFrom="paragraph">
              <wp:posOffset>295698</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3"/>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79D1BEF" w14:textId="77777777" w:rsidR="001748C8"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19FB46C0" w:rsidR="0095212B" w:rsidRDefault="001748C8" w:rsidP="0095212B">
      <w:r w:rsidRPr="009D4247">
        <w:rPr>
          <w:b/>
          <w:bCs/>
        </w:rPr>
        <w:t xml:space="preserve">This outcome reveals a very important result that deserves to be emphasized: the </w:t>
      </w:r>
      <w:r w:rsidR="0095212B" w:rsidRPr="009D4247">
        <w:rPr>
          <w:b/>
          <w:bCs/>
        </w:rPr>
        <w:t>proposed policies demonstrably do not play out as a socialist or confiscatory regime.</w:t>
      </w:r>
      <w:r w:rsidR="0095212B">
        <w:t xml:space="preserve"> The New Loop </w:t>
      </w:r>
      <w:r>
        <w:t>remains</w:t>
      </w:r>
      <w:r w:rsidR="0095212B">
        <w:t xml:space="preserve"> a capitalist society. Entrepreneurs and investors can still reap big rewards. In fact, the UBI and other policies </w:t>
      </w:r>
      <w:r w:rsidR="009D4247">
        <w:t>should make</w:t>
      </w:r>
      <w:r w:rsidR="0095212B">
        <w:t xml:space="preserve"> it safer to take </w:t>
      </w:r>
      <w:r w:rsidR="009D4247">
        <w:t>entrepreneurial</w:t>
      </w:r>
      <w:r w:rsidR="0095212B">
        <w:t xml:space="preserve"> risks and create innovations.</w:t>
      </w:r>
    </w:p>
    <w:p w14:paraId="500062F3" w14:textId="77777777" w:rsidR="0095212B" w:rsidRDefault="0095212B" w:rsidP="0095212B">
      <w:pPr>
        <w:pStyle w:val="Heading2"/>
      </w:pPr>
      <w:r>
        <w:lastRenderedPageBreak/>
        <w:t>UBI and real household outcomes</w:t>
      </w:r>
    </w:p>
    <w:p w14:paraId="39E0EFA6" w14:textId="77777777" w:rsidR="0095212B" w:rsidRPr="00665140" w:rsidRDefault="0095212B" w:rsidP="0095212B">
      <w:r>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4"/>
                    <a:stretch>
                      <a:fillRect/>
                    </a:stretch>
                  </pic:blipFill>
                  <pic:spPr>
                    <a:xfrm>
                      <a:off x="0" y="0"/>
                      <a:ext cx="5943600" cy="1880235"/>
                    </a:xfrm>
                    <a:prstGeom prst="rect">
                      <a:avLst/>
                    </a:prstGeom>
                  </pic:spPr>
                </pic:pic>
              </a:graphicData>
            </a:graphic>
          </wp:inline>
        </w:drawing>
      </w:r>
    </w:p>
    <w:p w14:paraId="661DE2D7" w14:textId="3CDB1E33" w:rsidR="0095212B" w:rsidRDefault="0095212B" w:rsidP="0095212B">
      <w:r>
        <w:t>The left-hand plot also shows UBI Issued as a small but slowly growing amount of real dollars. This reflects two intentional policy choice</w:t>
      </w:r>
      <w:r w:rsidR="001748C8">
        <w:t>s</w:t>
      </w:r>
      <w:r>
        <w:t xml:space="preserv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lastRenderedPageBreak/>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5"/>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4EC0375" w:rsidR="0095212B" w:rsidRDefault="001748C8" w:rsidP="0095212B">
      <w:r>
        <w:t>W</w:t>
      </w:r>
      <w:r w:rsidR="0095212B">
        <w:t>hile UBI is never allowed to decline</w:t>
      </w:r>
      <w:r>
        <w:t xml:space="preserve"> as a matter of policy</w:t>
      </w:r>
      <w:r w:rsidR="0095212B">
        <w:t>, indexed mortgage payments shrink with deflation, and government makes up the difference to the bank. The consequences for households appear in the Debt-Service-to-Income (DTI) dotted line, which is plotted to include households up to the 90</w:t>
      </w:r>
      <w:r w:rsidR="0095212B" w:rsidRPr="008D0561">
        <w:rPr>
          <w:vertAlign w:val="superscript"/>
        </w:rPr>
        <w:t>th</w:t>
      </w:r>
      <w:r w:rsidR="0095212B">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371CBFF5" w14:textId="5E56E0D6" w:rsidR="00A07C58" w:rsidRDefault="00A07C58" w:rsidP="00A07C58">
      <w:pPr>
        <w:pStyle w:val="Heading2"/>
      </w:pPr>
      <w:r>
        <w:t>Other Graphical Outputs</w:t>
      </w:r>
    </w:p>
    <w:p w14:paraId="7C5C543E" w14:textId="1EF40BEB" w:rsidR="00A07C58" w:rsidRDefault="00A07C58" w:rsidP="0095212B">
      <w:r>
        <w:t>The simulator captures a broad array of data points at each calendar quarter step. Many of them are not illustrated here. However, one of the plot canvasses allows the user to select two data series and show both of them in a single, longitudinal plot over time.</w:t>
      </w:r>
    </w:p>
    <w:p w14:paraId="5CA68640" w14:textId="77777777" w:rsidR="00A07C58" w:rsidRDefault="00A07C58" w:rsidP="0095212B"/>
    <w:p w14:paraId="7C9879CB" w14:textId="397E1AD8" w:rsidR="001326E2" w:rsidRDefault="001326E2">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2CD7D0F2" w14:textId="77777777" w:rsidR="001326E2" w:rsidRDefault="001326E2" w:rsidP="001326E2">
      <w:pPr>
        <w:pStyle w:val="Heading1"/>
      </w:pPr>
      <w:r>
        <w:lastRenderedPageBreak/>
        <w:t>Further Reading</w:t>
      </w:r>
    </w:p>
    <w:p w14:paraId="5EA3D1B9" w14:textId="4DB17C13" w:rsidR="00580182" w:rsidRDefault="00580182" w:rsidP="00580182">
      <w:r w:rsidRPr="00580182">
        <w:t xml:space="preserve">The New Loop did not arise in an intellectual vacuum. Its nearest antecedents lie less in conventional redistribution than in the older argument that a stable capitalist society requires broader ownership of capital itself. James Meade, writing on the unequal ownership of property and the need for a property-owning democracy, argued over many years for institutional arrangements that would spread claims on capital income more widely, including through a social dividend. </w:t>
      </w:r>
    </w:p>
    <w:p w14:paraId="3BB47613" w14:textId="77777777" w:rsidR="00580182" w:rsidRDefault="00580182" w:rsidP="00580182">
      <w:r w:rsidRPr="00580182">
        <w:t xml:space="preserve">A practical precedent of a different kind is the Alaska Permanent Fund Dividend, which demonstrated that a universal citizen payment backed by a collectively owned asset pool could become politically durable, and that the visible accumulation of such a fund could help sustain public support. </w:t>
      </w:r>
    </w:p>
    <w:p w14:paraId="44D7D81A" w14:textId="1522813C" w:rsidR="008E7E22" w:rsidRPr="00580182" w:rsidRDefault="00580182" w:rsidP="00580182">
      <w:r w:rsidRPr="00580182">
        <w:t>The New Loop belongs to that broad family of ideas, but does not replicate any close antecedent. Its distinctive feature is the integration of that ownership logic into a larger rule-based macroeconomic architecture, one designed to preserve reinvestment, sustain demand, reduce household fragility, and stabilize the transition against debt-deflation</w:t>
      </w:r>
    </w:p>
    <w:p w14:paraId="7BA6D8AF" w14:textId="77777777" w:rsidR="00580182" w:rsidRDefault="00580182" w:rsidP="00580182">
      <w:pPr>
        <w:rPr>
          <w:szCs w:val="22"/>
        </w:rPr>
      </w:pPr>
    </w:p>
    <w:p w14:paraId="66D343DB" w14:textId="24B719DC" w:rsidR="001326E2" w:rsidRDefault="00F777C6" w:rsidP="00580182">
      <w:pPr>
        <w:rPr>
          <w:szCs w:val="22"/>
        </w:rPr>
      </w:pPr>
      <w:r>
        <w:rPr>
          <w:szCs w:val="22"/>
        </w:rPr>
        <w:t>Many</w:t>
      </w:r>
      <w:r w:rsidR="001326E2">
        <w:rPr>
          <w:szCs w:val="22"/>
        </w:rPr>
        <w:t xml:space="preserve"> of the publications listed below are available online </w:t>
      </w:r>
      <w:r w:rsidR="008E7E22">
        <w:rPr>
          <w:szCs w:val="22"/>
        </w:rPr>
        <w:t>with no</w:t>
      </w:r>
      <w:r w:rsidR="001326E2">
        <w:rPr>
          <w:szCs w:val="22"/>
        </w:rPr>
        <w:t xml:space="preserve"> paywall.</w:t>
      </w:r>
    </w:p>
    <w:p w14:paraId="6789DC64" w14:textId="71DA51E1" w:rsidR="001326E2" w:rsidRPr="00F777C6" w:rsidRDefault="00F777C6" w:rsidP="00F777C6">
      <w:pPr>
        <w:pStyle w:val="Heading2"/>
      </w:pPr>
      <w:r w:rsidRPr="00F777C6">
        <w:t>Artificial intelligence, labor markets, and technology</w:t>
      </w:r>
    </w:p>
    <w:p w14:paraId="7C1BC78E" w14:textId="77777777" w:rsidR="00F777C6" w:rsidRDefault="00F777C6" w:rsidP="00F777C6">
      <w:r>
        <w:t>[1] Acemoglu, Daron, and Pascual Restrepo. “Automation and New Tasks: How Technology Displaces and Reinstates Labor.” Journal of Economic Perspectives 33, no. 2 (2019): 3-30. DOI: 10.1257/jep.33.2.3. URL: https://www.aeaweb.org/articles?id=10.1257/jep.33.2.3</w:t>
      </w:r>
    </w:p>
    <w:p w14:paraId="50C38A8C" w14:textId="77777777" w:rsidR="00F777C6" w:rsidRDefault="00F777C6" w:rsidP="00F777C6">
      <w:r>
        <w:t xml:space="preserve">[2] Cazzaniga, Mauro, Florence </w:t>
      </w:r>
      <w:proofErr w:type="spellStart"/>
      <w:r>
        <w:t>Jaumotte</w:t>
      </w:r>
      <w:proofErr w:type="spellEnd"/>
      <w:r>
        <w:t xml:space="preserve">, </w:t>
      </w:r>
      <w:proofErr w:type="spellStart"/>
      <w:r>
        <w:t>Longji</w:t>
      </w:r>
      <w:proofErr w:type="spellEnd"/>
      <w:r>
        <w:t xml:space="preserve"> Li, Giovanni Melina, Adrian J. Panton, Carolina Pizzinelli, Esteban Rockall, and Marina M. Tavares. “Gen-AI: Artificial Intelligence and the Future of Work.” IMF Staff Discussion Note SDN/2024/001 (2024). URL: https://www.imf.org/en/publications/staff-discussion-notes/issues/2024/01/14/gen-ai-artificial-intelligence-and-the-future-of-work-542379</w:t>
      </w:r>
    </w:p>
    <w:p w14:paraId="78A6EF5A" w14:textId="77777777" w:rsidR="00F777C6" w:rsidRDefault="00F777C6" w:rsidP="00F777C6">
      <w:r>
        <w:t>[3] Melina, Giovanni, and Stefania Villa. “From Servers to Rates: AI, ICT Capital, and the Natural Rate.” IMF Working Paper WP/25/224 (2025). URL: https://www.imf.org/-/media/files/publications/wp/2025/english/wpiea2025224-source-pdf.pdf</w:t>
      </w:r>
    </w:p>
    <w:p w14:paraId="37394F60" w14:textId="77777777" w:rsidR="00F777C6" w:rsidRDefault="00F777C6" w:rsidP="00F777C6">
      <w:r>
        <w:t>[4] Gimbel, Martha, Molly Kinder, Joshua Kendall, and Maddie Lee. “Evaluating the Impact of AI on the Labor Market: Current State of Affairs.” The Budget Lab at Yale (October 1, 2025). URL: https://budgetlab.yale.edu/research/evaluating-impact-ai-labor-market-current-state-affairs</w:t>
      </w:r>
    </w:p>
    <w:p w14:paraId="2CA6DD22" w14:textId="77777777" w:rsidR="00F777C6" w:rsidRDefault="00F777C6" w:rsidP="00F777C6">
      <w:r>
        <w:t>[5] Abel, Jaison R., Richard Deitz, Natalia Emanuel, Ben Hyman, and Nick Montalbano. “Are Businesses Scaling Back Hiring Due to AI?” Liberty Street Economics, Federal Reserve Bank of New York (September 4, 2025). URL: https://libertystreeteconomics.newyorkfed.org/2025/09/are-businesses-scaling-back-hiring-due-to-ai/</w:t>
      </w:r>
    </w:p>
    <w:p w14:paraId="187E313A" w14:textId="77777777" w:rsidR="00F777C6" w:rsidRDefault="00F777C6" w:rsidP="00F777C6">
      <w:r>
        <w:lastRenderedPageBreak/>
        <w:t>[6] Barr, Michael S. “What Will Artificial Intelligence Mean for the Labor Market and the Economy?” Speech at the New York Association for Business Economics, Board of Governors of the Federal Reserve System (February 17, 2026). URL: https://www.federalreserve.gov/newsevents/speech/barr20260217a.htm</w:t>
      </w:r>
    </w:p>
    <w:p w14:paraId="3C3349AC" w14:textId="77777777" w:rsidR="00F777C6" w:rsidRDefault="00F777C6" w:rsidP="00F777C6">
      <w:pPr>
        <w:pStyle w:val="Heading2"/>
      </w:pPr>
      <w:r>
        <w:t>INEQUALITY, WELFARE STATES, TAXATION, TRANSFERS, AND BASIC INCOME</w:t>
      </w:r>
    </w:p>
    <w:p w14:paraId="169E2FE4" w14:textId="77777777" w:rsidR="00F777C6" w:rsidRDefault="00F777C6" w:rsidP="00F777C6">
      <w:r>
        <w:t>[7] Esping-Andersen, Gosta. The Three Worlds of Welfare Capitalism. Cambridge: Polity Press, 1990. URL: https://www.wiley.com/en-gb/The%2BThree%2BWorlds%2Bof%2BWelfare%2BCapitalism-p-9780745666754</w:t>
      </w:r>
    </w:p>
    <w:p w14:paraId="4DA00097" w14:textId="77777777" w:rsidR="00F777C6" w:rsidRDefault="00F777C6" w:rsidP="00F777C6">
      <w:r>
        <w:t>[8] Pierson, Paul. Dismantling the Welfare State? Reagan, Thatcher and the Politics of Retrenchment. Cambridge: Cambridge University Press, 1994. URL: https://www.cambridge.org/core/books/dismantling-the-welfare-state/1EF58A90413CCE29F65E0E99F9138DC2</w:t>
      </w:r>
    </w:p>
    <w:p w14:paraId="0E4374A1" w14:textId="77777777" w:rsidR="00F777C6" w:rsidRDefault="00F777C6" w:rsidP="00F777C6">
      <w:r>
        <w:t>[9] Pierson, Paul. “The New Politics of the Welfare State.” World Politics 48, no. 2 (1996): 143-179. URL: https://www.cambridge.org/core/journals/world-politics/article/abs/new-politics-of-the-welfare-state/4183EDE18ABA5FCD2B963F5FD4E405A4</w:t>
      </w:r>
    </w:p>
    <w:p w14:paraId="4CDDFAD0" w14:textId="77777777" w:rsidR="00F777C6" w:rsidRDefault="00F777C6" w:rsidP="00F777C6">
      <w:r>
        <w:t>[10] OECD. “Income and Wealth Inequalities.” In Society at a Glance 2024 (2024). URL: https://www.oecd.org/en/publications/society-at-a-glance-2024_918d8db3-en/full-report/income-and-wealth-inequalities_7ac4178f.html</w:t>
      </w:r>
    </w:p>
    <w:p w14:paraId="7AEBCB7C" w14:textId="77777777" w:rsidR="00F777C6" w:rsidRDefault="00F777C6" w:rsidP="00F777C6">
      <w:r>
        <w:t>[11] OECD. Consumption Tax Trends 2024: VAT/GST and Excise, Core Design Features and Trends. OECD Publishing, 2024. URL: https://www.oecd.org/en/publications/consumption-tax-trends-2024_dcd4dd36-en.html</w:t>
      </w:r>
    </w:p>
    <w:p w14:paraId="42EA50A7" w14:textId="77777777" w:rsidR="00F777C6" w:rsidRDefault="00F777C6" w:rsidP="00F777C6">
      <w:r>
        <w:t>[12] de la Feria, Rita, and Artur Swistak. “Designing a Progressive VAT.” IMF Working Paper WP/24/78 (2024). URL: https://www.imf.org/en/publications/wp/issues/2024/04/05/designing-a-progressive-vat-546923</w:t>
      </w:r>
    </w:p>
    <w:p w14:paraId="3224F335" w14:textId="77777777" w:rsidR="00F777C6" w:rsidRDefault="00F777C6" w:rsidP="00F777C6">
      <w:r>
        <w:t>[13] Jones, Damon, and Ioana Marinescu. “The Labor Market Impacts of Universal and Permanent Cash Transfers: Evidence from the Alaska Permanent Fund.” American Economic Journal: Economic Policy 14, no. 2 (2022): 315-340. DOI: 10.1257/pol.20190299. URL: https://www.aeaweb.org/articles?id=10.1257/pol.20190299</w:t>
      </w:r>
    </w:p>
    <w:p w14:paraId="4E92F83E" w14:textId="77777777" w:rsidR="00F777C6" w:rsidRDefault="00F777C6" w:rsidP="00F777C6">
      <w:r>
        <w:t xml:space="preserve">[14] </w:t>
      </w:r>
      <w:proofErr w:type="spellStart"/>
      <w:r>
        <w:t>Vivalt</w:t>
      </w:r>
      <w:proofErr w:type="spellEnd"/>
      <w:r>
        <w:t xml:space="preserve">, Eva, Elizabeth Rhodes, Alexander W. Bartik, David E. </w:t>
      </w:r>
      <w:proofErr w:type="spellStart"/>
      <w:r>
        <w:t>Broockman</w:t>
      </w:r>
      <w:proofErr w:type="spellEnd"/>
      <w:r>
        <w:t>, Patrick Krause, and Sarah Miller. “The Employment Effects of a Guaranteed Income: Experimental Evidence from Two U.S. States.” NBER Working Paper 32719 (July 2024, revised January 2025). URL: https://www.nber.org/papers/w32719</w:t>
      </w:r>
    </w:p>
    <w:p w14:paraId="774A4101" w14:textId="77777777" w:rsidR="00F777C6" w:rsidRDefault="00F777C6" w:rsidP="00F777C6">
      <w:r>
        <w:t xml:space="preserve">[15] Browne, James, and Herwig </w:t>
      </w:r>
      <w:proofErr w:type="spellStart"/>
      <w:r>
        <w:t>Immervoll</w:t>
      </w:r>
      <w:proofErr w:type="spellEnd"/>
      <w:r>
        <w:t>. “Mechanics of Replacing Benefit Systems with a Basic Income.” OECD Social, Employment and Migration Working Papers No. 193 (2017). URL: https://www.oecd.org/en/publications/mechanics-of-replacing-benefits-systems-with-a-basic-income_ec38a279-en.html</w:t>
      </w:r>
    </w:p>
    <w:p w14:paraId="76ACC570" w14:textId="77777777" w:rsidR="00F777C6" w:rsidRDefault="00F777C6" w:rsidP="00F777C6">
      <w:r>
        <w:lastRenderedPageBreak/>
        <w:t>[16] Meade, James E. Efficiency, Equality and the Ownership of Property. London: George Allen &amp; Unwin, 1964. URL: https://www.routledge.com/Efficiency-Equality-and-the-Ownership-of-Property-Routledge-Revivals/Meade/p/book/9780415621731</w:t>
      </w:r>
    </w:p>
    <w:p w14:paraId="5D1F401D" w14:textId="77777777" w:rsidR="00F777C6" w:rsidRDefault="00F777C6" w:rsidP="00F777C6">
      <w:r>
        <w:t xml:space="preserve">[17] Van Trier, Walter. “From James Meade’s ‘Social Dividend’ to ‘State Bonus’: An Intriguing Chapter in the History of a Concept.” </w:t>
      </w:r>
      <w:proofErr w:type="spellStart"/>
      <w:r>
        <w:t>Œconomia</w:t>
      </w:r>
      <w:proofErr w:type="spellEnd"/>
      <w:r>
        <w:t xml:space="preserve"> - History, Methodology, Philosophy 8, no. 4 (2018): 439-474. URL: https://biblio.ugent.be/publication/8610812/file/8610994.pdf</w:t>
      </w:r>
    </w:p>
    <w:p w14:paraId="12EB7E11" w14:textId="77777777" w:rsidR="00F777C6" w:rsidRDefault="00F777C6" w:rsidP="00F777C6">
      <w:pPr>
        <w:pStyle w:val="Heading2"/>
      </w:pPr>
      <w:r>
        <w:t>FINANCIAL FRAGILITY, INVESTMENT, AND BROAD-BASED ASSET OWNERSHIP</w:t>
      </w:r>
    </w:p>
    <w:p w14:paraId="6F500A5F" w14:textId="77777777" w:rsidR="00F777C6" w:rsidRDefault="00F777C6" w:rsidP="00F777C6">
      <w:r>
        <w:t xml:space="preserve">[18] </w:t>
      </w:r>
      <w:proofErr w:type="spellStart"/>
      <w:r>
        <w:t>Bounader</w:t>
      </w:r>
      <w:proofErr w:type="spellEnd"/>
      <w:r>
        <w:t>, Lahcen, and Selim Elekdag. “The Diagnostic Financial Accelerator.” IMF Working Paper WP/24/132 (2024). URL: https://www.imf.org/-/media/files/publications/wp/2024/english/wpiea2024132-print-pdf.pdf</w:t>
      </w:r>
    </w:p>
    <w:p w14:paraId="6CAAC131" w14:textId="77777777" w:rsidR="00F777C6" w:rsidRDefault="00F777C6" w:rsidP="00F777C6">
      <w:r>
        <w:t>[19] OECD. “Reigniting Investment for More Resilient Growth.” In OECD Economic Outlook, Volume 2025 Issue 1: Tackling Uncertainty, Reviving Growth (2025). URL: https://www.oecd.org/en/publications/2025/06/oecd-economic-outlook-volume-2025-issue-1_1fd979a8/full-report/reigniting-investment-for-more-resilient-growth_99b36090.html</w:t>
      </w:r>
    </w:p>
    <w:p w14:paraId="6DC2572E" w14:textId="77777777" w:rsidR="00F777C6" w:rsidRDefault="00F777C6" w:rsidP="00F777C6">
      <w:r>
        <w:t>[20] Blyth, Mark, and Eric Lonergan. “A Citizen’s Wealth Fund: Broadening Asset Ownership, Reducing Inequality and Stabilizing the System.” In The Future of Wealth (2021). URL: https://futureofwealth.org/wp-content/uploads/2021/12/Sec8-Ch-63-Blyth-Lonergan.pdf</w:t>
      </w:r>
    </w:p>
    <w:p w14:paraId="53976C95" w14:textId="77777777" w:rsidR="00F777C6" w:rsidRDefault="00F777C6" w:rsidP="00F777C6">
      <w:pPr>
        <w:pStyle w:val="Heading2"/>
      </w:pPr>
      <w:r>
        <w:t>STOCK-FLOW CONSISTENT MODELING, PUBLIC FUNDS, SOVEREIGN WEALTH FUNDS</w:t>
      </w:r>
    </w:p>
    <w:p w14:paraId="732D671E" w14:textId="77777777" w:rsidR="00F777C6" w:rsidRDefault="00F777C6" w:rsidP="00F777C6">
      <w:r>
        <w:t>[21] Byrialsen, M. R., and N. Raza. “An Empirical Stock-Flow Consistent Macroeconomic Model for Denmark.” Levy Economics Institute Working Paper No. 942 (2020). URL: https://www.levyinstitute.org/publications/an-empirical-stock-flow-consistent-macroeconomic-model-for-denmark</w:t>
      </w:r>
    </w:p>
    <w:p w14:paraId="2FD9E5AE" w14:textId="77777777" w:rsidR="00F777C6" w:rsidRDefault="00F777C6" w:rsidP="00F777C6">
      <w:r>
        <w:t>[22] Ruggeri, Francesco, Riccardo Pariboni, and Giuliano Toshiro Yajima. “A Stock-Flow Consistent Model of Emulation, Debt, and Personal Income Inequality.” Levy Economics Institute Working Paper No. 1099 (October 2025). URL: https://www.levyinstitute.org/publications/a-stock-flow-consistent-model-of-emulation-debt-and-personal-income-inequality</w:t>
      </w:r>
    </w:p>
    <w:p w14:paraId="554D20BF" w14:textId="77777777" w:rsidR="00F777C6" w:rsidRDefault="00F777C6" w:rsidP="00F777C6">
      <w:r>
        <w:t>[23] Cuervo-</w:t>
      </w:r>
      <w:proofErr w:type="spellStart"/>
      <w:r>
        <w:t>Cazurra</w:t>
      </w:r>
      <w:proofErr w:type="spellEnd"/>
      <w:r>
        <w:t>, Alvaro, Anna Grosman, and Geoffrey T. Wood. “Cross-country Variations in Sovereign Wealth Funds’ Transparency.” Journal of International Business Policy 6, no. 3 (2023): 447-468. DOI: 10.1057/s42214-023-00149-0. URL: https://pmc.ncbi.nlm.nih.gov/articles/PMC10009841/</w:t>
      </w:r>
    </w:p>
    <w:p w14:paraId="0AEE25BE" w14:textId="77777777" w:rsidR="00F777C6" w:rsidRDefault="00F777C6" w:rsidP="00F777C6">
      <w:r>
        <w:t>[24] Avendaño, Rolando, and Javier Santiso. “Are Sovereign Wealth Funds’ Investments Politically Biased? A Comparison with Mutual Funds.” OECD Development Centre Working Paper No. 283 (2009). URL: https://www.oecd.org/en/publications/are-sovereign-wealth-funds-investments-politically-biased_218475437211.html</w:t>
      </w:r>
    </w:p>
    <w:p w14:paraId="6D2AA224" w14:textId="77777777" w:rsidR="00F777C6" w:rsidRDefault="00F777C6" w:rsidP="00F777C6">
      <w:r>
        <w:t>[25] Alaska Permanent Fund Corporation. “History of the Alaska Permanent Fund and APFC.” URL: https://apfc.org/history/</w:t>
      </w:r>
    </w:p>
    <w:p w14:paraId="179B4128" w14:textId="77777777" w:rsidR="00F777C6" w:rsidRDefault="00F777C6" w:rsidP="00F777C6">
      <w:r>
        <w:lastRenderedPageBreak/>
        <w:t>[26] Alaska Department of Revenue, Permanent Fund Dividend Division. “Historical Timeline.” URL: https://pfd.alaska.gov/division-info/historical-timeline</w:t>
      </w:r>
    </w:p>
    <w:p w14:paraId="3A1F5B98" w14:textId="77777777" w:rsidR="00F777C6" w:rsidRDefault="00F777C6" w:rsidP="00F777C6">
      <w:pPr>
        <w:pStyle w:val="Heading2"/>
      </w:pPr>
      <w:r>
        <w:t>DEMAND FRAGILITY, HOUSEHOLD DEBT, AND DEBT DEFLATION</w:t>
      </w:r>
    </w:p>
    <w:p w14:paraId="6009BBAC" w14:textId="77777777" w:rsidR="00F777C6" w:rsidRDefault="00F777C6" w:rsidP="00F777C6">
      <w:r>
        <w:t>[27] Mian, Atif, and Amir Sufi. “Household Leverage and the Recession of 2007 to 2009.” IMF Economic Review 58, no. 1 (2010): 74-117. URL: https://atif.scholar.princeton.edu/publications/household-leverage-and-recession-2007-2009</w:t>
      </w:r>
    </w:p>
    <w:p w14:paraId="70718D13" w14:textId="77777777" w:rsidR="00F777C6" w:rsidRDefault="00F777C6" w:rsidP="00F777C6">
      <w:r>
        <w:t>[28] Mian, Atif, and Amir Sufi. “House Prices, Home Equity-Based Borrowing, and the U.S. Household Leverage Crisis.” American Economic Review 101, no. 5 (2011): 2132-2156. URL: https://atif.scholar.princeton.edu/publications/house-prices-home-equity-based-borrowing-and-us-household-leverage-crisis</w:t>
      </w:r>
    </w:p>
    <w:p w14:paraId="4F3DF8B4" w14:textId="77777777" w:rsidR="00F777C6" w:rsidRDefault="00F777C6" w:rsidP="00F777C6">
      <w:r>
        <w:t>[29] Mian, Atif, Amir Sufi, and Emil Verner. “Household Debt and Business Cycles Worldwide.” The Quarterly Journal of Economics 132, no. 4 (2017): 1755-1817. DOI: 10.1093/</w:t>
      </w:r>
      <w:proofErr w:type="spellStart"/>
      <w:r>
        <w:t>qje</w:t>
      </w:r>
      <w:proofErr w:type="spellEnd"/>
      <w:r>
        <w:t>/qjx017. URL: https://academic.oup.com/qje/article-abstract/132/4/1755/3854928</w:t>
      </w:r>
    </w:p>
    <w:p w14:paraId="177AF353" w14:textId="77777777" w:rsidR="00F777C6" w:rsidRDefault="00F777C6" w:rsidP="00F777C6">
      <w:r>
        <w:t>[30] Mian, Atif, and Amir Sufi. “Finance and Business Cycles: The Credit-Driven Household Demand Channel.” Journal of Economic Perspectives 32, no. 3 (2018): 31-58. URL: https://www.nber.org/papers/w24322</w:t>
      </w:r>
    </w:p>
    <w:p w14:paraId="62D57A23" w14:textId="77777777" w:rsidR="00F777C6" w:rsidRDefault="00F777C6" w:rsidP="00F777C6">
      <w:r>
        <w:t xml:space="preserve">[31] Fisher, Irving. “The Debt-Deflation Theory of Great Depressions.” </w:t>
      </w:r>
      <w:proofErr w:type="spellStart"/>
      <w:r>
        <w:t>Econometrica</w:t>
      </w:r>
      <w:proofErr w:type="spellEnd"/>
      <w:r>
        <w:t xml:space="preserve"> 1, no. 4 (1933): 337-357. URL: https://fraser.stlouisfed.org/files/docs/meltzer/fisdeb33.pdf</w:t>
      </w:r>
    </w:p>
    <w:p w14:paraId="35D8A2BE" w14:textId="77777777" w:rsidR="003157E9" w:rsidRDefault="003157E9" w:rsidP="00F777C6">
      <w:pPr>
        <w:rPr>
          <w:rFonts w:asciiTheme="majorHAnsi" w:eastAsiaTheme="majorEastAsia" w:hAnsiTheme="majorHAnsi" w:cstheme="majorBidi"/>
          <w:b/>
          <w:bCs/>
          <w:color w:val="365F91" w:themeColor="accent1" w:themeShade="BF"/>
          <w:sz w:val="28"/>
          <w:szCs w:val="28"/>
        </w:rPr>
      </w:pPr>
    </w:p>
    <w:sectPr w:rsidR="003157E9" w:rsidSect="00034616">
      <w:footerReference w:type="even" r:id="rId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D732A" w14:textId="77777777" w:rsidR="00AE3512" w:rsidRDefault="00AE3512" w:rsidP="0095212B">
      <w:pPr>
        <w:spacing w:after="0" w:line="240" w:lineRule="auto"/>
      </w:pPr>
      <w:r>
        <w:separator/>
      </w:r>
    </w:p>
  </w:endnote>
  <w:endnote w:type="continuationSeparator" w:id="0">
    <w:p w14:paraId="58905C46" w14:textId="77777777" w:rsidR="00AE3512" w:rsidRDefault="00AE3512"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4E46BCE1"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w:t>
    </w:r>
    <w:r w:rsidR="003A3BA4">
      <w:t>9</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F8D96" w14:textId="77777777" w:rsidR="00AE3512" w:rsidRDefault="00AE3512" w:rsidP="0095212B">
      <w:pPr>
        <w:spacing w:after="0" w:line="240" w:lineRule="auto"/>
      </w:pPr>
      <w:r>
        <w:separator/>
      </w:r>
    </w:p>
  </w:footnote>
  <w:footnote w:type="continuationSeparator" w:id="0">
    <w:p w14:paraId="21416825" w14:textId="77777777" w:rsidR="00AE3512" w:rsidRDefault="00AE3512" w:rsidP="00952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85F"/>
    <w:rsid w:val="00034616"/>
    <w:rsid w:val="00053FDE"/>
    <w:rsid w:val="0006063C"/>
    <w:rsid w:val="000D5941"/>
    <w:rsid w:val="000F6883"/>
    <w:rsid w:val="00102E57"/>
    <w:rsid w:val="001326E2"/>
    <w:rsid w:val="00134CE0"/>
    <w:rsid w:val="0015074B"/>
    <w:rsid w:val="001748C8"/>
    <w:rsid w:val="001A671E"/>
    <w:rsid w:val="001A6AEB"/>
    <w:rsid w:val="001C59D4"/>
    <w:rsid w:val="001F27C1"/>
    <w:rsid w:val="00270C84"/>
    <w:rsid w:val="0029639D"/>
    <w:rsid w:val="002B7C0D"/>
    <w:rsid w:val="002F62CF"/>
    <w:rsid w:val="0031566B"/>
    <w:rsid w:val="003157E9"/>
    <w:rsid w:val="00326F90"/>
    <w:rsid w:val="00364858"/>
    <w:rsid w:val="003A3BA4"/>
    <w:rsid w:val="003A79A5"/>
    <w:rsid w:val="003D4C46"/>
    <w:rsid w:val="00415F95"/>
    <w:rsid w:val="0045166E"/>
    <w:rsid w:val="00464CBB"/>
    <w:rsid w:val="004E6650"/>
    <w:rsid w:val="004F6256"/>
    <w:rsid w:val="00514FDD"/>
    <w:rsid w:val="00580182"/>
    <w:rsid w:val="005B56F6"/>
    <w:rsid w:val="005C622E"/>
    <w:rsid w:val="005F55E0"/>
    <w:rsid w:val="00620252"/>
    <w:rsid w:val="00646C33"/>
    <w:rsid w:val="0065191B"/>
    <w:rsid w:val="006722C3"/>
    <w:rsid w:val="0074277D"/>
    <w:rsid w:val="00752A7D"/>
    <w:rsid w:val="00767AEA"/>
    <w:rsid w:val="00774CDA"/>
    <w:rsid w:val="007750FE"/>
    <w:rsid w:val="0079207D"/>
    <w:rsid w:val="007B082F"/>
    <w:rsid w:val="007C6132"/>
    <w:rsid w:val="007F620B"/>
    <w:rsid w:val="008C2D57"/>
    <w:rsid w:val="008D12DC"/>
    <w:rsid w:val="008E7E22"/>
    <w:rsid w:val="008F01AF"/>
    <w:rsid w:val="008F7888"/>
    <w:rsid w:val="00925996"/>
    <w:rsid w:val="0095212B"/>
    <w:rsid w:val="009B50E7"/>
    <w:rsid w:val="009D4247"/>
    <w:rsid w:val="00A07C58"/>
    <w:rsid w:val="00A2045F"/>
    <w:rsid w:val="00AA1AC0"/>
    <w:rsid w:val="00AA1D8D"/>
    <w:rsid w:val="00AB6536"/>
    <w:rsid w:val="00AB6BD9"/>
    <w:rsid w:val="00AC3B05"/>
    <w:rsid w:val="00AE3512"/>
    <w:rsid w:val="00AE4A1A"/>
    <w:rsid w:val="00AF7674"/>
    <w:rsid w:val="00B12606"/>
    <w:rsid w:val="00B47730"/>
    <w:rsid w:val="00B8068B"/>
    <w:rsid w:val="00BA6850"/>
    <w:rsid w:val="00BE66D3"/>
    <w:rsid w:val="00C06B81"/>
    <w:rsid w:val="00C073AC"/>
    <w:rsid w:val="00C10520"/>
    <w:rsid w:val="00C144CC"/>
    <w:rsid w:val="00C73DBD"/>
    <w:rsid w:val="00C872E6"/>
    <w:rsid w:val="00CB0664"/>
    <w:rsid w:val="00E70D7E"/>
    <w:rsid w:val="00E7277E"/>
    <w:rsid w:val="00ED5929"/>
    <w:rsid w:val="00EF0750"/>
    <w:rsid w:val="00EF5BF0"/>
    <w:rsid w:val="00F06D52"/>
    <w:rsid w:val="00F22B41"/>
    <w:rsid w:val="00F314BF"/>
    <w:rsid w:val="00F777C6"/>
    <w:rsid w:val="00F8454A"/>
    <w:rsid w:val="00FB762D"/>
    <w:rsid w:val="00FC693F"/>
    <w:rsid w:val="00FF6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536"/>
    <w:rPr>
      <w:szCs w:val="20"/>
    </w:rPr>
  </w:style>
  <w:style w:type="paragraph" w:styleId="Heading1">
    <w:name w:val="heading 1"/>
    <w:basedOn w:val="Normal"/>
    <w:next w:val="Normal"/>
    <w:link w:val="Heading1Char"/>
    <w:uiPriority w:val="9"/>
    <w:qFormat/>
    <w:rsid w:val="001326E2"/>
    <w:pPr>
      <w:keepNext/>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1326E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 w:type="paragraph" w:customStyle="1" w:styleId="RefEntry">
    <w:name w:val="RefEntry"/>
    <w:basedOn w:val="Normal"/>
    <w:rsid w:val="003157E9"/>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3157E9"/>
    <w:pPr>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 w:type="character" w:styleId="Hyperlink">
    <w:name w:val="Hyperlink"/>
    <w:basedOn w:val="DefaultParagraphFont"/>
    <w:uiPriority w:val="99"/>
    <w:unhideWhenUsed/>
    <w:rsid w:val="00C144CC"/>
    <w:rPr>
      <w:color w:val="0000FF" w:themeColor="hyperlink"/>
      <w:u w:val="single"/>
    </w:rPr>
  </w:style>
  <w:style w:type="character" w:styleId="UnresolvedMention">
    <w:name w:val="Unresolved Mention"/>
    <w:basedOn w:val="DefaultParagraphFont"/>
    <w:uiPriority w:val="99"/>
    <w:semiHidden/>
    <w:unhideWhenUsed/>
    <w:rsid w:val="00C14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loop.streamlit.app"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6634</Words>
  <Characters>36026</Characters>
  <Application>Microsoft Office Word</Application>
  <DocSecurity>0</DocSecurity>
  <Lines>507</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4</cp:revision>
  <cp:lastPrinted>2026-03-10T03:16:00Z</cp:lastPrinted>
  <dcterms:created xsi:type="dcterms:W3CDTF">2026-03-10T03:16:00Z</dcterms:created>
  <dcterms:modified xsi:type="dcterms:W3CDTF">2026-03-10T03:45:00Z</dcterms:modified>
  <cp:category/>
</cp:coreProperties>
</file>