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106A8" w14:textId="77777777" w:rsidR="00AC4287" w:rsidRDefault="00AC4287" w:rsidP="00AC4287">
      <w:pPr>
        <w:pStyle w:val="Heading1"/>
      </w:pPr>
      <w:bookmarkStart w:id="0" w:name="health-and-wealth-research-brief"/>
      <w:bookmarkStart w:id="1" w:name="content"/>
      <w:r>
        <w:t>Health and Wealth Research Brief</w:t>
      </w:r>
    </w:p>
    <w:p w14:paraId="143938C5" w14:textId="77777777" w:rsidR="00AC4287" w:rsidRPr="00F67A3C" w:rsidRDefault="00AC4287" w:rsidP="00AC4287">
      <w:r>
        <w:t xml:space="preserve">For reference, here is a ChatGPT “deep research” brief on matters covered by this document and the EconomySim model. </w:t>
      </w:r>
    </w:p>
    <w:p w14:paraId="724399F5" w14:textId="77777777" w:rsidR="00AC4287" w:rsidRDefault="00AC4287" w:rsidP="00AC4287">
      <w:pPr>
        <w:pStyle w:val="Heading2"/>
      </w:pPr>
      <w:bookmarkStart w:id="2" w:name="X6a229982557c4ad7e307ce8c14179d20db95cda"/>
      <w:r>
        <w:t>Long-horizon automation transitions and why measurability matters</w:t>
      </w:r>
    </w:p>
    <w:p w14:paraId="26763548" w14:textId="77777777" w:rsidR="00AC4287" w:rsidRDefault="00AC4287" w:rsidP="00AC4287">
      <w:r>
        <w:t xml:space="preserve">A “twenty years or more” horizon is not an arbitrary rhetorical flourish; it is broadly consistent with how general-purpose technologies diffuse and how their productivity and distributional effects show up in national accounts. Economic historian Paul David’s classic account of the “productivity paradox” emphasized that major technologies (his emblematic case was factory electrification) can require long complementary organizational changes before aggregate productivity gains become visible. </w:t>
      </w:r>
      <w:hyperlink r:id="rId5">
        <w:r>
          <w:rPr>
            <w:rStyle w:val="Hyperlink"/>
          </w:rPr>
          <w:t>[1]</w:t>
        </w:r>
      </w:hyperlink>
      <w:r>
        <w:t xml:space="preserve"> A recent OECD</w:t>
      </w:r>
      <w:hyperlink r:id="rId6">
        <w:r>
          <w:rPr>
            <w:rStyle w:val="Hyperlink"/>
          </w:rPr>
          <w:t>[2]</w:t>
        </w:r>
      </w:hyperlink>
      <w:r>
        <w:t xml:space="preserve"> paper on digital technology diffusion similarly stresses that AI and other advanced technologies spread unevenly across sectors and firms, tend to build on enabling technologies, and diffuse in stages rather than all at once—features that, in practice, push transitions into multi</w:t>
      </w:r>
      <w:r>
        <w:rPr>
          <w:rFonts w:ascii="Cambria Math" w:hAnsi="Cambria Math" w:cs="Cambria Math"/>
        </w:rPr>
        <w:t>‑</w:t>
      </w:r>
      <w:r>
        <w:t>year (often multi</w:t>
      </w:r>
      <w:r>
        <w:rPr>
          <w:rFonts w:ascii="Cambria Math" w:hAnsi="Cambria Math" w:cs="Cambria Math"/>
        </w:rPr>
        <w:t>‑</w:t>
      </w:r>
      <w:r>
        <w:t xml:space="preserve">decade) governance problems. </w:t>
      </w:r>
      <w:hyperlink r:id="rId7">
        <w:r>
          <w:rPr>
            <w:rStyle w:val="Hyperlink"/>
          </w:rPr>
          <w:t>[3]</w:t>
        </w:r>
      </w:hyperlink>
    </w:p>
    <w:p w14:paraId="1FE6C694" w14:textId="77777777" w:rsidR="00AC4287" w:rsidRDefault="00AC4287" w:rsidP="00AC4287">
      <w:r>
        <w:t xml:space="preserve">Even when headline adoption seems rapid, distribution is slow and contested. Labor-market economists Daron Acemoglu and Pascual Restrepo frame automation as a “task” reallocation process with a displacement effect (capital replacing labor in tasks) and possible offsetting forces (new tasks, capital accumulation), which implies a long and uncertain transition path rather than a single shock. </w:t>
      </w:r>
      <w:hyperlink r:id="rId8">
        <w:r>
          <w:rPr>
            <w:rStyle w:val="Hyperlink"/>
          </w:rPr>
          <w:t>[4]</w:t>
        </w:r>
      </w:hyperlink>
      <w:r>
        <w:t xml:space="preserve"> At the same time, major institutions project large near-term workforce churn from AI; for example, the World Economic Forum</w:t>
      </w:r>
      <w:hyperlink r:id="rId9">
        <w:r>
          <w:rPr>
            <w:rStyle w:val="Hyperlink"/>
          </w:rPr>
          <w:t>[5]</w:t>
        </w:r>
      </w:hyperlink>
      <w:r>
        <w:t xml:space="preserve">’s Future of Jobs reporting for the 2025–2030 window anticipates sizable job creation and job displacement occurring in parallel, which is exactly the kind of prolonged “reallocation” environment that can stress social insurance systems designed around stable wage employment. </w:t>
      </w:r>
      <w:hyperlink r:id="rId10">
        <w:r>
          <w:rPr>
            <w:rStyle w:val="Hyperlink"/>
          </w:rPr>
          <w:t>[6]</w:t>
        </w:r>
      </w:hyperlink>
    </w:p>
    <w:p w14:paraId="735CD0D0" w14:textId="77777777" w:rsidR="00AC4287" w:rsidRDefault="00AC4287" w:rsidP="00AC4287">
      <w:r>
        <w:t>A key empirical reason the “Health and Wealth” logic emerges in the first place is that the labor share has been under pressure in many advanced economies, with technology (and automation-feasible task structures) repeatedly identified as a contributor. International Monetary Fund</w:t>
      </w:r>
      <w:hyperlink r:id="rId11">
        <w:r>
          <w:rPr>
            <w:rStyle w:val="Hyperlink"/>
          </w:rPr>
          <w:t>[7]</w:t>
        </w:r>
      </w:hyperlink>
      <w:r>
        <w:t xml:space="preserve"> analysis has argued that, in advanced economies, roughly half the decline in labor shares in recent decades can be traced to technology-related factors, including the automation susceptibility of occupations. </w:t>
      </w:r>
      <w:hyperlink r:id="rId12">
        <w:r>
          <w:rPr>
            <w:rStyle w:val="Hyperlink"/>
          </w:rPr>
          <w:t>[8]</w:t>
        </w:r>
      </w:hyperlink>
      <w:r>
        <w:t xml:space="preserve"> The International Labour Organization</w:t>
      </w:r>
      <w:hyperlink r:id="rId13">
        <w:r>
          <w:rPr>
            <w:rStyle w:val="Hyperlink"/>
          </w:rPr>
          <w:t>[9]</w:t>
        </w:r>
      </w:hyperlink>
      <w:r>
        <w:t xml:space="preserve"> has likewise linked wage and household income inequality concerns to declining labor shares in multiple contexts. </w:t>
      </w:r>
      <w:hyperlink r:id="rId14">
        <w:r>
          <w:rPr>
            <w:rStyle w:val="Hyperlink"/>
          </w:rPr>
          <w:t>[10]</w:t>
        </w:r>
      </w:hyperlink>
    </w:p>
    <w:p w14:paraId="4AC3AC7B" w14:textId="77777777" w:rsidR="00AC4287" w:rsidRDefault="00AC4287" w:rsidP="00AC4287">
      <w:r>
        <w:t xml:space="preserve">If the transition is long, legitimacy becomes a governance constraint—not a communications add-on. Cross-national evidence shows that trust in national government is often fragile and varies widely; the OECD’s trust indicators and country notes frame “openness” and “reliability” as material drivers of trust, with measurable gaps across countries and groups. </w:t>
      </w:r>
      <w:hyperlink r:id="rId15">
        <w:r>
          <w:rPr>
            <w:rStyle w:val="Hyperlink"/>
          </w:rPr>
          <w:t>[11]</w:t>
        </w:r>
      </w:hyperlink>
      <w:r>
        <w:t xml:space="preserve"> That is the research basis for the passage’s insistence that progress must be “transparently measurable in public”: in a long transition, publics will </w:t>
      </w:r>
      <w:r>
        <w:lastRenderedPageBreak/>
        <w:t xml:space="preserve">demand not only outcomes but credible, ongoing evidence about whether the system is functioning and for whom. </w:t>
      </w:r>
      <w:hyperlink r:id="rId16">
        <w:r>
          <w:rPr>
            <w:rStyle w:val="Hyperlink"/>
          </w:rPr>
          <w:t>[12]</w:t>
        </w:r>
      </w:hyperlink>
    </w:p>
    <w:p w14:paraId="4FBCBA55" w14:textId="77777777" w:rsidR="00AC4287" w:rsidRDefault="00AC4287" w:rsidP="00AC4287">
      <w:pPr>
        <w:pStyle w:val="Heading2"/>
      </w:pPr>
      <w:bookmarkStart w:id="3" w:name="X67148343f38d206c52288bafdea62c785b7839d"/>
      <w:bookmarkEnd w:id="2"/>
      <w:r>
        <w:t>Households and “ménages” in French economic language</w:t>
      </w:r>
    </w:p>
    <w:p w14:paraId="16452BF1" w14:textId="77777777" w:rsidR="00AC4287" w:rsidRDefault="00AC4287" w:rsidP="00AC4287">
      <w:r>
        <w:t>Your decision to use “household” consistently is strongly aligned with French statistical convention. INSEE</w:t>
      </w:r>
      <w:hyperlink r:id="rId17">
        <w:r>
          <w:rPr>
            <w:rStyle w:val="Hyperlink"/>
          </w:rPr>
          <w:t>[13]</w:t>
        </w:r>
      </w:hyperlink>
      <w:r>
        <w:t xml:space="preserve"> defines a </w:t>
      </w:r>
      <w:r>
        <w:rPr>
          <w:i/>
          <w:iCs/>
        </w:rPr>
        <w:t>ménage</w:t>
      </w:r>
      <w:r>
        <w:t xml:space="preserve"> as the set of occupants of the same dwelling, explicitly noting that they are not necessarily related, and that a household may consist of a single person. </w:t>
      </w:r>
      <w:hyperlink r:id="rId18">
        <w:r>
          <w:rPr>
            <w:rStyle w:val="Hyperlink"/>
          </w:rPr>
          <w:t>[14]</w:t>
        </w:r>
      </w:hyperlink>
      <w:r>
        <w:t xml:space="preserve"> This matters for policy writing because it prevents readers from smuggling “family” assumptions into discussions of solvency, consumption, housing, and tax incidence—exactly the domains your proposal addresses.</w:t>
      </w:r>
    </w:p>
    <w:p w14:paraId="76B386F4" w14:textId="77777777" w:rsidR="00AC4287" w:rsidRDefault="00AC4287" w:rsidP="00AC4287">
      <w:pPr>
        <w:pStyle w:val="Heading2"/>
      </w:pPr>
      <w:bookmarkStart w:id="4" w:name="Xdc2f7d9e90e186d0018a22bc7233ba22932f122"/>
      <w:bookmarkEnd w:id="3"/>
      <w:r>
        <w:t>Citizen ownership without central planning</w:t>
      </w:r>
    </w:p>
    <w:p w14:paraId="604D26A4" w14:textId="77777777" w:rsidR="00AC4287" w:rsidRDefault="00AC4287" w:rsidP="00AC4287">
      <w:r>
        <w:t>The passage’s “not socialism” claim is easiest to substantiate when you root it in institutions that already exist inside market economies: sovereign wealth funds, public pension reserve funds, and mandatory retirement savings systems. These structures pool capital, invest it largely through the market, and (in some cases) return part of the yield to the public—without replacing private enterprise, price formation, or profit-seeking.</w:t>
      </w:r>
    </w:p>
    <w:p w14:paraId="0AD03FEB" w14:textId="77777777" w:rsidR="00AC4287" w:rsidRDefault="00AC4287" w:rsidP="00AC4287">
      <w:r>
        <w:rPr>
          <w:b/>
          <w:bCs/>
        </w:rPr>
        <w:t>Sovereign wealth funds as market participants.</w:t>
      </w:r>
      <w:r>
        <w:t xml:space="preserve"> The IMF’s definition is explicit: sovereign wealth funds are government-owned investment funds established for macroeconomic purposes, typically investing transferred assets with long horizons. </w:t>
      </w:r>
      <w:hyperlink r:id="rId19">
        <w:r>
          <w:rPr>
            <w:rStyle w:val="Hyperlink"/>
          </w:rPr>
          <w:t>[15]</w:t>
        </w:r>
      </w:hyperlink>
      <w:r>
        <w:t xml:space="preserve"> In other words, the fund is a portfolio investor, not a planning ministry. Post</w:t>
      </w:r>
      <w:r>
        <w:rPr>
          <w:rFonts w:ascii="Cambria Math" w:hAnsi="Cambria Math" w:cs="Cambria Math"/>
        </w:rPr>
        <w:t>‑</w:t>
      </w:r>
      <w:r>
        <w:t>2008 governance standards reinforce this market orientation. The International Forum of Sovereign Wealth Funds</w:t>
      </w:r>
      <w:hyperlink r:id="rId20">
        <w:r>
          <w:rPr>
            <w:rStyle w:val="Hyperlink"/>
          </w:rPr>
          <w:t>[16]</w:t>
        </w:r>
      </w:hyperlink>
      <w:r>
        <w:t>’s Santiago Principles were written to promote good governance, accountability, transparency, and prudent investment practices—norms designed to make SWFs legible, rule</w:t>
      </w:r>
      <w:r>
        <w:rPr>
          <w:rFonts w:ascii="Cambria Math" w:hAnsi="Cambria Math" w:cs="Cambria Math"/>
        </w:rPr>
        <w:t>‑</w:t>
      </w:r>
      <w:r>
        <w:t xml:space="preserve">bound, and compatible with recipient-country market confidence. </w:t>
      </w:r>
      <w:hyperlink r:id="rId21">
        <w:r>
          <w:rPr>
            <w:rStyle w:val="Hyperlink"/>
          </w:rPr>
          <w:t>[17]</w:t>
        </w:r>
      </w:hyperlink>
      <w:r>
        <w:t xml:space="preserve"> Importantly for your “not socialism” framing, SWF signatories and major SWFs emphasize investment on economic and financial (risk</w:t>
      </w:r>
      <w:r>
        <w:rPr>
          <w:rFonts w:ascii="Cambria Math" w:hAnsi="Cambria Math" w:cs="Cambria Math"/>
        </w:rPr>
        <w:t>‑</w:t>
      </w:r>
      <w:r>
        <w:t xml:space="preserve">return) grounds and the need for sound governance and accountability. </w:t>
      </w:r>
      <w:hyperlink r:id="rId22">
        <w:r>
          <w:rPr>
            <w:rStyle w:val="Hyperlink"/>
          </w:rPr>
          <w:t>[18]</w:t>
        </w:r>
      </w:hyperlink>
    </w:p>
    <w:p w14:paraId="7230C1C8" w14:textId="77777777" w:rsidR="00AC4287" w:rsidRDefault="00AC4287" w:rsidP="00AC4287">
      <w:r>
        <w:rPr>
          <w:b/>
          <w:bCs/>
        </w:rPr>
        <w:t>France’s own precedent: the FRR.</w:t>
      </w:r>
      <w:r>
        <w:t xml:space="preserve"> Fonds de réserve pour les retraites</w:t>
      </w:r>
      <w:hyperlink r:id="rId23">
        <w:r>
          <w:rPr>
            <w:rStyle w:val="Hyperlink"/>
          </w:rPr>
          <w:t>[19]</w:t>
        </w:r>
      </w:hyperlink>
      <w:r>
        <w:t xml:space="preserve"> is a concrete French anchor for the idea of a publicly owned, market-investing fund whose beneficiary is “the community.” The FRR’s mission statements (in English on its official site) describe investing funds entrusted by public authorities “on behalf of the community,” with a mandate to maximize returns while contributing to pension financing. </w:t>
      </w:r>
      <w:hyperlink r:id="rId24">
        <w:r>
          <w:rPr>
            <w:rStyle w:val="Hyperlink"/>
          </w:rPr>
          <w:t>[20]</w:t>
        </w:r>
      </w:hyperlink>
      <w:r>
        <w:t xml:space="preserve"> International institutional summaries describe the FRR as a public-owned, state-funded agency created in 2001 with an investment mission on behalf of the public to help finance the pension system. </w:t>
      </w:r>
      <w:hyperlink r:id="rId25">
        <w:r>
          <w:rPr>
            <w:rStyle w:val="Hyperlink"/>
          </w:rPr>
          <w:t>[21]</w:t>
        </w:r>
      </w:hyperlink>
    </w:p>
    <w:p w14:paraId="53870453" w14:textId="77777777" w:rsidR="00AC4287" w:rsidRDefault="00AC4287" w:rsidP="00AC4287">
      <w:r>
        <w:rPr>
          <w:b/>
          <w:bCs/>
        </w:rPr>
        <w:t>The American proof point: Alaska’s citizen dividend.</w:t>
      </w:r>
      <w:r>
        <w:t xml:space="preserve"> Alaska</w:t>
      </w:r>
      <w:hyperlink r:id="rId26">
        <w:r>
          <w:rPr>
            <w:rStyle w:val="Hyperlink"/>
          </w:rPr>
          <w:t>[22]</w:t>
        </w:r>
      </w:hyperlink>
      <w:r>
        <w:t xml:space="preserve"> operates a widely cited example of a resource-funded public investment pool whose yields help fund a universal resident dividend. The Permanent Fund Dividend program describes itself as a mechanism for residents to “share in a portion of the State minerals revenue” via an annual dividend. </w:t>
      </w:r>
      <w:hyperlink r:id="rId27">
        <w:r>
          <w:rPr>
            <w:rStyle w:val="Hyperlink"/>
          </w:rPr>
          <w:t>[23]</w:t>
        </w:r>
      </w:hyperlink>
      <w:r>
        <w:t xml:space="preserve"> The Alaska Permanent Fund Corporation</w:t>
      </w:r>
      <w:hyperlink r:id="rId28">
        <w:r>
          <w:rPr>
            <w:rStyle w:val="Hyperlink"/>
          </w:rPr>
          <w:t>[24]</w:t>
        </w:r>
      </w:hyperlink>
      <w:r>
        <w:t xml:space="preserve"> explains the Permanent Fund’s origins in </w:t>
      </w:r>
      <w:r>
        <w:lastRenderedPageBreak/>
        <w:t xml:space="preserve">dedicated oil revenues and the institutional decision (after public debate) to manage it as an investment fund with an investment corporation created to manage assets. </w:t>
      </w:r>
      <w:hyperlink r:id="rId29">
        <w:r>
          <w:rPr>
            <w:rStyle w:val="Hyperlink"/>
          </w:rPr>
          <w:t>[25]</w:t>
        </w:r>
      </w:hyperlink>
      <w:r>
        <w:t xml:space="preserve"> A U.S. federal statistical agency summary notes that the fund retains at least 25% of certain resource royalties and pays an annual cash dividend to residents—again, a market-investing structure that does not nationalize firms. </w:t>
      </w:r>
      <w:hyperlink r:id="rId30">
        <w:r>
          <w:rPr>
            <w:rStyle w:val="Hyperlink"/>
          </w:rPr>
          <w:t>[26]</w:t>
        </w:r>
      </w:hyperlink>
    </w:p>
    <w:p w14:paraId="7DBDC8ED" w14:textId="77777777" w:rsidR="00AC4287" w:rsidRDefault="00AC4287" w:rsidP="00AC4287">
      <w:r>
        <w:rPr>
          <w:b/>
          <w:bCs/>
        </w:rPr>
        <w:t>Australia’s retirement capitalism at scale.</w:t>
      </w:r>
      <w:r>
        <w:t xml:space="preserve"> Australia</w:t>
      </w:r>
      <w:hyperlink r:id="rId31">
        <w:r>
          <w:rPr>
            <w:rStyle w:val="Hyperlink"/>
          </w:rPr>
          <w:t>[27]</w:t>
        </w:r>
      </w:hyperlink>
      <w:r>
        <w:t>’s superannuation system shows how broad-based asset ownership can be built through mandatory saving within a market economy. The Australian Taxation Office</w:t>
      </w:r>
      <w:hyperlink r:id="rId32">
        <w:r>
          <w:rPr>
            <w:rStyle w:val="Hyperlink"/>
          </w:rPr>
          <w:t>[28]</w:t>
        </w:r>
      </w:hyperlink>
      <w:r>
        <w:t xml:space="preserve"> provides employer-facing guidance on paying mandated super contributions (the “super guarantee”) for eligible employees. </w:t>
      </w:r>
      <w:hyperlink r:id="rId33">
        <w:r>
          <w:rPr>
            <w:rStyle w:val="Hyperlink"/>
          </w:rPr>
          <w:t>[29]</w:t>
        </w:r>
      </w:hyperlink>
      <w:r>
        <w:t xml:space="preserve"> The Australian Prudential Regulation Authority</w:t>
      </w:r>
      <w:hyperlink r:id="rId34">
        <w:r>
          <w:rPr>
            <w:rStyle w:val="Hyperlink"/>
          </w:rPr>
          <w:t>[30]</w:t>
        </w:r>
      </w:hyperlink>
      <w:r>
        <w:t xml:space="preserve"> reports the scale: total superannuation assets reached about $4.5 trillion as of December 2025. </w:t>
      </w:r>
      <w:hyperlink r:id="rId35">
        <w:r>
          <w:rPr>
            <w:rStyle w:val="Hyperlink"/>
          </w:rPr>
          <w:t>[31]</w:t>
        </w:r>
      </w:hyperlink>
      <w:r>
        <w:t xml:space="preserve"> This is not a “socialist” system in the American sense; it is compulsory, broadly distributed capital accumulation invested through funds that buy equities, debt, and infrastructure assets in domestic and global markets.</w:t>
      </w:r>
    </w:p>
    <w:p w14:paraId="74D23810" w14:textId="77777777" w:rsidR="00AC4287" w:rsidRDefault="00AC4287" w:rsidP="00AC4287">
      <w:r>
        <w:rPr>
          <w:b/>
          <w:bCs/>
        </w:rPr>
        <w:t>Why “ownership changes perspective” is plausible (and how to state it carefully).</w:t>
      </w:r>
      <w:r>
        <w:t xml:space="preserve"> Direct causal claims about national psychology are hard to “prove,” but there is a strong institutional logic you can cite: when households receive part of capital income (dividends or pension returns) through widely held funds, corporate profitability becomes linked—mechanically—to citizen income and retirement security. The Australian case demonstrates the scale of such a linkage (trillions in retirement assets invested in markets), while the Alaskan case demonstrates a durable “citizen dividend” political institution funded by investment returns from common wealth. </w:t>
      </w:r>
      <w:hyperlink r:id="rId36">
        <w:r>
          <w:rPr>
            <w:rStyle w:val="Hyperlink"/>
          </w:rPr>
          <w:t>[32]</w:t>
        </w:r>
      </w:hyperlink>
    </w:p>
    <w:p w14:paraId="3FBDA357" w14:textId="77777777" w:rsidR="00AC4287" w:rsidRDefault="00AC4287" w:rsidP="00AC4287">
      <w:pPr>
        <w:pStyle w:val="Heading2"/>
      </w:pPr>
      <w:bookmarkStart w:id="5" w:name="dividends-and-tax-integration"/>
      <w:bookmarkEnd w:id="4"/>
      <w:r>
        <w:t>Dividends and tax integration</w:t>
      </w:r>
    </w:p>
    <w:p w14:paraId="69301F3D" w14:textId="77777777" w:rsidR="00AC4287" w:rsidRDefault="00AC4287" w:rsidP="00AC4287">
      <w:r>
        <w:t xml:space="preserve">Your passage hinges on a specific fiscal engineering idea: encourage dividend distribution (so the new “economic loop” can function) while not undermining reinvestment incentives or turning the policy into a corporate giveaway. The research literature frames this as a problem of </w:t>
      </w:r>
      <w:r>
        <w:rPr>
          <w:i/>
          <w:iCs/>
        </w:rPr>
        <w:t>integrating</w:t>
      </w:r>
      <w:r>
        <w:t xml:space="preserve"> corporate and personal taxation and managing “double taxation” of distributed profits.</w:t>
      </w:r>
    </w:p>
    <w:p w14:paraId="762B50CE" w14:textId="77777777" w:rsidR="00AC4287" w:rsidRDefault="00AC4287" w:rsidP="00AC4287">
      <w:r>
        <w:rPr>
          <w:b/>
          <w:bCs/>
        </w:rPr>
        <w:t>Double taxation is the baseline problem.</w:t>
      </w:r>
      <w:r>
        <w:t xml:space="preserve"> The OECD’s comparative work on dividend income notes that dividends are often taxed first at the corporate level and then again at the shareholder level, and that the degree of integration between these layers is a key determinant of the combined statutory tax rate on dividends. </w:t>
      </w:r>
      <w:hyperlink r:id="rId37">
        <w:r>
          <w:rPr>
            <w:rStyle w:val="Hyperlink"/>
          </w:rPr>
          <w:t>[33]</w:t>
        </w:r>
      </w:hyperlink>
      <w:r>
        <w:t xml:space="preserve"> This is exactly the analytic basis for your line that “distributions not taxed at the corporation is not a gift… it’s an incentive on behalf of shareholders”: corporate-level relief on distributions is a standard </w:t>
      </w:r>
      <w:r>
        <w:rPr>
          <w:i/>
          <w:iCs/>
        </w:rPr>
        <w:t>tax integration</w:t>
      </w:r>
      <w:r>
        <w:t xml:space="preserve"> technique used to reduce or eliminate double taxation. </w:t>
      </w:r>
      <w:hyperlink r:id="rId38">
        <w:r>
          <w:rPr>
            <w:rStyle w:val="Hyperlink"/>
          </w:rPr>
          <w:t>[34]</w:t>
        </w:r>
      </w:hyperlink>
    </w:p>
    <w:p w14:paraId="76C7F362" w14:textId="77777777" w:rsidR="00AC4287" w:rsidRDefault="00AC4287" w:rsidP="00AC4287">
      <w:r>
        <w:rPr>
          <w:b/>
          <w:bCs/>
        </w:rPr>
        <w:t>Australia’s dividend imputation as a worked example.</w:t>
      </w:r>
      <w:r>
        <w:t xml:space="preserve"> Australia’s “dividend imputation” approach attaches franking credits (reflecting corporate tax already paid) to dividends, so eligible shareholders can use the credits to offset personal income tax—again, a system explicitly designed to integrate corporate and shareholder taxation rather than subsidize firms. The Australian Parliamentary Budget Office explains franking credits as part of </w:t>
      </w:r>
      <w:r>
        <w:lastRenderedPageBreak/>
        <w:t xml:space="preserve">dividend imputation and why they matter for how profits are taxed. </w:t>
      </w:r>
      <w:hyperlink r:id="rId39">
        <w:r>
          <w:rPr>
            <w:rStyle w:val="Hyperlink"/>
          </w:rPr>
          <w:t>[35]</w:t>
        </w:r>
      </w:hyperlink>
      <w:r>
        <w:t xml:space="preserve"> The ATO’s corporate tax “imputation” guidance explains the mechanism: credits can be attached (“franked”) to distributions and used by recipients as tax credits. </w:t>
      </w:r>
      <w:hyperlink r:id="rId40">
        <w:r>
          <w:rPr>
            <w:rStyle w:val="Hyperlink"/>
          </w:rPr>
          <w:t>[36]</w:t>
        </w:r>
      </w:hyperlink>
    </w:p>
    <w:p w14:paraId="6FD0DCE0" w14:textId="77777777" w:rsidR="00AC4287" w:rsidRDefault="00AC4287" w:rsidP="00AC4287">
      <w:r>
        <w:rPr>
          <w:b/>
          <w:bCs/>
        </w:rPr>
        <w:t>Behavioral consequences and tradeoffs.</w:t>
      </w:r>
      <w:r>
        <w:t xml:space="preserve"> Empirical corporate finance research consistently treats dividend taxes as behaviorally relevant: they can affect payout policy, investment, and firm-level outcomes. A recent review-oriented study in the public economics/finance literature notes the “classical” system’s double taxation of dividends and motivates reforms that reduce it, because dividend taxes can change firm behavior. </w:t>
      </w:r>
      <w:hyperlink r:id="rId41">
        <w:r>
          <w:rPr>
            <w:rStyle w:val="Hyperlink"/>
          </w:rPr>
          <w:t>[37]</w:t>
        </w:r>
      </w:hyperlink>
      <w:r>
        <w:t xml:space="preserve"> This evidence supports two important rhetorical moves in your passage: - It is coherent to design “dividend encouragement” as a deliberate policy lever, because payout behavior responds to tax design. </w:t>
      </w:r>
      <w:hyperlink r:id="rId42">
        <w:r>
          <w:rPr>
            <w:rStyle w:val="Hyperlink"/>
          </w:rPr>
          <w:t>[38]</w:t>
        </w:r>
      </w:hyperlink>
      <w:r>
        <w:br/>
        <w:t xml:space="preserve">- It is also coherent to emphasize reinvestment and growth safeguards, because poorly designed payout incentives can, in principle, distort investment choices. </w:t>
      </w:r>
      <w:hyperlink r:id="rId43">
        <w:r>
          <w:rPr>
            <w:rStyle w:val="Hyperlink"/>
          </w:rPr>
          <w:t>[37]</w:t>
        </w:r>
      </w:hyperlink>
    </w:p>
    <w:p w14:paraId="3AB67B55" w14:textId="77777777" w:rsidR="00AC4287" w:rsidRDefault="00AC4287" w:rsidP="00AC4287">
      <w:r>
        <w:rPr>
          <w:b/>
          <w:bCs/>
        </w:rPr>
        <w:t>Simplicity and resistance to manipulation.</w:t>
      </w:r>
      <w:r>
        <w:t xml:space="preserve"> Your line about policy being easier to manage when the tax system has few manipulable parameters is consistent with a growing body of work identifying complexity as a driver of compliance costs and strategic behavior. A 2025 OECD report focuses specifically on “simplicity” as a route to tax certainty and notes that complexity raises compliance costs and burdens for taxpayers and administrations. </w:t>
      </w:r>
      <w:hyperlink r:id="rId44">
        <w:r>
          <w:rPr>
            <w:rStyle w:val="Hyperlink"/>
          </w:rPr>
          <w:t>[39]</w:t>
        </w:r>
      </w:hyperlink>
      <w:r>
        <w:t xml:space="preserve"> Academic evidence on rising tax complexity (e.g., cross-country code growth and perceived filing burdens) similarly treats complexity as increasing compliance costs and motivating demand for simplification. </w:t>
      </w:r>
      <w:hyperlink r:id="rId45">
        <w:r>
          <w:rPr>
            <w:rStyle w:val="Hyperlink"/>
          </w:rPr>
          <w:t>[40]</w:t>
        </w:r>
      </w:hyperlink>
    </w:p>
    <w:p w14:paraId="05A62C65" w14:textId="77777777" w:rsidR="00AC4287" w:rsidRDefault="00AC4287" w:rsidP="00AC4287">
      <w:pPr>
        <w:pStyle w:val="Heading2"/>
      </w:pPr>
      <w:bookmarkStart w:id="6" w:name="ubi-as-life-cycle-stabilization"/>
      <w:bookmarkEnd w:id="5"/>
      <w:r>
        <w:t>UBI as life-cycle stabilization</w:t>
      </w:r>
    </w:p>
    <w:p w14:paraId="5301E13A" w14:textId="77777777" w:rsidR="00AC4287" w:rsidRDefault="00AC4287" w:rsidP="00AC4287">
      <w:r>
        <w:t>Your passage makes two claims that benefit from distinctly different evidence bases: (a) unconditional cash has measurable effects on well-being and poverty; (b) replacing or radically simplifying existing social insurance with UBI is fiscally and distributionally hard unless paired with major funding reforms (like a wealth fund dividend channel).</w:t>
      </w:r>
    </w:p>
    <w:p w14:paraId="0A2A534D" w14:textId="77777777" w:rsidR="00AC4287" w:rsidRDefault="00AC4287" w:rsidP="00AC4287">
      <w:r>
        <w:rPr>
          <w:b/>
          <w:bCs/>
        </w:rPr>
        <w:t>Finland’s experiment: well-being gains, minimal employment effects.</w:t>
      </w:r>
      <w:r>
        <w:t xml:space="preserve"> The Finland</w:t>
      </w:r>
      <w:hyperlink r:id="rId46">
        <w:r>
          <w:rPr>
            <w:rStyle w:val="Hyperlink"/>
          </w:rPr>
          <w:t>[41]</w:t>
        </w:r>
      </w:hyperlink>
      <w:r>
        <w:t xml:space="preserve"> basic income experiment (2017–2018) is repeatedly cited because it was randomized and evaluated with both administrative and survey data. An EU summary of the experiment reports that it had no significant impact on employment but reduced bureaucracy and improved life satisfaction and well-being. </w:t>
      </w:r>
      <w:hyperlink r:id="rId47">
        <w:r>
          <w:rPr>
            <w:rStyle w:val="Hyperlink"/>
          </w:rPr>
          <w:t>[42]</w:t>
        </w:r>
      </w:hyperlink>
      <w:r>
        <w:t xml:space="preserve"> Finland’s government communications on the final results emphasize the same pattern: recipients reported higher life satisfaction and less mental strain than the control group. </w:t>
      </w:r>
      <w:hyperlink r:id="rId48">
        <w:r>
          <w:rPr>
            <w:rStyle w:val="Hyperlink"/>
          </w:rPr>
          <w:t>[43]</w:t>
        </w:r>
      </w:hyperlink>
      <w:r>
        <w:t xml:space="preserve"> This supports your framing of UBI as a stabilizer of participation and mental security, not merely a “retirement” tool.</w:t>
      </w:r>
    </w:p>
    <w:p w14:paraId="14CA73A9" w14:textId="77777777" w:rsidR="00AC4287" w:rsidRDefault="00AC4287" w:rsidP="00AC4287">
      <w:r>
        <w:rPr>
          <w:b/>
          <w:bCs/>
        </w:rPr>
        <w:t>Alaska’s dividend: universal, persistent, and studied as labor-market evidence.</w:t>
      </w:r>
      <w:r>
        <w:t xml:space="preserve"> Alaska’s citizen dividend is often treated as the closest thing to a long-running “partial UBI” in a high-income democracy, because it is universal among residents and financed by investment earnings from common wealth. </w:t>
      </w:r>
      <w:hyperlink r:id="rId49">
        <w:r>
          <w:rPr>
            <w:rStyle w:val="Hyperlink"/>
          </w:rPr>
          <w:t>[44]</w:t>
        </w:r>
      </w:hyperlink>
      <w:r>
        <w:t xml:space="preserve"> A prominent NBER study analyzes the Alaska Permanent Fund Dividend to infer labor-market impacts of unconditional cash and finds limited evidence of large employment reductions in the aggregate, while highlighting </w:t>
      </w:r>
      <w:r>
        <w:lastRenderedPageBreak/>
        <w:t xml:space="preserve">compositional effects (e.g., shifts between part-time and full-time work). </w:t>
      </w:r>
      <w:hyperlink r:id="rId50">
        <w:r>
          <w:rPr>
            <w:rStyle w:val="Hyperlink"/>
          </w:rPr>
          <w:t>[45]</w:t>
        </w:r>
      </w:hyperlink>
      <w:r>
        <w:t xml:space="preserve"> More recent empirical work estimates substantial poverty reduction effects, reporting that the dividend reduced the number of Alaskans below the U.S. poverty threshold by roughly 20%–40% (estimated range) with relatively small labor-supply effects in their measurement framework. </w:t>
      </w:r>
      <w:hyperlink r:id="rId51">
        <w:r>
          <w:rPr>
            <w:rStyle w:val="Hyperlink"/>
          </w:rPr>
          <w:t>[46]</w:t>
        </w:r>
      </w:hyperlink>
      <w:r>
        <w:t xml:space="preserve"> Earlier Alaska-focused research also frames the dividend as a material factor in poverty mitigation, especially for groups and regions where cash income is constrained. </w:t>
      </w:r>
      <w:hyperlink r:id="rId52">
        <w:r>
          <w:rPr>
            <w:rStyle w:val="Hyperlink"/>
          </w:rPr>
          <w:t>[47]</w:t>
        </w:r>
      </w:hyperlink>
    </w:p>
    <w:p w14:paraId="35C3E732" w14:textId="77777777" w:rsidR="00AC4287" w:rsidRDefault="00AC4287" w:rsidP="00AC4287">
      <w:r>
        <w:rPr>
          <w:b/>
          <w:bCs/>
        </w:rPr>
        <w:t>The major design warning: “UBI replaces pensions” is hard without a capital-income channel.</w:t>
      </w:r>
      <w:r>
        <w:t xml:space="preserve"> Comparative policy analysis is blunt that a meaningful basic income can be expensive and can create large “gainers and losers” if it replaces targeted benefits. A recent OECD policy paper on basic income as an option emphasizes that, at current spending levels, a full basic income would often fall below poverty lines unless funded at much higher levels, and that replacing existing programs can have significant distributional consequences. </w:t>
      </w:r>
      <w:hyperlink r:id="rId53">
        <w:r>
          <w:rPr>
            <w:rStyle w:val="Hyperlink"/>
          </w:rPr>
          <w:t>[48]</w:t>
        </w:r>
      </w:hyperlink>
      <w:r>
        <w:t xml:space="preserve"> This is precisely why your passage’s architecture—linking UBI in part to dividend distribution and a collectively owned fund—is analytically defensible: it supplies a non-wage financing stream aligned with shifts in factor shares and automation-driven profitability. </w:t>
      </w:r>
      <w:hyperlink r:id="rId54">
        <w:r>
          <w:rPr>
            <w:rStyle w:val="Hyperlink"/>
          </w:rPr>
          <w:t>[49]</w:t>
        </w:r>
      </w:hyperlink>
    </w:p>
    <w:p w14:paraId="378949F9" w14:textId="77777777" w:rsidR="00AC4287" w:rsidRDefault="00AC4287" w:rsidP="00AC4287">
      <w:pPr>
        <w:pStyle w:val="Heading2"/>
      </w:pPr>
      <w:bookmarkStart w:id="7" w:name="Xca64db74fd86397908461eec463f9768f2abd43"/>
      <w:bookmarkEnd w:id="6"/>
      <w:r>
        <w:t>Modeling, transparency, and intelligent measurement</w:t>
      </w:r>
    </w:p>
    <w:p w14:paraId="28E7A302" w14:textId="77777777" w:rsidR="00AC4287" w:rsidRDefault="00AC4287" w:rsidP="00AC4287">
      <w:pPr>
        <w:pStyle w:val="FirstParagraph"/>
      </w:pPr>
      <w:r>
        <w:t>The end of your passage—“progress could not simply be proclaimed… intelligent machines’ data modeling and analysis could play a constructive role”—has unusually strong real-world support because public institutions already use open data infrastructures and machine learning for real-time macro measurement.</w:t>
      </w:r>
    </w:p>
    <w:p w14:paraId="59655D7D" w14:textId="77777777" w:rsidR="00AC4287" w:rsidRDefault="00AC4287" w:rsidP="00AC4287">
      <w:pPr>
        <w:pStyle w:val="BodyText"/>
      </w:pPr>
      <w:r>
        <w:rPr>
          <w:b/>
          <w:bCs/>
        </w:rPr>
        <w:t>Open data as a public accountability infrastructure.</w:t>
      </w:r>
      <w:r>
        <w:t xml:space="preserve"> France already operates a national open-data system designed for public reuse. The European Commission’s interoperability documentation describes data.gouv.fr as the national portal centralizing and freely sharing public information from government and public institutions. </w:t>
      </w:r>
      <w:hyperlink r:id="rId55">
        <w:r>
          <w:rPr>
            <w:rStyle w:val="Hyperlink"/>
          </w:rPr>
          <w:t>[50]</w:t>
        </w:r>
      </w:hyperlink>
      <w:r>
        <w:t xml:space="preserve"> The portal itself is the French state’s public interface for open datasets across domains. </w:t>
      </w:r>
      <w:hyperlink r:id="rId56">
        <w:r>
          <w:rPr>
            <w:rStyle w:val="Hyperlink"/>
          </w:rPr>
          <w:t>[51]</w:t>
        </w:r>
      </w:hyperlink>
      <w:r>
        <w:t xml:space="preserve"> And France’s digital-policy institutions have highlighted “ten years” of open public data development, including high-frequency publication episodes (e.g., during COVID) that demonstrate the feasibility of continuous public reporting when institutions choose to do it. </w:t>
      </w:r>
      <w:hyperlink r:id="rId57">
        <w:r>
          <w:rPr>
            <w:rStyle w:val="Hyperlink"/>
          </w:rPr>
          <w:t>[52]</w:t>
        </w:r>
      </w:hyperlink>
    </w:p>
    <w:p w14:paraId="20C0757B" w14:textId="77777777" w:rsidR="00AC4287" w:rsidRDefault="00AC4287" w:rsidP="00AC4287">
      <w:pPr>
        <w:pStyle w:val="BodyText"/>
      </w:pPr>
      <w:r>
        <w:rPr>
          <w:b/>
          <w:bCs/>
        </w:rPr>
        <w:t>What “transparent measurement” means in governance standards.</w:t>
      </w:r>
      <w:r>
        <w:t xml:space="preserve"> The OECD’s “Government at a Glance” work treats transparency as a democratic core and explicitly advocates proactive disclosure of clear, complete, timely, reliable, and relevant public sector data and information (as articulated in OECD open government recommendations). </w:t>
      </w:r>
      <w:hyperlink r:id="rId58">
        <w:r>
          <w:rPr>
            <w:rStyle w:val="Hyperlink"/>
          </w:rPr>
          <w:t>[12]</w:t>
        </w:r>
      </w:hyperlink>
      <w:r>
        <w:t xml:space="preserve"> This is a direct external validation of your passage’s premise that measurement is not merely technical—done well, it is legitimacy-preserving.</w:t>
      </w:r>
    </w:p>
    <w:p w14:paraId="1267A6D5" w14:textId="77777777" w:rsidR="00AC4287" w:rsidRDefault="00AC4287" w:rsidP="00AC4287">
      <w:pPr>
        <w:pStyle w:val="BodyText"/>
      </w:pPr>
      <w:r>
        <w:rPr>
          <w:b/>
          <w:bCs/>
        </w:rPr>
        <w:t>Machine learning is already used for macro “nowcasting.”</w:t>
      </w:r>
      <w:r>
        <w:t xml:space="preserve"> The Bank for International Settlements</w:t>
      </w:r>
      <w:hyperlink r:id="rId59">
        <w:r>
          <w:rPr>
            <w:rStyle w:val="Hyperlink"/>
          </w:rPr>
          <w:t>[53]</w:t>
        </w:r>
      </w:hyperlink>
      <w:r>
        <w:t xml:space="preserve"> has published multiple pieces demonstrating the application of machine learning to central-bank measurement problems. A BIS/IFC paper on nowcasting New Zealand GDP tests machine learning methods on large real-time datasets and evaluates </w:t>
      </w:r>
      <w:r>
        <w:lastRenderedPageBreak/>
        <w:t xml:space="preserve">whether ML improves real-time GDP estimates. </w:t>
      </w:r>
      <w:hyperlink r:id="rId60">
        <w:r>
          <w:rPr>
            <w:rStyle w:val="Hyperlink"/>
          </w:rPr>
          <w:t>[54]</w:t>
        </w:r>
      </w:hyperlink>
      <w:r>
        <w:t xml:space="preserve"> A BIS working paper on big data and machine learning in central banking surveys applications and institutional implications of AI and data science for central banks. </w:t>
      </w:r>
      <w:hyperlink r:id="rId61">
        <w:r>
          <w:rPr>
            <w:rStyle w:val="Hyperlink"/>
          </w:rPr>
          <w:t>[55]</w:t>
        </w:r>
      </w:hyperlink>
      <w:r>
        <w:t xml:space="preserve"> The IMF has similarly published technical work on strengthening nowcasting capacity, emphasizing the construction of datasets and scalable approaches to real-time macro estimates. </w:t>
      </w:r>
      <w:hyperlink r:id="rId62">
        <w:r>
          <w:rPr>
            <w:rStyle w:val="Hyperlink"/>
          </w:rPr>
          <w:t>[56]</w:t>
        </w:r>
      </w:hyperlink>
    </w:p>
    <w:p w14:paraId="2D78073B" w14:textId="77777777" w:rsidR="00AC4287" w:rsidRDefault="00AC4287" w:rsidP="00AC4287">
      <w:pPr>
        <w:pStyle w:val="BodyText"/>
      </w:pPr>
      <w:r>
        <w:rPr>
          <w:b/>
          <w:bCs/>
        </w:rPr>
        <w:t>Large language models as measurement tools, not just chatbots.</w:t>
      </w:r>
      <w:r>
        <w:t xml:space="preserve"> A particularly relevant recent example is an European Central Bank</w:t>
      </w:r>
      <w:hyperlink r:id="rId63">
        <w:r>
          <w:rPr>
            <w:rStyle w:val="Hyperlink"/>
          </w:rPr>
          <w:t>[57]</w:t>
        </w:r>
      </w:hyperlink>
      <w:r>
        <w:t xml:space="preserve"> study reported by Reuters in June 2025: using ChatGPT to analyze narrative tone in PMI releases improved real-time GDP forecasting by adding a text-derived “activity sentiment” signal to nowcasting benchmarks. </w:t>
      </w:r>
      <w:hyperlink r:id="rId64">
        <w:r>
          <w:rPr>
            <w:rStyle w:val="Hyperlink"/>
          </w:rPr>
          <w:t>[58]</w:t>
        </w:r>
      </w:hyperlink>
      <w:r>
        <w:t xml:space="preserve"> This directly supports the specific claim in your passage that intelligent machines can help “present results in forms intelligible to citizens,” because LLMs are being used to translate qualitative text streams into measurable signals that improve standard forecasting tools. </w:t>
      </w:r>
      <w:hyperlink r:id="rId65">
        <w:r>
          <w:rPr>
            <w:rStyle w:val="Hyperlink"/>
          </w:rPr>
          <w:t>[58]</w:t>
        </w:r>
      </w:hyperlink>
    </w:p>
    <w:p w14:paraId="70BA31B5" w14:textId="77777777" w:rsidR="00AC4287" w:rsidRDefault="00AC4287" w:rsidP="00AC4287">
      <w:pPr>
        <w:pStyle w:val="BodyText"/>
      </w:pPr>
      <w:r>
        <w:t xml:space="preserve">Taken together, these sources support a defensible research-backed formulation of your closing idea: in a long transition, </w:t>
      </w:r>
      <w:r>
        <w:rPr>
          <w:i/>
          <w:iCs/>
        </w:rPr>
        <w:t>publicly auditable dashboards and models</w:t>
      </w:r>
      <w:r>
        <w:t xml:space="preserve">—built on open data, transparent governance standards, and ML/LLM-based nowcasting tools—are not techno-theater; they are a realistic mechanism for sustaining consent and correcting policy in real time. </w:t>
      </w:r>
      <w:hyperlink r:id="rId66">
        <w:r>
          <w:rPr>
            <w:rStyle w:val="Hyperlink"/>
          </w:rPr>
          <w:t>[59]</w:t>
        </w:r>
      </w:hyperlink>
    </w:p>
    <w:bookmarkEnd w:id="0"/>
    <w:bookmarkEnd w:id="1"/>
    <w:bookmarkEnd w:id="7"/>
    <w:p w14:paraId="3211CD56" w14:textId="77777777" w:rsidR="00AC4287" w:rsidRDefault="0074696C" w:rsidP="00AC4287">
      <w:r>
        <w:rPr>
          <w:noProof/>
        </w:rPr>
        <w:pict w14:anchorId="1DE7BF4F">
          <v:rect id="_x0000_i1025" alt="" style="width:468pt;height:.05pt;mso-width-percent:0;mso-height-percent:0;mso-width-percent:0;mso-height-percent:0" o:hralign="center" o:hrstd="t" o:hr="t"/>
        </w:pict>
      </w:r>
    </w:p>
    <w:bookmarkStart w:id="8" w:name="citations"/>
    <w:p w14:paraId="6FFF3B53" w14:textId="77777777" w:rsidR="00AC4287" w:rsidRDefault="00AC4287" w:rsidP="00AC4287">
      <w:r>
        <w:fldChar w:fldCharType="begin"/>
      </w:r>
      <w:r>
        <w:instrText>HYPERLINK "https://www.jstor.org/stable/2006600?utm_source=chatgpt.com" \h</w:instrText>
      </w:r>
      <w:r>
        <w:fldChar w:fldCharType="separate"/>
      </w:r>
      <w:r>
        <w:rPr>
          <w:rStyle w:val="Hyperlink"/>
        </w:rPr>
        <w:t>[1]</w:t>
      </w:r>
      <w:r>
        <w:fldChar w:fldCharType="end"/>
      </w:r>
      <w:r>
        <w:t xml:space="preserve"> An Historical Perspective on the Modern Productivity Paradox</w:t>
      </w:r>
    </w:p>
    <w:p w14:paraId="2D93CC40" w14:textId="77777777" w:rsidR="00AC4287" w:rsidRDefault="00AC4287" w:rsidP="00AC4287">
      <w:hyperlink r:id="rId67">
        <w:r>
          <w:rPr>
            <w:rStyle w:val="Hyperlink"/>
          </w:rPr>
          <w:t>https://www.jstor.o</w:t>
        </w:r>
        <w:r>
          <w:rPr>
            <w:rStyle w:val="Hyperlink"/>
          </w:rPr>
          <w:t>r</w:t>
        </w:r>
        <w:r>
          <w:rPr>
            <w:rStyle w:val="Hyperlink"/>
          </w:rPr>
          <w:t>g/stable/2006600?utm_source=chatgpt.com</w:t>
        </w:r>
      </w:hyperlink>
    </w:p>
    <w:p w14:paraId="1A0F78B6" w14:textId="77777777" w:rsidR="00AC4287" w:rsidRDefault="00AC4287" w:rsidP="00AC4287">
      <w:hyperlink r:id="rId68">
        <w:r>
          <w:rPr>
            <w:rStyle w:val="Hyperlink"/>
          </w:rPr>
          <w:t>[2]</w:t>
        </w:r>
      </w:hyperlink>
      <w:r>
        <w:t xml:space="preserve"> </w:t>
      </w:r>
      <w:hyperlink r:id="rId69">
        <w:r>
          <w:rPr>
            <w:rStyle w:val="Hyperlink"/>
          </w:rPr>
          <w:t>[48]</w:t>
        </w:r>
      </w:hyperlink>
      <w:r>
        <w:t xml:space="preserve"> Basic income as a policy option (EN)</w:t>
      </w:r>
    </w:p>
    <w:p w14:paraId="5E96A034" w14:textId="77777777" w:rsidR="00AC4287" w:rsidRDefault="00AC4287" w:rsidP="00AC4287">
      <w:hyperlink r:id="rId70">
        <w:r>
          <w:rPr>
            <w:rStyle w:val="Hyperlink"/>
          </w:rPr>
          <w:t>https://www.oecd.org/content/dam/oecd/en/publications/reports/2017/05/basic-income-as-a-policy-option_6d481cff/77d7fe00-en.pdf?utm_source=chatgpt.com</w:t>
        </w:r>
      </w:hyperlink>
    </w:p>
    <w:p w14:paraId="538CCCAC" w14:textId="77777777" w:rsidR="00AC4287" w:rsidRDefault="00AC4287" w:rsidP="00AC4287">
      <w:hyperlink r:id="rId71">
        <w:r>
          <w:rPr>
            <w:rStyle w:val="Hyperlink"/>
          </w:rPr>
          <w:t>[3]</w:t>
        </w:r>
      </w:hyperlink>
      <w:r>
        <w:t xml:space="preserve"> </w:t>
      </w:r>
      <w:hyperlink r:id="rId72">
        <w:r>
          <w:rPr>
            <w:rStyle w:val="Hyperlink"/>
          </w:rPr>
          <w:t>[19]</w:t>
        </w:r>
      </w:hyperlink>
      <w:r>
        <w:t xml:space="preserve"> Digital technology diffusion in the age of AI</w:t>
      </w:r>
    </w:p>
    <w:p w14:paraId="5B94BDE5" w14:textId="77777777" w:rsidR="00AC4287" w:rsidRDefault="00AC4287" w:rsidP="00AC4287">
      <w:hyperlink r:id="rId73">
        <w:r>
          <w:rPr>
            <w:rStyle w:val="Hyperlink"/>
          </w:rPr>
          <w:t>https://www.oecd.org/en/publications/digital-technology-diffusion-in-the-age-of-ai_ebc2debe-en.html?utm_source=chatgpt.com</w:t>
        </w:r>
      </w:hyperlink>
    </w:p>
    <w:p w14:paraId="7445EB1B" w14:textId="77777777" w:rsidR="00AC4287" w:rsidRDefault="00AC4287" w:rsidP="00AC4287">
      <w:hyperlink r:id="rId74">
        <w:r>
          <w:rPr>
            <w:rStyle w:val="Hyperlink"/>
          </w:rPr>
          <w:t>[4]</w:t>
        </w:r>
      </w:hyperlink>
      <w:r>
        <w:t xml:space="preserve"> How Technology Displaces and Reinstates Labor</w:t>
      </w:r>
    </w:p>
    <w:p w14:paraId="395960BF" w14:textId="77777777" w:rsidR="00AC4287" w:rsidRDefault="00AC4287" w:rsidP="00AC4287">
      <w:hyperlink r:id="rId75">
        <w:r>
          <w:rPr>
            <w:rStyle w:val="Hyperlink"/>
          </w:rPr>
          <w:t>https://shapingwork.mit.edu/wp-content/uploads/2023/10/acemoglu-restrepo-2019-automation-and-new-tasks-how-technology-displaces-and-reinstates-labor.pdf?utm_source=chatgpt.com</w:t>
        </w:r>
      </w:hyperlink>
    </w:p>
    <w:p w14:paraId="34E1557B" w14:textId="77777777" w:rsidR="00AC4287" w:rsidRDefault="00AC4287" w:rsidP="00AC4287">
      <w:hyperlink r:id="rId76">
        <w:r>
          <w:rPr>
            <w:rStyle w:val="Hyperlink"/>
          </w:rPr>
          <w:t>[5]</w:t>
        </w:r>
      </w:hyperlink>
      <w:r>
        <w:t xml:space="preserve"> </w:t>
      </w:r>
      <w:hyperlink r:id="rId77">
        <w:r>
          <w:rPr>
            <w:rStyle w:val="Hyperlink"/>
          </w:rPr>
          <w:t>[51]</w:t>
        </w:r>
      </w:hyperlink>
      <w:r>
        <w:t xml:space="preserve"> data.gouv.fr : Plateforme ouverte des données publiques ...</w:t>
      </w:r>
    </w:p>
    <w:p w14:paraId="43991E35" w14:textId="77777777" w:rsidR="00AC4287" w:rsidRDefault="00AC4287" w:rsidP="00AC4287">
      <w:hyperlink r:id="rId78">
        <w:r>
          <w:rPr>
            <w:rStyle w:val="Hyperlink"/>
          </w:rPr>
          <w:t>https://www.data.gouv.fr/?utm_source=chatgpt.com</w:t>
        </w:r>
      </w:hyperlink>
    </w:p>
    <w:p w14:paraId="6428BEE1" w14:textId="77777777" w:rsidR="00AC4287" w:rsidRDefault="00AC4287" w:rsidP="00AC4287">
      <w:hyperlink r:id="rId79">
        <w:r>
          <w:rPr>
            <w:rStyle w:val="Hyperlink"/>
          </w:rPr>
          <w:t>[6]</w:t>
        </w:r>
      </w:hyperlink>
      <w:r>
        <w:t xml:space="preserve"> Future of Jobs Report 2025</w:t>
      </w:r>
    </w:p>
    <w:p w14:paraId="0A2F9F99" w14:textId="77777777" w:rsidR="00AC4287" w:rsidRDefault="00AC4287" w:rsidP="00AC4287">
      <w:hyperlink r:id="rId80">
        <w:r>
          <w:rPr>
            <w:rStyle w:val="Hyperlink"/>
          </w:rPr>
          <w:t>https://reports.weforum.org/docs/WEF_Future_of_Jobs_Report_2025.pdf?utm_source=chatgpt.com</w:t>
        </w:r>
      </w:hyperlink>
    </w:p>
    <w:p w14:paraId="600A6C99" w14:textId="77777777" w:rsidR="00AC4287" w:rsidRDefault="00AC4287" w:rsidP="00AC4287">
      <w:hyperlink r:id="rId81">
        <w:r>
          <w:rPr>
            <w:rStyle w:val="Hyperlink"/>
          </w:rPr>
          <w:t>[7]</w:t>
        </w:r>
      </w:hyperlink>
      <w:r>
        <w:t xml:space="preserve"> </w:t>
      </w:r>
      <w:hyperlink r:id="rId82">
        <w:r>
          <w:rPr>
            <w:rStyle w:val="Hyperlink"/>
          </w:rPr>
          <w:t>[10]</w:t>
        </w:r>
      </w:hyperlink>
      <w:r>
        <w:t xml:space="preserve"> Global Wage Report 2016/17</w:t>
      </w:r>
    </w:p>
    <w:p w14:paraId="0AF51662" w14:textId="77777777" w:rsidR="00AC4287" w:rsidRDefault="00AC4287" w:rsidP="00AC4287">
      <w:hyperlink r:id="rId83">
        <w:r>
          <w:rPr>
            <w:rStyle w:val="Hyperlink"/>
          </w:rPr>
          <w:t>https://www.ilo.org/sites/default/files/wcmsp5/groups/public/%40dgreports/%40dcomm/%40publ/documents/publication/wcms_537846.pdf?utm_source=chatgpt.com</w:t>
        </w:r>
      </w:hyperlink>
    </w:p>
    <w:p w14:paraId="7768572F" w14:textId="77777777" w:rsidR="00AC4287" w:rsidRDefault="00AC4287" w:rsidP="00AC4287">
      <w:hyperlink r:id="rId84">
        <w:r>
          <w:rPr>
            <w:rStyle w:val="Hyperlink"/>
          </w:rPr>
          <w:t>[8]</w:t>
        </w:r>
      </w:hyperlink>
      <w:r>
        <w:t xml:space="preserve"> Drivers of Declining Labor Share of Income</w:t>
      </w:r>
    </w:p>
    <w:p w14:paraId="78E59F01" w14:textId="77777777" w:rsidR="00AC4287" w:rsidRDefault="00AC4287" w:rsidP="00AC4287">
      <w:hyperlink r:id="rId85">
        <w:r>
          <w:rPr>
            <w:rStyle w:val="Hyperlink"/>
          </w:rPr>
          <w:t>https://www.imf.org/en/blogs/articles/2017/04/12/drivers-of-declining-labor-share-of-income?utm_source=chatgpt.com</w:t>
        </w:r>
      </w:hyperlink>
    </w:p>
    <w:p w14:paraId="1C11F003" w14:textId="77777777" w:rsidR="00AC4287" w:rsidRDefault="00AC4287" w:rsidP="00AC4287">
      <w:hyperlink r:id="rId86">
        <w:r>
          <w:rPr>
            <w:rStyle w:val="Hyperlink"/>
          </w:rPr>
          <w:t>[9]</w:t>
        </w:r>
      </w:hyperlink>
      <w:r>
        <w:t xml:space="preserve"> </w:t>
      </w:r>
      <w:hyperlink r:id="rId87">
        <w:r>
          <w:rPr>
            <w:rStyle w:val="Hyperlink"/>
          </w:rPr>
          <w:t>[55]</w:t>
        </w:r>
      </w:hyperlink>
      <w:r>
        <w:t xml:space="preserve"> Big data and machine learning in central banks</w:t>
      </w:r>
    </w:p>
    <w:p w14:paraId="7731664C" w14:textId="77777777" w:rsidR="00AC4287" w:rsidRDefault="00AC4287" w:rsidP="00AC4287">
      <w:hyperlink r:id="rId88">
        <w:r>
          <w:rPr>
            <w:rStyle w:val="Hyperlink"/>
          </w:rPr>
          <w:t>https://www.bis.org/publ/work930.pdf?utm_source=chatgpt.com</w:t>
        </w:r>
      </w:hyperlink>
    </w:p>
    <w:p w14:paraId="3D2E6F31" w14:textId="77777777" w:rsidR="00AC4287" w:rsidRDefault="00AC4287" w:rsidP="00AC4287">
      <w:hyperlink r:id="rId89">
        <w:r>
          <w:rPr>
            <w:rStyle w:val="Hyperlink"/>
          </w:rPr>
          <w:t>[11]</w:t>
        </w:r>
      </w:hyperlink>
      <w:r>
        <w:t xml:space="preserve"> </w:t>
      </w:r>
      <w:hyperlink r:id="rId90">
        <w:r>
          <w:rPr>
            <w:rStyle w:val="Hyperlink"/>
          </w:rPr>
          <w:t>[57]</w:t>
        </w:r>
      </w:hyperlink>
      <w:r>
        <w:t xml:space="preserve"> Trust in government</w:t>
      </w:r>
    </w:p>
    <w:p w14:paraId="396C6EC3" w14:textId="77777777" w:rsidR="00AC4287" w:rsidRDefault="00AC4287" w:rsidP="00AC4287">
      <w:hyperlink r:id="rId91">
        <w:r>
          <w:rPr>
            <w:rStyle w:val="Hyperlink"/>
          </w:rPr>
          <w:t>https://www.oecd.org/en/data/indicators/trust-in-government.html?utm_source=chatgpt.com</w:t>
        </w:r>
      </w:hyperlink>
    </w:p>
    <w:p w14:paraId="0FE1FF04" w14:textId="77777777" w:rsidR="00AC4287" w:rsidRDefault="00AC4287" w:rsidP="00AC4287">
      <w:hyperlink r:id="rId92">
        <w:r>
          <w:rPr>
            <w:rStyle w:val="Hyperlink"/>
          </w:rPr>
          <w:t>[12]</w:t>
        </w:r>
      </w:hyperlink>
      <w:r>
        <w:t xml:space="preserve"> </w:t>
      </w:r>
      <w:hyperlink r:id="rId93">
        <w:r>
          <w:rPr>
            <w:rStyle w:val="Hyperlink"/>
          </w:rPr>
          <w:t>[59]</w:t>
        </w:r>
      </w:hyperlink>
      <w:r>
        <w:t xml:space="preserve"> Transparency of public information: Government at a ...</w:t>
      </w:r>
    </w:p>
    <w:p w14:paraId="6C00FD90" w14:textId="77777777" w:rsidR="00AC4287" w:rsidRDefault="00AC4287" w:rsidP="00AC4287">
      <w:hyperlink r:id="rId94">
        <w:r>
          <w:rPr>
            <w:rStyle w:val="Hyperlink"/>
          </w:rPr>
          <w:t>https://www.oecd.org/en/publications/2025/06/government-at-a-glance-2025_70e14c6c/full-report/transparency-of-public-information_60a963c4.html?utm_source=chatgpt.com</w:t>
        </w:r>
      </w:hyperlink>
    </w:p>
    <w:p w14:paraId="7D0C7798" w14:textId="77777777" w:rsidR="00AC4287" w:rsidRDefault="00AC4287" w:rsidP="00AC4287">
      <w:hyperlink r:id="rId95">
        <w:r>
          <w:rPr>
            <w:rStyle w:val="Hyperlink"/>
          </w:rPr>
          <w:t>[13]</w:t>
        </w:r>
      </w:hyperlink>
      <w:r>
        <w:t xml:space="preserve"> </w:t>
      </w:r>
      <w:hyperlink r:id="rId96">
        <w:r>
          <w:rPr>
            <w:rStyle w:val="Hyperlink"/>
          </w:rPr>
          <w:t>[20]</w:t>
        </w:r>
      </w:hyperlink>
      <w:r>
        <w:t xml:space="preserve"> </w:t>
      </w:r>
      <w:hyperlink r:id="rId97">
        <w:r>
          <w:rPr>
            <w:rStyle w:val="Hyperlink"/>
          </w:rPr>
          <w:t>[53]</w:t>
        </w:r>
      </w:hyperlink>
      <w:r>
        <w:t xml:space="preserve"> FRR Missions</w:t>
      </w:r>
    </w:p>
    <w:p w14:paraId="6254ECD7" w14:textId="77777777" w:rsidR="00AC4287" w:rsidRDefault="00AC4287" w:rsidP="00AC4287">
      <w:hyperlink r:id="rId98">
        <w:r>
          <w:rPr>
            <w:rStyle w:val="Hyperlink"/>
          </w:rPr>
          <w:t>https://www.fondsdereserve.fr/en/about/frr-missions/?utm_source=chatgpt.com</w:t>
        </w:r>
      </w:hyperlink>
    </w:p>
    <w:p w14:paraId="6F0EE039" w14:textId="77777777" w:rsidR="00AC4287" w:rsidRDefault="00AC4287" w:rsidP="00AC4287">
      <w:hyperlink r:id="rId99">
        <w:r>
          <w:rPr>
            <w:rStyle w:val="Hyperlink"/>
          </w:rPr>
          <w:t>[14]</w:t>
        </w:r>
      </w:hyperlink>
      <w:r>
        <w:t xml:space="preserve"> Ménage – Famille − Tableaux de l'économie française</w:t>
      </w:r>
    </w:p>
    <w:p w14:paraId="28BCEF08" w14:textId="77777777" w:rsidR="00AC4287" w:rsidRDefault="00AC4287" w:rsidP="00AC4287">
      <w:hyperlink r:id="rId100">
        <w:r>
          <w:rPr>
            <w:rStyle w:val="Hyperlink"/>
          </w:rPr>
          <w:t>https://www.insee.fr/fr/statistiques/4277630?sommaire=4318291&amp;utm_source=chatgpt.com</w:t>
        </w:r>
      </w:hyperlink>
    </w:p>
    <w:p w14:paraId="732AD733" w14:textId="77777777" w:rsidR="00AC4287" w:rsidRDefault="00AC4287" w:rsidP="00AC4287">
      <w:hyperlink r:id="rId101">
        <w:r>
          <w:rPr>
            <w:rStyle w:val="Hyperlink"/>
          </w:rPr>
          <w:t>[15]</w:t>
        </w:r>
      </w:hyperlink>
      <w:r>
        <w:t xml:space="preserve"> </w:t>
      </w:r>
      <w:hyperlink r:id="rId102">
        <w:r>
          <w:rPr>
            <w:rStyle w:val="Hyperlink"/>
          </w:rPr>
          <w:t>[27]</w:t>
        </w:r>
      </w:hyperlink>
      <w:r>
        <w:t xml:space="preserve"> </w:t>
      </w:r>
      <w:hyperlink r:id="rId103">
        <w:r>
          <w:rPr>
            <w:rStyle w:val="Hyperlink"/>
          </w:rPr>
          <w:t>[49]</w:t>
        </w:r>
      </w:hyperlink>
      <w:r>
        <w:t xml:space="preserve"> Sovereign Wealth Funds - A Work Agenda</w:t>
      </w:r>
    </w:p>
    <w:p w14:paraId="4D8EC2CD" w14:textId="77777777" w:rsidR="00AC4287" w:rsidRDefault="00AC4287" w:rsidP="00AC4287">
      <w:hyperlink r:id="rId104">
        <w:r>
          <w:rPr>
            <w:rStyle w:val="Hyperlink"/>
          </w:rPr>
          <w:t>https://www.imf.org/en/publications/policy-papers/issues/2016/12/31/sovereign-wealth-funds-a-work-agenda-pp4234?utm_source=chatgpt.com</w:t>
        </w:r>
      </w:hyperlink>
    </w:p>
    <w:p w14:paraId="78D4154D" w14:textId="77777777" w:rsidR="00AC4287" w:rsidRDefault="00AC4287" w:rsidP="00AC4287">
      <w:hyperlink r:id="rId105">
        <w:r>
          <w:rPr>
            <w:rStyle w:val="Hyperlink"/>
          </w:rPr>
          <w:t>[16]</w:t>
        </w:r>
      </w:hyperlink>
      <w:r>
        <w:t xml:space="preserve"> </w:t>
      </w:r>
      <w:hyperlink r:id="rId106">
        <w:r>
          <w:rPr>
            <w:rStyle w:val="Hyperlink"/>
          </w:rPr>
          <w:t>[39]</w:t>
        </w:r>
      </w:hyperlink>
      <w:r>
        <w:t xml:space="preserve"> Enhancing Simplicity to Foster Tax Certainty and Growth</w:t>
      </w:r>
    </w:p>
    <w:p w14:paraId="7B421B36" w14:textId="77777777" w:rsidR="00AC4287" w:rsidRDefault="00AC4287" w:rsidP="00AC4287">
      <w:hyperlink r:id="rId107">
        <w:r>
          <w:rPr>
            <w:rStyle w:val="Hyperlink"/>
          </w:rPr>
          <w:t>https://www.oecd.org/content/dam/oecd/en/publications/reports/2025/10/enhancing-simplicity-to-foster-tax-certainty-and-growth_d42d5905/086f71ab-en.pdf?utm_source=chatgpt.com</w:t>
        </w:r>
      </w:hyperlink>
    </w:p>
    <w:p w14:paraId="321AEA91" w14:textId="77777777" w:rsidR="00AC4287" w:rsidRDefault="00AC4287" w:rsidP="00AC4287">
      <w:hyperlink r:id="rId108">
        <w:r>
          <w:rPr>
            <w:rStyle w:val="Hyperlink"/>
          </w:rPr>
          <w:t>[17]</w:t>
        </w:r>
      </w:hyperlink>
      <w:r>
        <w:t xml:space="preserve"> Santiago Principles</w:t>
      </w:r>
    </w:p>
    <w:p w14:paraId="4DA59192" w14:textId="77777777" w:rsidR="00AC4287" w:rsidRDefault="00AC4287" w:rsidP="00AC4287">
      <w:hyperlink r:id="rId109">
        <w:r>
          <w:rPr>
            <w:rStyle w:val="Hyperlink"/>
          </w:rPr>
          <w:t>https://www.ifswf.org/santiago-principles?utm_source=chatgpt.com</w:t>
        </w:r>
      </w:hyperlink>
    </w:p>
    <w:p w14:paraId="63CE6029" w14:textId="77777777" w:rsidR="00AC4287" w:rsidRDefault="00AC4287" w:rsidP="00AC4287">
      <w:hyperlink r:id="rId110">
        <w:r>
          <w:rPr>
            <w:rStyle w:val="Hyperlink"/>
          </w:rPr>
          <w:t>[18]</w:t>
        </w:r>
      </w:hyperlink>
      <w:r>
        <w:t xml:space="preserve"> Santiago Principles - ADIA</w:t>
      </w:r>
    </w:p>
    <w:p w14:paraId="7F4BE1BA" w14:textId="77777777" w:rsidR="00AC4287" w:rsidRDefault="00AC4287" w:rsidP="00AC4287">
      <w:hyperlink r:id="rId111">
        <w:r>
          <w:rPr>
            <w:rStyle w:val="Hyperlink"/>
          </w:rPr>
          <w:t>https://www.adia.ae/en/purpose/responsible-long-term-investing/case-studies/santiago-principles?utm_source=chatgpt.com</w:t>
        </w:r>
      </w:hyperlink>
    </w:p>
    <w:p w14:paraId="1D1F9ECC" w14:textId="77777777" w:rsidR="00AC4287" w:rsidRDefault="00AC4287" w:rsidP="00AC4287">
      <w:hyperlink r:id="rId112">
        <w:r>
          <w:rPr>
            <w:rStyle w:val="Hyperlink"/>
          </w:rPr>
          <w:t>[21]</w:t>
        </w:r>
      </w:hyperlink>
      <w:r>
        <w:t xml:space="preserve"> Technical Note 1</w:t>
      </w:r>
    </w:p>
    <w:p w14:paraId="611BC61C" w14:textId="77777777" w:rsidR="00AC4287" w:rsidRDefault="00AC4287" w:rsidP="00AC4287">
      <w:hyperlink r:id="rId113">
        <w:r>
          <w:rPr>
            <w:rStyle w:val="Hyperlink"/>
          </w:rPr>
          <w:t>https://www.ilo.org/sites/default/files/wcmsp5/groups/public/%40asia/%40ro-bangkok/%40ilo-beijing/documents/briefingnote/wcms_749634.pdf?utm_source=chatgpt.com</w:t>
        </w:r>
      </w:hyperlink>
    </w:p>
    <w:p w14:paraId="018BFD63" w14:textId="77777777" w:rsidR="00AC4287" w:rsidRDefault="00AC4287" w:rsidP="00AC4287">
      <w:hyperlink r:id="rId114">
        <w:r>
          <w:rPr>
            <w:rStyle w:val="Hyperlink"/>
          </w:rPr>
          <w:t>[22]</w:t>
        </w:r>
      </w:hyperlink>
      <w:r>
        <w:t xml:space="preserve"> </w:t>
      </w:r>
      <w:hyperlink r:id="rId115">
        <w:r>
          <w:rPr>
            <w:rStyle w:val="Hyperlink"/>
          </w:rPr>
          <w:t>[46]</w:t>
        </w:r>
      </w:hyperlink>
      <w:r>
        <w:t xml:space="preserve"> Long</w:t>
      </w:r>
      <w:r>
        <w:rPr>
          <w:rFonts w:ascii="Cambria Math" w:hAnsi="Cambria Math" w:cs="Cambria Math"/>
        </w:rPr>
        <w:t>‐</w:t>
      </w:r>
      <w:r>
        <w:t>term effects of the Alaska Permanent Fund Dividend ...</w:t>
      </w:r>
    </w:p>
    <w:p w14:paraId="728470F0" w14:textId="77777777" w:rsidR="00AC4287" w:rsidRDefault="00AC4287" w:rsidP="00AC4287">
      <w:hyperlink r:id="rId116">
        <w:r>
          <w:rPr>
            <w:rStyle w:val="Hyperlink"/>
          </w:rPr>
          <w:t>https://onlinelibrary.wiley.com/doi/full/10.1002/pop4.398?utm_source=chatgpt.com</w:t>
        </w:r>
      </w:hyperlink>
    </w:p>
    <w:p w14:paraId="5DEDAD4F" w14:textId="77777777" w:rsidR="00AC4287" w:rsidRDefault="00AC4287" w:rsidP="00AC4287">
      <w:hyperlink r:id="rId117">
        <w:r>
          <w:rPr>
            <w:rStyle w:val="Hyperlink"/>
          </w:rPr>
          <w:t>[23]</w:t>
        </w:r>
      </w:hyperlink>
      <w:r>
        <w:t xml:space="preserve"> </w:t>
      </w:r>
      <w:hyperlink r:id="rId118">
        <w:r>
          <w:rPr>
            <w:rStyle w:val="Hyperlink"/>
          </w:rPr>
          <w:t>[44]</w:t>
        </w:r>
      </w:hyperlink>
      <w:r>
        <w:t xml:space="preserve"> About Us - Permanent Fund Dividend</w:t>
      </w:r>
    </w:p>
    <w:p w14:paraId="021E9A54" w14:textId="77777777" w:rsidR="00AC4287" w:rsidRDefault="00AC4287" w:rsidP="00AC4287">
      <w:hyperlink r:id="rId119">
        <w:r>
          <w:rPr>
            <w:rStyle w:val="Hyperlink"/>
          </w:rPr>
          <w:t>https://pfd.alaska.gov/Division-Info/about-us?utm_source=chatgpt.com</w:t>
        </w:r>
      </w:hyperlink>
    </w:p>
    <w:p w14:paraId="6B1327D5" w14:textId="77777777" w:rsidR="00AC4287" w:rsidRDefault="00AC4287" w:rsidP="00AC4287">
      <w:hyperlink r:id="rId120">
        <w:r>
          <w:rPr>
            <w:rStyle w:val="Hyperlink"/>
          </w:rPr>
          <w:t>[24]</w:t>
        </w:r>
      </w:hyperlink>
      <w:r>
        <w:t xml:space="preserve"> </w:t>
      </w:r>
      <w:hyperlink r:id="rId121">
        <w:r>
          <w:rPr>
            <w:rStyle w:val="Hyperlink"/>
          </w:rPr>
          <w:t>[41]</w:t>
        </w:r>
      </w:hyperlink>
      <w:r>
        <w:t xml:space="preserve"> </w:t>
      </w:r>
      <w:hyperlink r:id="rId122">
        <w:r>
          <w:rPr>
            <w:rStyle w:val="Hyperlink"/>
          </w:rPr>
          <w:t>[50]</w:t>
        </w:r>
      </w:hyperlink>
      <w:r>
        <w:t xml:space="preserve"> Data.gouv.fr: the French Open Platform for Open Data</w:t>
      </w:r>
    </w:p>
    <w:p w14:paraId="58EC13BC" w14:textId="77777777" w:rsidR="00AC4287" w:rsidRDefault="00AC4287" w:rsidP="00AC4287">
      <w:hyperlink r:id="rId123">
        <w:r>
          <w:rPr>
            <w:rStyle w:val="Hyperlink"/>
          </w:rPr>
          <w:t>https://interoperable-europe.ec.europa.eu/collection/open-government/document/datagouvfr-french-open-platform-open-data?utm_source=chatgpt.com</w:t>
        </w:r>
      </w:hyperlink>
    </w:p>
    <w:p w14:paraId="73BDFFB7" w14:textId="77777777" w:rsidR="00AC4287" w:rsidRDefault="00AC4287" w:rsidP="00AC4287">
      <w:hyperlink r:id="rId124">
        <w:r>
          <w:rPr>
            <w:rStyle w:val="Hyperlink"/>
          </w:rPr>
          <w:t>[25]</w:t>
        </w:r>
      </w:hyperlink>
      <w:r>
        <w:t xml:space="preserve"> </w:t>
      </w:r>
      <w:hyperlink r:id="rId125">
        <w:r>
          <w:rPr>
            <w:rStyle w:val="Hyperlink"/>
          </w:rPr>
          <w:t>[30]</w:t>
        </w:r>
      </w:hyperlink>
      <w:r>
        <w:t xml:space="preserve"> History of the Alaska Permanent Fund ...</w:t>
      </w:r>
    </w:p>
    <w:p w14:paraId="5B080950" w14:textId="77777777" w:rsidR="00AC4287" w:rsidRDefault="00AC4287" w:rsidP="00AC4287">
      <w:hyperlink r:id="rId126">
        <w:r>
          <w:rPr>
            <w:rStyle w:val="Hyperlink"/>
          </w:rPr>
          <w:t>https://apfc.org/who-we-are/history-of-the-alaska-permanent-fund/?utm_source=chatgpt.com</w:t>
        </w:r>
      </w:hyperlink>
    </w:p>
    <w:p w14:paraId="5E5A293D" w14:textId="77777777" w:rsidR="00AC4287" w:rsidRDefault="00AC4287" w:rsidP="00AC4287">
      <w:hyperlink r:id="rId127">
        <w:r>
          <w:rPr>
            <w:rStyle w:val="Hyperlink"/>
          </w:rPr>
          <w:t>[26]</w:t>
        </w:r>
      </w:hyperlink>
      <w:r>
        <w:t xml:space="preserve"> Alaska residents are paid a unique yearly dividend from ...</w:t>
      </w:r>
    </w:p>
    <w:p w14:paraId="43ECE792" w14:textId="77777777" w:rsidR="00AC4287" w:rsidRDefault="00AC4287" w:rsidP="00AC4287">
      <w:hyperlink r:id="rId128">
        <w:r>
          <w:rPr>
            <w:rStyle w:val="Hyperlink"/>
          </w:rPr>
          <w:t>https://www.eia.gov/todayinenergy/detail.php?id=21052&amp;utm_source=chatgpt.com</w:t>
        </w:r>
      </w:hyperlink>
    </w:p>
    <w:p w14:paraId="727CA0C8" w14:textId="77777777" w:rsidR="00AC4287" w:rsidRDefault="00AC4287" w:rsidP="00AC4287">
      <w:hyperlink r:id="rId129">
        <w:r>
          <w:rPr>
            <w:rStyle w:val="Hyperlink"/>
          </w:rPr>
          <w:t>[28]</w:t>
        </w:r>
      </w:hyperlink>
      <w:r>
        <w:t xml:space="preserve"> </w:t>
      </w:r>
      <w:hyperlink r:id="rId130">
        <w:r>
          <w:rPr>
            <w:rStyle w:val="Hyperlink"/>
          </w:rPr>
          <w:t>[33]</w:t>
        </w:r>
      </w:hyperlink>
      <w:r>
        <w:t xml:space="preserve"> </w:t>
      </w:r>
      <w:hyperlink r:id="rId131">
        <w:r>
          <w:rPr>
            <w:rStyle w:val="Hyperlink"/>
          </w:rPr>
          <w:t>[34]</w:t>
        </w:r>
      </w:hyperlink>
      <w:r>
        <w:t xml:space="preserve"> Taxation of Dividend, Interest, and Capital Gain Income</w:t>
      </w:r>
    </w:p>
    <w:p w14:paraId="32310335" w14:textId="77777777" w:rsidR="00AC4287" w:rsidRDefault="00AC4287" w:rsidP="00AC4287">
      <w:hyperlink r:id="rId132">
        <w:r>
          <w:rPr>
            <w:rStyle w:val="Hyperlink"/>
          </w:rPr>
          <w:t>https://www.oecd.org/content/dam/oecd/en/publications/reports/2013/11/taxation-of-dividend-interest-and-capital-gain-income_g17a239a/5k3wh96w246k-en.pdf?utm_source=chatgpt.com</w:t>
        </w:r>
      </w:hyperlink>
    </w:p>
    <w:p w14:paraId="1D54C6F9" w14:textId="77777777" w:rsidR="00AC4287" w:rsidRDefault="00AC4287" w:rsidP="00AC4287">
      <w:hyperlink r:id="rId133">
        <w:r>
          <w:rPr>
            <w:rStyle w:val="Hyperlink"/>
          </w:rPr>
          <w:t>[29]</w:t>
        </w:r>
      </w:hyperlink>
      <w:r>
        <w:t xml:space="preserve"> Super for employers</w:t>
      </w:r>
    </w:p>
    <w:p w14:paraId="5861F335" w14:textId="77777777" w:rsidR="00AC4287" w:rsidRDefault="00AC4287" w:rsidP="00AC4287">
      <w:hyperlink r:id="rId134">
        <w:r>
          <w:rPr>
            <w:rStyle w:val="Hyperlink"/>
          </w:rPr>
          <w:t>https://www.ato.gov.au/businesses-and-organisations/super-for-employers?utm_source=chatgpt.com</w:t>
        </w:r>
      </w:hyperlink>
    </w:p>
    <w:p w14:paraId="40BC0D4C" w14:textId="77777777" w:rsidR="00AC4287" w:rsidRDefault="00AC4287" w:rsidP="00AC4287">
      <w:hyperlink r:id="rId135">
        <w:r>
          <w:rPr>
            <w:rStyle w:val="Hyperlink"/>
          </w:rPr>
          <w:t>[31]</w:t>
        </w:r>
      </w:hyperlink>
      <w:r>
        <w:t xml:space="preserve"> </w:t>
      </w:r>
      <w:hyperlink r:id="rId136">
        <w:r>
          <w:rPr>
            <w:rStyle w:val="Hyperlink"/>
          </w:rPr>
          <w:t>[32]</w:t>
        </w:r>
      </w:hyperlink>
      <w:r>
        <w:t xml:space="preserve"> APRA releases superannuation statistics for December 2025</w:t>
      </w:r>
    </w:p>
    <w:p w14:paraId="0956FCAC" w14:textId="77777777" w:rsidR="00AC4287" w:rsidRDefault="00AC4287" w:rsidP="00AC4287">
      <w:hyperlink r:id="rId137">
        <w:r>
          <w:rPr>
            <w:rStyle w:val="Hyperlink"/>
          </w:rPr>
          <w:t>https://www.apra.gov.au/news-and-publications/apra-releases-superannuation-statistics-for-december-2025?utm_source=chatgpt.com</w:t>
        </w:r>
      </w:hyperlink>
    </w:p>
    <w:p w14:paraId="692800B7" w14:textId="77777777" w:rsidR="00AC4287" w:rsidRDefault="00AC4287" w:rsidP="00AC4287">
      <w:hyperlink r:id="rId138">
        <w:r>
          <w:rPr>
            <w:rStyle w:val="Hyperlink"/>
          </w:rPr>
          <w:t>[35]</w:t>
        </w:r>
      </w:hyperlink>
      <w:r>
        <w:t xml:space="preserve"> Dividend imputation and franking credits</w:t>
      </w:r>
    </w:p>
    <w:p w14:paraId="3EB04918" w14:textId="77777777" w:rsidR="00AC4287" w:rsidRDefault="00AC4287" w:rsidP="00AC4287">
      <w:hyperlink r:id="rId139">
        <w:r>
          <w:rPr>
            <w:rStyle w:val="Hyperlink"/>
          </w:rPr>
          <w:t>https://www.pbo.gov.au/about-budgets/budget-insights/budget-explainers/dividend-imputation-and-franking-credits?utm_source=chatgpt.com</w:t>
        </w:r>
      </w:hyperlink>
    </w:p>
    <w:p w14:paraId="0BF0E4AE" w14:textId="77777777" w:rsidR="00AC4287" w:rsidRDefault="00AC4287" w:rsidP="00AC4287">
      <w:hyperlink r:id="rId140">
        <w:r>
          <w:rPr>
            <w:rStyle w:val="Hyperlink"/>
          </w:rPr>
          <w:t>[36]</w:t>
        </w:r>
      </w:hyperlink>
      <w:r>
        <w:t xml:space="preserve"> Imputation</w:t>
      </w:r>
    </w:p>
    <w:p w14:paraId="33819B36" w14:textId="77777777" w:rsidR="00AC4287" w:rsidRDefault="00AC4287" w:rsidP="00AC4287">
      <w:hyperlink r:id="rId141">
        <w:r>
          <w:rPr>
            <w:rStyle w:val="Hyperlink"/>
          </w:rPr>
          <w:t>https://www.ato.gov.au/businesses-and-organisations/corporate-tax-measures-and-assurance/imputation?utm_source=chatgpt.com</w:t>
        </w:r>
      </w:hyperlink>
    </w:p>
    <w:p w14:paraId="0E2C42B5" w14:textId="77777777" w:rsidR="00AC4287" w:rsidRDefault="00AC4287" w:rsidP="00AC4287">
      <w:hyperlink r:id="rId142">
        <w:r>
          <w:rPr>
            <w:rStyle w:val="Hyperlink"/>
          </w:rPr>
          <w:t>[37]</w:t>
        </w:r>
      </w:hyperlink>
      <w:r>
        <w:t xml:space="preserve"> </w:t>
      </w:r>
      <w:hyperlink r:id="rId143">
        <w:r>
          <w:rPr>
            <w:rStyle w:val="Hyperlink"/>
          </w:rPr>
          <w:t>[38]</w:t>
        </w:r>
      </w:hyperlink>
      <w:r>
        <w:t xml:space="preserve"> Dividend taxes, employment, and firm productivity</w:t>
      </w:r>
    </w:p>
    <w:p w14:paraId="5307D64C" w14:textId="77777777" w:rsidR="00AC4287" w:rsidRDefault="00AC4287" w:rsidP="00AC4287">
      <w:hyperlink r:id="rId144">
        <w:r>
          <w:rPr>
            <w:rStyle w:val="Hyperlink"/>
          </w:rPr>
          <w:t>https://www.sciencedirect.com/science/article/abs/pii/S0929119921001620?utm_source=chatgpt.com</w:t>
        </w:r>
      </w:hyperlink>
    </w:p>
    <w:p w14:paraId="6EB4F274" w14:textId="77777777" w:rsidR="00AC4287" w:rsidRDefault="00AC4287" w:rsidP="00AC4287">
      <w:hyperlink r:id="rId145">
        <w:r>
          <w:rPr>
            <w:rStyle w:val="Hyperlink"/>
          </w:rPr>
          <w:t>[40]</w:t>
        </w:r>
      </w:hyperlink>
      <w:r>
        <w:t xml:space="preserve"> Rising Income Tax Complexity</w:t>
      </w:r>
    </w:p>
    <w:p w14:paraId="2EC64BF8" w14:textId="77777777" w:rsidR="00AC4287" w:rsidRDefault="00AC4287" w:rsidP="00AC4287">
      <w:hyperlink r:id="rId146">
        <w:r>
          <w:rPr>
            <w:rStyle w:val="Hyperlink"/>
          </w:rPr>
          <w:t>https://www.nber.org/system/files/working_papers/w31944/w31944.pdf?utm_source=chatgpt.com</w:t>
        </w:r>
      </w:hyperlink>
    </w:p>
    <w:p w14:paraId="085D3E4A" w14:textId="77777777" w:rsidR="00AC4287" w:rsidRDefault="00AC4287" w:rsidP="00AC4287">
      <w:hyperlink r:id="rId147">
        <w:r>
          <w:rPr>
            <w:rStyle w:val="Hyperlink"/>
          </w:rPr>
          <w:t>[42]</w:t>
        </w:r>
      </w:hyperlink>
      <w:r>
        <w:t xml:space="preserve"> First results from the Finnish basic income experiment</w:t>
      </w:r>
    </w:p>
    <w:p w14:paraId="7C2B6483" w14:textId="77777777" w:rsidR="00AC4287" w:rsidRDefault="00AC4287" w:rsidP="00AC4287">
      <w:hyperlink r:id="rId148">
        <w:r>
          <w:rPr>
            <w:rStyle w:val="Hyperlink"/>
          </w:rPr>
          <w:t>https://ec.europa.eu/social/BlobServlet?docId=20846&amp;langId=en&amp;utm_source=chatgpt.com</w:t>
        </w:r>
      </w:hyperlink>
    </w:p>
    <w:p w14:paraId="27BBE84F" w14:textId="77777777" w:rsidR="00AC4287" w:rsidRDefault="00AC4287" w:rsidP="00AC4287">
      <w:hyperlink r:id="rId149">
        <w:r>
          <w:rPr>
            <w:rStyle w:val="Hyperlink"/>
          </w:rPr>
          <w:t>[43]</w:t>
        </w:r>
      </w:hyperlink>
      <w:r>
        <w:t xml:space="preserve"> Results of the basic income experiment: small employment ...</w:t>
      </w:r>
    </w:p>
    <w:p w14:paraId="6ECBD5C5" w14:textId="77777777" w:rsidR="00AC4287" w:rsidRDefault="00AC4287" w:rsidP="00AC4287">
      <w:hyperlink r:id="rId150">
        <w:r>
          <w:rPr>
            <w:rStyle w:val="Hyperlink"/>
          </w:rPr>
          <w:t>https://valtioneuvosto.fi/en/-/1271139/perustulokokeilun-tulokset-tyollisyysvaikutukset-vahaisia-toimeentulo-ja-psyykkinen-terveys-koettiin-paremmaksi?utm_source=chatgpt.com</w:t>
        </w:r>
      </w:hyperlink>
    </w:p>
    <w:p w14:paraId="1CD4D3D0" w14:textId="77777777" w:rsidR="00AC4287" w:rsidRDefault="00AC4287" w:rsidP="00AC4287">
      <w:hyperlink r:id="rId151">
        <w:r>
          <w:rPr>
            <w:rStyle w:val="Hyperlink"/>
          </w:rPr>
          <w:t>[45]</w:t>
        </w:r>
      </w:hyperlink>
      <w:r>
        <w:t xml:space="preserve"> Evidence from the Alaska Permanent Fund</w:t>
      </w:r>
    </w:p>
    <w:p w14:paraId="2BCEA5F6" w14:textId="77777777" w:rsidR="00AC4287" w:rsidRDefault="00AC4287" w:rsidP="00AC4287">
      <w:hyperlink r:id="rId152">
        <w:r>
          <w:rPr>
            <w:rStyle w:val="Hyperlink"/>
          </w:rPr>
          <w:t>https://www.nber.org/system/files/working_papers/w24312/revisions/w24312.rev0.pdf?utm_source=chatgpt.com</w:t>
        </w:r>
      </w:hyperlink>
    </w:p>
    <w:p w14:paraId="31C18837" w14:textId="77777777" w:rsidR="00AC4287" w:rsidRDefault="00AC4287" w:rsidP="00AC4287">
      <w:hyperlink r:id="rId153">
        <w:r>
          <w:rPr>
            <w:rStyle w:val="Hyperlink"/>
          </w:rPr>
          <w:t>[47]</w:t>
        </w:r>
      </w:hyperlink>
      <w:r>
        <w:t xml:space="preserve"> Resource rents, universal basic income, and poverty ...</w:t>
      </w:r>
    </w:p>
    <w:p w14:paraId="68936225" w14:textId="77777777" w:rsidR="00AC4287" w:rsidRDefault="00AC4287" w:rsidP="00AC4287">
      <w:hyperlink r:id="rId154">
        <w:r>
          <w:rPr>
            <w:rStyle w:val="Hyperlink"/>
          </w:rPr>
          <w:t>https://www.sciencedirect.com/science/article/pii/S0305750X1830024X?utm_source=chatgpt.com</w:t>
        </w:r>
      </w:hyperlink>
    </w:p>
    <w:p w14:paraId="7929202C" w14:textId="77777777" w:rsidR="00AC4287" w:rsidRDefault="00AC4287" w:rsidP="00AC4287">
      <w:hyperlink r:id="rId155">
        <w:r>
          <w:rPr>
            <w:rStyle w:val="Hyperlink"/>
          </w:rPr>
          <w:t>[52]</w:t>
        </w:r>
      </w:hyperlink>
      <w:r>
        <w:t xml:space="preserve"> Ten years of open public data: open data begins a new ...</w:t>
      </w:r>
    </w:p>
    <w:p w14:paraId="39C4260E" w14:textId="77777777" w:rsidR="00AC4287" w:rsidRDefault="00AC4287" w:rsidP="00AC4287">
      <w:hyperlink r:id="rId156">
        <w:r>
          <w:rPr>
            <w:rStyle w:val="Hyperlink"/>
          </w:rPr>
          <w:t>https://labo.societenumerique.gouv.fr/en/articles/ten-year-open-public-data-lopen-data-starts-a-new-step/?utm_source=chatgpt.com</w:t>
        </w:r>
      </w:hyperlink>
    </w:p>
    <w:p w14:paraId="34F4BA7B" w14:textId="77777777" w:rsidR="00AC4287" w:rsidRDefault="00AC4287" w:rsidP="00AC4287">
      <w:hyperlink r:id="rId157">
        <w:r>
          <w:rPr>
            <w:rStyle w:val="Hyperlink"/>
          </w:rPr>
          <w:t>[54]</w:t>
        </w:r>
      </w:hyperlink>
      <w:r>
        <w:t xml:space="preserve"> Nowcasting New Zealand GDP using machine learning ...</w:t>
      </w:r>
    </w:p>
    <w:p w14:paraId="2BA2E0E5" w14:textId="77777777" w:rsidR="00AC4287" w:rsidRDefault="00AC4287" w:rsidP="00AC4287">
      <w:hyperlink r:id="rId158">
        <w:r>
          <w:rPr>
            <w:rStyle w:val="Hyperlink"/>
          </w:rPr>
          <w:t>https://www.bis.org/ifc/publ/ifcb50_15.pdf?utm_source=chatgpt.com</w:t>
        </w:r>
      </w:hyperlink>
    </w:p>
    <w:p w14:paraId="229A6D5C" w14:textId="77777777" w:rsidR="00AC4287" w:rsidRDefault="00AC4287" w:rsidP="00AC4287">
      <w:hyperlink r:id="rId159">
        <w:r>
          <w:rPr>
            <w:rStyle w:val="Hyperlink"/>
          </w:rPr>
          <w:t>[56]</w:t>
        </w:r>
      </w:hyperlink>
      <w:r>
        <w:t xml:space="preserve"> Nowcasting GDP - A Scalable Approach Using DFM ...</w:t>
      </w:r>
    </w:p>
    <w:p w14:paraId="196236CB" w14:textId="77777777" w:rsidR="00AC4287" w:rsidRDefault="00AC4287" w:rsidP="00AC4287">
      <w:hyperlink r:id="rId160">
        <w:r>
          <w:rPr>
            <w:rStyle w:val="Hyperlink"/>
          </w:rPr>
          <w:t>https://www.elibrary.imf.org/view/journals/001/2022/052/article-A001-en.xml?utm_source=chatgpt.com</w:t>
        </w:r>
      </w:hyperlink>
    </w:p>
    <w:p w14:paraId="67DCD173" w14:textId="77777777" w:rsidR="00AC4287" w:rsidRDefault="00AC4287" w:rsidP="00AC4287">
      <w:hyperlink r:id="rId161">
        <w:r>
          <w:rPr>
            <w:rStyle w:val="Hyperlink"/>
          </w:rPr>
          <w:t>[58]</w:t>
        </w:r>
      </w:hyperlink>
      <w:r>
        <w:t xml:space="preserve"> ECB economists improve GDP forecasting with ChatGPT</w:t>
      </w:r>
    </w:p>
    <w:p w14:paraId="5027C9F6" w14:textId="0CEB37A5" w:rsidR="00BE190C" w:rsidRDefault="00AC4287" w:rsidP="00AC4287">
      <w:hyperlink r:id="rId162">
        <w:r>
          <w:rPr>
            <w:rStyle w:val="Hyperlink"/>
          </w:rPr>
          <w:t>https://www.reuters.com/world/europe/ecb-economists-improve-gdp-forecasting-with-chatgpt-2025-06-26/?utm_source=chatgpt.com</w:t>
        </w:r>
      </w:hyperlink>
      <w:bookmarkEnd w:id="8"/>
    </w:p>
    <w:p w14:paraId="5C1857F0" w14:textId="77777777" w:rsidR="00AC4287" w:rsidRPr="00AC4287" w:rsidRDefault="00AC4287" w:rsidP="00AC4287"/>
    <w:sectPr w:rsidR="00AC4287" w:rsidRPr="00AC4287" w:rsidSect="00AC4287">
      <w:footerReference w:type="even" r:id="rId163"/>
      <w:footerReference w:type="default" r:id="rId1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6780913"/>
      <w:docPartObj>
        <w:docPartGallery w:val="Page Numbers (Bottom of Page)"/>
        <w:docPartUnique/>
      </w:docPartObj>
    </w:sdtPr>
    <w:sdtContent>
      <w:p w14:paraId="11458F97" w14:textId="77777777" w:rsidR="00AC4287" w:rsidRDefault="00AC4287" w:rsidP="008E61B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A25C63" w14:textId="77777777" w:rsidR="00AC4287" w:rsidRDefault="00AC42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3348078"/>
      <w:docPartObj>
        <w:docPartGallery w:val="Page Numbers (Bottom of Page)"/>
        <w:docPartUnique/>
      </w:docPartObj>
    </w:sdtPr>
    <w:sdtContent>
      <w:p w14:paraId="649D8AE3" w14:textId="77777777" w:rsidR="00AC4287" w:rsidRDefault="00AC4287" w:rsidP="008E61B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w:t>
        </w:r>
        <w:r>
          <w:rPr>
            <w:rStyle w:val="PageNumber"/>
          </w:rPr>
          <w:fldChar w:fldCharType="end"/>
        </w:r>
      </w:p>
    </w:sdtContent>
  </w:sdt>
  <w:p w14:paraId="0AE6113E" w14:textId="77777777" w:rsidR="00AC4287" w:rsidRDefault="00AC428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8AC61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59603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BE190C"/>
    <w:rsid w:val="0001355D"/>
    <w:rsid w:val="0045166E"/>
    <w:rsid w:val="0074696C"/>
    <w:rsid w:val="007A41CA"/>
    <w:rsid w:val="00856201"/>
    <w:rsid w:val="00AC4287"/>
    <w:rsid w:val="00B11D2C"/>
    <w:rsid w:val="00BE190C"/>
    <w:rsid w:val="00E27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AF2A7"/>
  <w15:docId w15:val="{B2F0BFFF-5518-BD43-9980-12538E16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footer" w:uiPriority="99"/>
    <w:lsdException w:name="page numb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uiPriority w:val="99"/>
    <w:unhideWhenUsed/>
    <w:rsid w:val="00AC4287"/>
    <w:pPr>
      <w:tabs>
        <w:tab w:val="center" w:pos="4680"/>
        <w:tab w:val="right" w:pos="9360"/>
      </w:tabs>
      <w:spacing w:after="0"/>
    </w:pPr>
    <w:rPr>
      <w:rFonts w:ascii="Calibri" w:eastAsia="Calibri" w:hAnsi="Calibri"/>
      <w:sz w:val="22"/>
      <w:szCs w:val="22"/>
      <w:lang w:val="en-US"/>
    </w:rPr>
  </w:style>
  <w:style w:type="character" w:customStyle="1" w:styleId="FooterChar">
    <w:name w:val="Footer Char"/>
    <w:basedOn w:val="DefaultParagraphFont"/>
    <w:link w:val="Footer"/>
    <w:uiPriority w:val="99"/>
    <w:rsid w:val="00AC4287"/>
    <w:rPr>
      <w:rFonts w:ascii="Calibri" w:eastAsia="Calibri" w:hAnsi="Calibri"/>
      <w:sz w:val="22"/>
      <w:szCs w:val="22"/>
      <w:lang w:val="en-US"/>
    </w:rPr>
  </w:style>
  <w:style w:type="character" w:styleId="PageNumber">
    <w:name w:val="page number"/>
    <w:basedOn w:val="DefaultParagraphFont"/>
    <w:uiPriority w:val="99"/>
    <w:unhideWhenUsed/>
    <w:rsid w:val="00AC4287"/>
  </w:style>
  <w:style w:type="character" w:styleId="FollowedHyperlink">
    <w:name w:val="FollowedHyperlink"/>
    <w:basedOn w:val="DefaultParagraphFont"/>
    <w:rsid w:val="00AC42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fd.alaska.gov/Division-Info/about-us?utm_source=chatgpt.com" TargetMode="External"/><Relationship Id="rId21" Type="http://schemas.openxmlformats.org/officeDocument/2006/relationships/hyperlink" Target="https://www.ifswf.org/santiago-principles?utm_source=chatgpt.com" TargetMode="External"/><Relationship Id="rId42" Type="http://schemas.openxmlformats.org/officeDocument/2006/relationships/hyperlink" Target="https://www.sciencedirect.com/science/article/abs/pii/S0929119921001620?utm_source=chatgpt.com" TargetMode="External"/><Relationship Id="rId63" Type="http://schemas.openxmlformats.org/officeDocument/2006/relationships/hyperlink" Target="https://www.oecd.org/en/data/indicators/trust-in-government.html?utm_source=chatgpt.com" TargetMode="External"/><Relationship Id="rId84" Type="http://schemas.openxmlformats.org/officeDocument/2006/relationships/hyperlink" Target="https://www.imf.org/en/blogs/articles/2017/04/12/drivers-of-declining-labor-share-of-income?utm_source=chatgpt.com" TargetMode="External"/><Relationship Id="rId138" Type="http://schemas.openxmlformats.org/officeDocument/2006/relationships/hyperlink" Target="https://www.pbo.gov.au/about-budgets/budget-insights/budget-explainers/dividend-imputation-and-franking-credits?utm_source=chatgpt.com" TargetMode="External"/><Relationship Id="rId159" Type="http://schemas.openxmlformats.org/officeDocument/2006/relationships/hyperlink" Target="https://www.elibrary.imf.org/view/journals/001/2022/052/article-A001-en.xml?utm_source=chatgpt.com" TargetMode="External"/><Relationship Id="rId107" Type="http://schemas.openxmlformats.org/officeDocument/2006/relationships/hyperlink" Target="https://www.oecd.org/content/dam/oecd/en/publications/reports/2025/10/enhancing-simplicity-to-foster-tax-certainty-and-growth_d42d5905/086f71ab-en.pdf?utm_source=chatgpt.com" TargetMode="External"/><Relationship Id="rId11" Type="http://schemas.openxmlformats.org/officeDocument/2006/relationships/hyperlink" Target="https://www.ilo.org/sites/default/files/wcmsp5/groups/public/%40dgreports/%40dcomm/%40publ/documents/publication/wcms_537846.pdf?utm_source=chatgpt.com" TargetMode="External"/><Relationship Id="rId32" Type="http://schemas.openxmlformats.org/officeDocument/2006/relationships/hyperlink" Target="https://www.oecd.org/content/dam/oecd/en/publications/reports/2013/11/taxation-of-dividend-interest-and-capital-gain-income_g17a239a/5k3wh96w246k-en.pdf?utm_source=chatgpt.com" TargetMode="External"/><Relationship Id="rId53" Type="http://schemas.openxmlformats.org/officeDocument/2006/relationships/hyperlink" Target="https://www.oecd.org/content/dam/oecd/en/publications/reports/2017/05/basic-income-as-a-policy-option_6d481cff/77d7fe00-en.pdf?utm_source=chatgpt.com" TargetMode="External"/><Relationship Id="rId74" Type="http://schemas.openxmlformats.org/officeDocument/2006/relationships/hyperlink" Target="https://shapingwork.mit.edu/wp-content/uploads/2023/10/acemoglu-restrepo-2019-automation-and-new-tasks-how-technology-displaces-and-reinstates-labor.pdf?utm_source=chatgpt.com" TargetMode="External"/><Relationship Id="rId128" Type="http://schemas.openxmlformats.org/officeDocument/2006/relationships/hyperlink" Target="https://www.eia.gov/todayinenergy/detail.php?id=21052&amp;utm_source=chatgpt.com" TargetMode="External"/><Relationship Id="rId149" Type="http://schemas.openxmlformats.org/officeDocument/2006/relationships/hyperlink" Target="https://valtioneuvosto.fi/en/-/1271139/perustulokokeilun-tulokset-tyollisyysvaikutukset-vahaisia-toimeentulo-ja-psyykkinen-terveys-koettiin-paremmaksi?utm_source=chatgpt.com" TargetMode="External"/><Relationship Id="rId5" Type="http://schemas.openxmlformats.org/officeDocument/2006/relationships/hyperlink" Target="https://www.jstor.org/stable/2006600?utm_source=chatgpt.com" TargetMode="External"/><Relationship Id="rId95" Type="http://schemas.openxmlformats.org/officeDocument/2006/relationships/hyperlink" Target="https://www.fondsdereserve.fr/en/about/frr-missions/?utm_source=chatgpt.com" TargetMode="External"/><Relationship Id="rId160" Type="http://schemas.openxmlformats.org/officeDocument/2006/relationships/hyperlink" Target="https://www.elibrary.imf.org/view/journals/001/2022/052/article-A001-en.xml?utm_source=chatgpt.com" TargetMode="External"/><Relationship Id="rId22" Type="http://schemas.openxmlformats.org/officeDocument/2006/relationships/hyperlink" Target="https://www.adia.ae/en/purpose/responsible-long-term-investing/case-studies/santiago-principles?utm_source=chatgpt.com" TargetMode="External"/><Relationship Id="rId43" Type="http://schemas.openxmlformats.org/officeDocument/2006/relationships/hyperlink" Target="https://www.sciencedirect.com/science/article/abs/pii/S0929119921001620?utm_source=chatgpt.com" TargetMode="External"/><Relationship Id="rId64" Type="http://schemas.openxmlformats.org/officeDocument/2006/relationships/hyperlink" Target="https://www.reuters.com/world/europe/ecb-economists-improve-gdp-forecasting-with-chatgpt-2025-06-26/?utm_source=chatgpt.com" TargetMode="External"/><Relationship Id="rId118" Type="http://schemas.openxmlformats.org/officeDocument/2006/relationships/hyperlink" Target="https://pfd.alaska.gov/Division-Info/about-us?utm_source=chatgpt.com" TargetMode="External"/><Relationship Id="rId139" Type="http://schemas.openxmlformats.org/officeDocument/2006/relationships/hyperlink" Target="https://www.pbo.gov.au/about-budgets/budget-insights/budget-explainers/dividend-imputation-and-franking-credits?utm_source=chatgpt.com" TargetMode="External"/><Relationship Id="rId85" Type="http://schemas.openxmlformats.org/officeDocument/2006/relationships/hyperlink" Target="https://www.imf.org/en/blogs/articles/2017/04/12/drivers-of-declining-labor-share-of-income?utm_source=chatgpt.com" TargetMode="External"/><Relationship Id="rId150" Type="http://schemas.openxmlformats.org/officeDocument/2006/relationships/hyperlink" Target="https://valtioneuvosto.fi/en/-/1271139/perustulokokeilun-tulokset-tyollisyysvaikutukset-vahaisia-toimeentulo-ja-psyykkinen-terveys-koettiin-paremmaksi?utm_source=chatgpt.com" TargetMode="External"/><Relationship Id="rId12" Type="http://schemas.openxmlformats.org/officeDocument/2006/relationships/hyperlink" Target="https://www.imf.org/en/blogs/articles/2017/04/12/drivers-of-declining-labor-share-of-income?utm_source=chatgpt.com" TargetMode="External"/><Relationship Id="rId17" Type="http://schemas.openxmlformats.org/officeDocument/2006/relationships/hyperlink" Target="https://www.fondsdereserve.fr/en/about/frr-missions/?utm_source=chatgpt.com" TargetMode="External"/><Relationship Id="rId33" Type="http://schemas.openxmlformats.org/officeDocument/2006/relationships/hyperlink" Target="https://www.ato.gov.au/businesses-and-organisations/super-for-employers?utm_source=chatgpt.com" TargetMode="External"/><Relationship Id="rId38" Type="http://schemas.openxmlformats.org/officeDocument/2006/relationships/hyperlink" Target="https://www.oecd.org/content/dam/oecd/en/publications/reports/2013/11/taxation-of-dividend-interest-and-capital-gain-income_g17a239a/5k3wh96w246k-en.pdf?utm_source=chatgpt.com" TargetMode="External"/><Relationship Id="rId59" Type="http://schemas.openxmlformats.org/officeDocument/2006/relationships/hyperlink" Target="https://www.fondsdereserve.fr/en/about/frr-missions/?utm_source=chatgpt.com" TargetMode="External"/><Relationship Id="rId103" Type="http://schemas.openxmlformats.org/officeDocument/2006/relationships/hyperlink" Target="https://www.imf.org/en/publications/policy-papers/issues/2016/12/31/sovereign-wealth-funds-a-work-agenda-pp4234?utm_source=chatgpt.com" TargetMode="External"/><Relationship Id="rId108" Type="http://schemas.openxmlformats.org/officeDocument/2006/relationships/hyperlink" Target="https://www.ifswf.org/santiago-principles?utm_source=chatgpt.com" TargetMode="External"/><Relationship Id="rId124" Type="http://schemas.openxmlformats.org/officeDocument/2006/relationships/hyperlink" Target="https://apfc.org/who-we-are/history-of-the-alaska-permanent-fund/?utm_source=chatgpt.com" TargetMode="External"/><Relationship Id="rId129" Type="http://schemas.openxmlformats.org/officeDocument/2006/relationships/hyperlink" Target="https://www.oecd.org/content/dam/oecd/en/publications/reports/2013/11/taxation-of-dividend-interest-and-capital-gain-income_g17a239a/5k3wh96w246k-en.pdf?utm_source=chatgpt.com" TargetMode="External"/><Relationship Id="rId54" Type="http://schemas.openxmlformats.org/officeDocument/2006/relationships/hyperlink" Target="https://www.imf.org/en/publications/policy-papers/issues/2016/12/31/sovereign-wealth-funds-a-work-agenda-pp4234?utm_source=chatgpt.com" TargetMode="External"/><Relationship Id="rId70" Type="http://schemas.openxmlformats.org/officeDocument/2006/relationships/hyperlink" Target="https://www.oecd.org/content/dam/oecd/en/publications/reports/2017/05/basic-income-as-a-policy-option_6d481cff/77d7fe00-en.pdf?utm_source=chatgpt.com" TargetMode="External"/><Relationship Id="rId75" Type="http://schemas.openxmlformats.org/officeDocument/2006/relationships/hyperlink" Target="https://shapingwork.mit.edu/wp-content/uploads/2023/10/acemoglu-restrepo-2019-automation-and-new-tasks-how-technology-displaces-and-reinstates-labor.pdf?utm_source=chatgpt.com" TargetMode="External"/><Relationship Id="rId91" Type="http://schemas.openxmlformats.org/officeDocument/2006/relationships/hyperlink" Target="https://www.oecd.org/en/data/indicators/trust-in-government.html?utm_source=chatgpt.com" TargetMode="External"/><Relationship Id="rId96" Type="http://schemas.openxmlformats.org/officeDocument/2006/relationships/hyperlink" Target="https://www.fondsdereserve.fr/en/about/frr-missions/?utm_source=chatgpt.com" TargetMode="External"/><Relationship Id="rId140" Type="http://schemas.openxmlformats.org/officeDocument/2006/relationships/hyperlink" Target="https://www.ato.gov.au/businesses-and-organisations/corporate-tax-measures-and-assurance/imputation?utm_source=chatgpt.com" TargetMode="External"/><Relationship Id="rId145" Type="http://schemas.openxmlformats.org/officeDocument/2006/relationships/hyperlink" Target="https://www.nber.org/system/files/working_papers/w31944/w31944.pdf?utm_source=chatgpt.com" TargetMode="External"/><Relationship Id="rId161" Type="http://schemas.openxmlformats.org/officeDocument/2006/relationships/hyperlink" Target="https://www.reuters.com/world/europe/ecb-economists-improve-gdp-forecasting-with-chatgpt-2025-06-26/?utm_source=chatgpt.com" TargetMode="External"/><Relationship Id="rId16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oecd.org/content/dam/oecd/en/publications/reports/2017/05/basic-income-as-a-policy-option_6d481cff/77d7fe00-en.pdf?utm_source=chatgpt.com" TargetMode="External"/><Relationship Id="rId23" Type="http://schemas.openxmlformats.org/officeDocument/2006/relationships/hyperlink" Target="https://www.oecd.org/en/publications/digital-technology-diffusion-in-the-age-of-ai_ebc2debe-en.html?utm_source=chatgpt.com" TargetMode="External"/><Relationship Id="rId28" Type="http://schemas.openxmlformats.org/officeDocument/2006/relationships/hyperlink" Target="https://interoperable-europe.ec.europa.eu/collection/open-government/document/datagouvfr-french-open-platform-open-data?utm_source=chatgpt.com" TargetMode="External"/><Relationship Id="rId49" Type="http://schemas.openxmlformats.org/officeDocument/2006/relationships/hyperlink" Target="https://pfd.alaska.gov/Division-Info/about-us?utm_source=chatgpt.com" TargetMode="External"/><Relationship Id="rId114" Type="http://schemas.openxmlformats.org/officeDocument/2006/relationships/hyperlink" Target="https://onlinelibrary.wiley.com/doi/full/10.1002/pop4.398?utm_source=chatgpt.com" TargetMode="External"/><Relationship Id="rId119" Type="http://schemas.openxmlformats.org/officeDocument/2006/relationships/hyperlink" Target="https://pfd.alaska.gov/Division-Info/about-us?utm_source=chatgpt.com" TargetMode="External"/><Relationship Id="rId44" Type="http://schemas.openxmlformats.org/officeDocument/2006/relationships/hyperlink" Target="https://www.oecd.org/content/dam/oecd/en/publications/reports/2025/10/enhancing-simplicity-to-foster-tax-certainty-and-growth_d42d5905/086f71ab-en.pdf?utm_source=chatgpt.com" TargetMode="External"/><Relationship Id="rId60" Type="http://schemas.openxmlformats.org/officeDocument/2006/relationships/hyperlink" Target="https://www.bis.org/ifc/publ/ifcb50_15.pdf?utm_source=chatgpt.com" TargetMode="External"/><Relationship Id="rId65" Type="http://schemas.openxmlformats.org/officeDocument/2006/relationships/hyperlink" Target="https://www.reuters.com/world/europe/ecb-economists-improve-gdp-forecasting-with-chatgpt-2025-06-26/?utm_source=chatgpt.com" TargetMode="External"/><Relationship Id="rId81" Type="http://schemas.openxmlformats.org/officeDocument/2006/relationships/hyperlink" Target="https://www.ilo.org/sites/default/files/wcmsp5/groups/public/%40dgreports/%40dcomm/%40publ/documents/publication/wcms_537846.pdf?utm_source=chatgpt.com" TargetMode="External"/><Relationship Id="rId86" Type="http://schemas.openxmlformats.org/officeDocument/2006/relationships/hyperlink" Target="https://www.bis.org/publ/work930.pdf?utm_source=chatgpt.com" TargetMode="External"/><Relationship Id="rId130" Type="http://schemas.openxmlformats.org/officeDocument/2006/relationships/hyperlink" Target="https://www.oecd.org/content/dam/oecd/en/publications/reports/2013/11/taxation-of-dividend-interest-and-capital-gain-income_g17a239a/5k3wh96w246k-en.pdf?utm_source=chatgpt.com" TargetMode="External"/><Relationship Id="rId135" Type="http://schemas.openxmlformats.org/officeDocument/2006/relationships/hyperlink" Target="https://www.apra.gov.au/news-and-publications/apra-releases-superannuation-statistics-for-december-2025?utm_source=chatgpt.com" TargetMode="External"/><Relationship Id="rId151" Type="http://schemas.openxmlformats.org/officeDocument/2006/relationships/hyperlink" Target="https://www.nber.org/system/files/working_papers/w24312/revisions/w24312.rev0.pdf?utm_source=chatgpt.com" TargetMode="External"/><Relationship Id="rId156" Type="http://schemas.openxmlformats.org/officeDocument/2006/relationships/hyperlink" Target="https://labo.societenumerique.gouv.fr/en/articles/ten-year-open-public-data-lopen-data-starts-a-new-step/?utm_source=chatgpt.com" TargetMode="External"/><Relationship Id="rId13" Type="http://schemas.openxmlformats.org/officeDocument/2006/relationships/hyperlink" Target="https://www.bis.org/publ/work930.pdf?utm_source=chatgpt.com" TargetMode="External"/><Relationship Id="rId18" Type="http://schemas.openxmlformats.org/officeDocument/2006/relationships/hyperlink" Target="https://www.insee.fr/fr/statistiques/4277630?sommaire=4318291&amp;utm_source=chatgpt.com" TargetMode="External"/><Relationship Id="rId39" Type="http://schemas.openxmlformats.org/officeDocument/2006/relationships/hyperlink" Target="https://www.pbo.gov.au/about-budgets/budget-insights/budget-explainers/dividend-imputation-and-franking-credits?utm_source=chatgpt.com" TargetMode="External"/><Relationship Id="rId109" Type="http://schemas.openxmlformats.org/officeDocument/2006/relationships/hyperlink" Target="https://www.ifswf.org/santiago-principles?utm_source=chatgpt.com" TargetMode="External"/><Relationship Id="rId34" Type="http://schemas.openxmlformats.org/officeDocument/2006/relationships/hyperlink" Target="https://apfc.org/who-we-are/history-of-the-alaska-permanent-fund/?utm_source=chatgpt.com" TargetMode="External"/><Relationship Id="rId50" Type="http://schemas.openxmlformats.org/officeDocument/2006/relationships/hyperlink" Target="https://www.nber.org/system/files/working_papers/w24312/revisions/w24312.rev0.pdf?utm_source=chatgpt.com" TargetMode="External"/><Relationship Id="rId55" Type="http://schemas.openxmlformats.org/officeDocument/2006/relationships/hyperlink" Target="https://interoperable-europe.ec.europa.eu/collection/open-government/document/datagouvfr-french-open-platform-open-data?utm_source=chatgpt.com" TargetMode="External"/><Relationship Id="rId76" Type="http://schemas.openxmlformats.org/officeDocument/2006/relationships/hyperlink" Target="https://www.data.gouv.fr/?utm_source=chatgpt.com" TargetMode="External"/><Relationship Id="rId97" Type="http://schemas.openxmlformats.org/officeDocument/2006/relationships/hyperlink" Target="https://www.fondsdereserve.fr/en/about/frr-missions/?utm_source=chatgpt.com" TargetMode="External"/><Relationship Id="rId104" Type="http://schemas.openxmlformats.org/officeDocument/2006/relationships/hyperlink" Target="https://www.imf.org/en/publications/policy-papers/issues/2016/12/31/sovereign-wealth-funds-a-work-agenda-pp4234?utm_source=chatgpt.com" TargetMode="External"/><Relationship Id="rId120" Type="http://schemas.openxmlformats.org/officeDocument/2006/relationships/hyperlink" Target="https://interoperable-europe.ec.europa.eu/collection/open-government/document/datagouvfr-french-open-platform-open-data?utm_source=chatgpt.com" TargetMode="External"/><Relationship Id="rId125" Type="http://schemas.openxmlformats.org/officeDocument/2006/relationships/hyperlink" Target="https://apfc.org/who-we-are/history-of-the-alaska-permanent-fund/?utm_source=chatgpt.com" TargetMode="External"/><Relationship Id="rId141" Type="http://schemas.openxmlformats.org/officeDocument/2006/relationships/hyperlink" Target="https://www.ato.gov.au/businesses-and-organisations/corporate-tax-measures-and-assurance/imputation?utm_source=chatgpt.com" TargetMode="External"/><Relationship Id="rId146" Type="http://schemas.openxmlformats.org/officeDocument/2006/relationships/hyperlink" Target="https://www.nber.org/system/files/working_papers/w31944/w31944.pdf?utm_source=chatgpt.com" TargetMode="External"/><Relationship Id="rId7" Type="http://schemas.openxmlformats.org/officeDocument/2006/relationships/hyperlink" Target="https://www.oecd.org/en/publications/digital-technology-diffusion-in-the-age-of-ai_ebc2debe-en.html?utm_source=chatgpt.com" TargetMode="External"/><Relationship Id="rId71" Type="http://schemas.openxmlformats.org/officeDocument/2006/relationships/hyperlink" Target="https://www.oecd.org/en/publications/digital-technology-diffusion-in-the-age-of-ai_ebc2debe-en.html?utm_source=chatgpt.com" TargetMode="External"/><Relationship Id="rId92" Type="http://schemas.openxmlformats.org/officeDocument/2006/relationships/hyperlink" Target="https://www.oecd.org/en/publications/2025/06/government-at-a-glance-2025_70e14c6c/full-report/transparency-of-public-information_60a963c4.html?utm_source=chatgpt.com" TargetMode="External"/><Relationship Id="rId162" Type="http://schemas.openxmlformats.org/officeDocument/2006/relationships/hyperlink" Target="https://www.reuters.com/world/europe/ecb-economists-improve-gdp-forecasting-with-chatgpt-2025-06-26/?utm_source=chatgpt.com" TargetMode="External"/><Relationship Id="rId2" Type="http://schemas.openxmlformats.org/officeDocument/2006/relationships/styles" Target="styles.xml"/><Relationship Id="rId29" Type="http://schemas.openxmlformats.org/officeDocument/2006/relationships/hyperlink" Target="https://apfc.org/who-we-are/history-of-the-alaska-permanent-fund/?utm_source=chatgpt.com" TargetMode="External"/><Relationship Id="rId24" Type="http://schemas.openxmlformats.org/officeDocument/2006/relationships/hyperlink" Target="https://www.fondsdereserve.fr/en/about/frr-missions/?utm_source=chatgpt.com" TargetMode="External"/><Relationship Id="rId40" Type="http://schemas.openxmlformats.org/officeDocument/2006/relationships/hyperlink" Target="https://www.ato.gov.au/businesses-and-organisations/corporate-tax-measures-and-assurance/imputation?utm_source=chatgpt.com" TargetMode="External"/><Relationship Id="rId45" Type="http://schemas.openxmlformats.org/officeDocument/2006/relationships/hyperlink" Target="https://www.nber.org/system/files/working_papers/w31944/w31944.pdf?utm_source=chatgpt.com" TargetMode="External"/><Relationship Id="rId66" Type="http://schemas.openxmlformats.org/officeDocument/2006/relationships/hyperlink" Target="https://www.oecd.org/en/publications/2025/06/government-at-a-glance-2025_70e14c6c/full-report/transparency-of-public-information_60a963c4.html?utm_source=chatgpt.com" TargetMode="External"/><Relationship Id="rId87" Type="http://schemas.openxmlformats.org/officeDocument/2006/relationships/hyperlink" Target="https://www.bis.org/publ/work930.pdf?utm_source=chatgpt.com" TargetMode="External"/><Relationship Id="rId110" Type="http://schemas.openxmlformats.org/officeDocument/2006/relationships/hyperlink" Target="https://www.adia.ae/en/purpose/responsible-long-term-investing/case-studies/santiago-principles?utm_source=chatgpt.com" TargetMode="External"/><Relationship Id="rId115" Type="http://schemas.openxmlformats.org/officeDocument/2006/relationships/hyperlink" Target="https://onlinelibrary.wiley.com/doi/full/10.1002/pop4.398?utm_source=chatgpt.com" TargetMode="External"/><Relationship Id="rId131" Type="http://schemas.openxmlformats.org/officeDocument/2006/relationships/hyperlink" Target="https://www.oecd.org/content/dam/oecd/en/publications/reports/2013/11/taxation-of-dividend-interest-and-capital-gain-income_g17a239a/5k3wh96w246k-en.pdf?utm_source=chatgpt.com" TargetMode="External"/><Relationship Id="rId136" Type="http://schemas.openxmlformats.org/officeDocument/2006/relationships/hyperlink" Target="https://www.apra.gov.au/news-and-publications/apra-releases-superannuation-statistics-for-december-2025?utm_source=chatgpt.com" TargetMode="External"/><Relationship Id="rId157" Type="http://schemas.openxmlformats.org/officeDocument/2006/relationships/hyperlink" Target="https://www.bis.org/ifc/publ/ifcb50_15.pdf?utm_source=chatgpt.com" TargetMode="External"/><Relationship Id="rId61" Type="http://schemas.openxmlformats.org/officeDocument/2006/relationships/hyperlink" Target="https://www.bis.org/publ/work930.pdf?utm_source=chatgpt.com" TargetMode="External"/><Relationship Id="rId82" Type="http://schemas.openxmlformats.org/officeDocument/2006/relationships/hyperlink" Target="https://www.ilo.org/sites/default/files/wcmsp5/groups/public/%40dgreports/%40dcomm/%40publ/documents/publication/wcms_537846.pdf?utm_source=chatgpt.com" TargetMode="External"/><Relationship Id="rId152" Type="http://schemas.openxmlformats.org/officeDocument/2006/relationships/hyperlink" Target="https://www.nber.org/system/files/working_papers/w24312/revisions/w24312.rev0.pdf?utm_source=chatgpt.com" TargetMode="External"/><Relationship Id="rId19" Type="http://schemas.openxmlformats.org/officeDocument/2006/relationships/hyperlink" Target="https://www.imf.org/en/publications/policy-papers/issues/2016/12/31/sovereign-wealth-funds-a-work-agenda-pp4234?utm_source=chatgpt.com" TargetMode="External"/><Relationship Id="rId14" Type="http://schemas.openxmlformats.org/officeDocument/2006/relationships/hyperlink" Target="https://www.ilo.org/sites/default/files/wcmsp5/groups/public/%40dgreports/%40dcomm/%40publ/documents/publication/wcms_537846.pdf?utm_source=chatgpt.com" TargetMode="External"/><Relationship Id="rId30" Type="http://schemas.openxmlformats.org/officeDocument/2006/relationships/hyperlink" Target="https://www.eia.gov/todayinenergy/detail.php?id=21052&amp;utm_source=chatgpt.com" TargetMode="External"/><Relationship Id="rId35" Type="http://schemas.openxmlformats.org/officeDocument/2006/relationships/hyperlink" Target="https://www.apra.gov.au/news-and-publications/apra-releases-superannuation-statistics-for-december-2025?utm_source=chatgpt.com" TargetMode="External"/><Relationship Id="rId56" Type="http://schemas.openxmlformats.org/officeDocument/2006/relationships/hyperlink" Target="https://www.data.gouv.fr/?utm_source=chatgpt.com" TargetMode="External"/><Relationship Id="rId77" Type="http://schemas.openxmlformats.org/officeDocument/2006/relationships/hyperlink" Target="https://www.data.gouv.fr/?utm_source=chatgpt.com" TargetMode="External"/><Relationship Id="rId100" Type="http://schemas.openxmlformats.org/officeDocument/2006/relationships/hyperlink" Target="https://www.insee.fr/fr/statistiques/4277630?sommaire=4318291&amp;utm_source=chatgpt.com" TargetMode="External"/><Relationship Id="rId105" Type="http://schemas.openxmlformats.org/officeDocument/2006/relationships/hyperlink" Target="https://www.oecd.org/content/dam/oecd/en/publications/reports/2025/10/enhancing-simplicity-to-foster-tax-certainty-and-growth_d42d5905/086f71ab-en.pdf?utm_source=chatgpt.com" TargetMode="External"/><Relationship Id="rId126" Type="http://schemas.openxmlformats.org/officeDocument/2006/relationships/hyperlink" Target="https://apfc.org/who-we-are/history-of-the-alaska-permanent-fund/?utm_source=chatgpt.com" TargetMode="External"/><Relationship Id="rId147" Type="http://schemas.openxmlformats.org/officeDocument/2006/relationships/hyperlink" Target="https://ec.europa.eu/social/BlobServlet?docId=20846&amp;langId=en&amp;utm_source=chatgpt.com" TargetMode="External"/><Relationship Id="rId8" Type="http://schemas.openxmlformats.org/officeDocument/2006/relationships/hyperlink" Target="https://shapingwork.mit.edu/wp-content/uploads/2023/10/acemoglu-restrepo-2019-automation-and-new-tasks-how-technology-displaces-and-reinstates-labor.pdf?utm_source=chatgpt.com" TargetMode="External"/><Relationship Id="rId51" Type="http://schemas.openxmlformats.org/officeDocument/2006/relationships/hyperlink" Target="https://onlinelibrary.wiley.com/doi/full/10.1002/pop4.398?utm_source=chatgpt.com" TargetMode="External"/><Relationship Id="rId72" Type="http://schemas.openxmlformats.org/officeDocument/2006/relationships/hyperlink" Target="https://www.oecd.org/en/publications/digital-technology-diffusion-in-the-age-of-ai_ebc2debe-en.html?utm_source=chatgpt.com" TargetMode="External"/><Relationship Id="rId93" Type="http://schemas.openxmlformats.org/officeDocument/2006/relationships/hyperlink" Target="https://www.oecd.org/en/publications/2025/06/government-at-a-glance-2025_70e14c6c/full-report/transparency-of-public-information_60a963c4.html?utm_source=chatgpt.com" TargetMode="External"/><Relationship Id="rId98" Type="http://schemas.openxmlformats.org/officeDocument/2006/relationships/hyperlink" Target="https://www.fondsdereserve.fr/en/about/frr-missions/?utm_source=chatgpt.com" TargetMode="External"/><Relationship Id="rId121" Type="http://schemas.openxmlformats.org/officeDocument/2006/relationships/hyperlink" Target="https://interoperable-europe.ec.europa.eu/collection/open-government/document/datagouvfr-french-open-platform-open-data?utm_source=chatgpt.com" TargetMode="External"/><Relationship Id="rId142" Type="http://schemas.openxmlformats.org/officeDocument/2006/relationships/hyperlink" Target="https://www.sciencedirect.com/science/article/abs/pii/S0929119921001620?utm_source=chatgpt.com" TargetMode="External"/><Relationship Id="rId163"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hyperlink" Target="https://www.ilo.org/sites/default/files/wcmsp5/groups/public/%40asia/%40ro-bangkok/%40ilo-beijing/documents/briefingnote/wcms_749634.pdf?utm_source=chatgpt.com" TargetMode="External"/><Relationship Id="rId46" Type="http://schemas.openxmlformats.org/officeDocument/2006/relationships/hyperlink" Target="https://interoperable-europe.ec.europa.eu/collection/open-government/document/datagouvfr-french-open-platform-open-data?utm_source=chatgpt.com" TargetMode="External"/><Relationship Id="rId67" Type="http://schemas.openxmlformats.org/officeDocument/2006/relationships/hyperlink" Target="https://www.jstor.org/stable/2006600?utm_source=chatgpt.com" TargetMode="External"/><Relationship Id="rId116" Type="http://schemas.openxmlformats.org/officeDocument/2006/relationships/hyperlink" Target="https://onlinelibrary.wiley.com/doi/full/10.1002/pop4.398?utm_source=chatgpt.com" TargetMode="External"/><Relationship Id="rId137" Type="http://schemas.openxmlformats.org/officeDocument/2006/relationships/hyperlink" Target="https://www.apra.gov.au/news-and-publications/apra-releases-superannuation-statistics-for-december-2025?utm_source=chatgpt.com" TargetMode="External"/><Relationship Id="rId158" Type="http://schemas.openxmlformats.org/officeDocument/2006/relationships/hyperlink" Target="https://www.bis.org/ifc/publ/ifcb50_15.pdf?utm_source=chatgpt.com" TargetMode="External"/><Relationship Id="rId20" Type="http://schemas.openxmlformats.org/officeDocument/2006/relationships/hyperlink" Target="https://www.oecd.org/content/dam/oecd/en/publications/reports/2025/10/enhancing-simplicity-to-foster-tax-certainty-and-growth_d42d5905/086f71ab-en.pdf?utm_source=chatgpt.com" TargetMode="External"/><Relationship Id="rId41" Type="http://schemas.openxmlformats.org/officeDocument/2006/relationships/hyperlink" Target="https://www.sciencedirect.com/science/article/abs/pii/S0929119921001620?utm_source=chatgpt.com" TargetMode="External"/><Relationship Id="rId62" Type="http://schemas.openxmlformats.org/officeDocument/2006/relationships/hyperlink" Target="https://www.elibrary.imf.org/view/journals/001/2022/052/article-A001-en.xml?utm_source=chatgpt.com" TargetMode="External"/><Relationship Id="rId83" Type="http://schemas.openxmlformats.org/officeDocument/2006/relationships/hyperlink" Target="https://www.ilo.org/sites/default/files/wcmsp5/groups/public/%40dgreports/%40dcomm/%40publ/documents/publication/wcms_537846.pdf?utm_source=chatgpt.com" TargetMode="External"/><Relationship Id="rId88" Type="http://schemas.openxmlformats.org/officeDocument/2006/relationships/hyperlink" Target="https://www.bis.org/publ/work930.pdf?utm_source=chatgpt.com" TargetMode="External"/><Relationship Id="rId111" Type="http://schemas.openxmlformats.org/officeDocument/2006/relationships/hyperlink" Target="https://www.adia.ae/en/purpose/responsible-long-term-investing/case-studies/santiago-principles?utm_source=chatgpt.com" TargetMode="External"/><Relationship Id="rId132" Type="http://schemas.openxmlformats.org/officeDocument/2006/relationships/hyperlink" Target="https://www.oecd.org/content/dam/oecd/en/publications/reports/2013/11/taxation-of-dividend-interest-and-capital-gain-income_g17a239a/5k3wh96w246k-en.pdf?utm_source=chatgpt.com" TargetMode="External"/><Relationship Id="rId153" Type="http://schemas.openxmlformats.org/officeDocument/2006/relationships/hyperlink" Target="https://www.sciencedirect.com/science/article/pii/S0305750X1830024X?utm_source=chatgpt.com" TargetMode="External"/><Relationship Id="rId15" Type="http://schemas.openxmlformats.org/officeDocument/2006/relationships/hyperlink" Target="https://www.oecd.org/en/data/indicators/trust-in-government.html?utm_source=chatgpt.com" TargetMode="External"/><Relationship Id="rId36" Type="http://schemas.openxmlformats.org/officeDocument/2006/relationships/hyperlink" Target="https://www.apra.gov.au/news-and-publications/apra-releases-superannuation-statistics-for-december-2025?utm_source=chatgpt.com" TargetMode="External"/><Relationship Id="rId57" Type="http://schemas.openxmlformats.org/officeDocument/2006/relationships/hyperlink" Target="https://labo.societenumerique.gouv.fr/en/articles/ten-year-open-public-data-lopen-data-starts-a-new-step/?utm_source=chatgpt.com" TargetMode="External"/><Relationship Id="rId106" Type="http://schemas.openxmlformats.org/officeDocument/2006/relationships/hyperlink" Target="https://www.oecd.org/content/dam/oecd/en/publications/reports/2025/10/enhancing-simplicity-to-foster-tax-certainty-and-growth_d42d5905/086f71ab-en.pdf?utm_source=chatgpt.com" TargetMode="External"/><Relationship Id="rId127" Type="http://schemas.openxmlformats.org/officeDocument/2006/relationships/hyperlink" Target="https://www.eia.gov/todayinenergy/detail.php?id=21052&amp;utm_source=chatgpt.com" TargetMode="External"/><Relationship Id="rId10" Type="http://schemas.openxmlformats.org/officeDocument/2006/relationships/hyperlink" Target="https://reports.weforum.org/docs/WEF_Future_of_Jobs_Report_2025.pdf?utm_source=chatgpt.com" TargetMode="External"/><Relationship Id="rId31" Type="http://schemas.openxmlformats.org/officeDocument/2006/relationships/hyperlink" Target="https://www.imf.org/en/publications/policy-papers/issues/2016/12/31/sovereign-wealth-funds-a-work-agenda-pp4234?utm_source=chatgpt.com" TargetMode="External"/><Relationship Id="rId52" Type="http://schemas.openxmlformats.org/officeDocument/2006/relationships/hyperlink" Target="https://www.sciencedirect.com/science/article/pii/S0305750X1830024X?utm_source=chatgpt.com" TargetMode="External"/><Relationship Id="rId73" Type="http://schemas.openxmlformats.org/officeDocument/2006/relationships/hyperlink" Target="https://www.oecd.org/en/publications/digital-technology-diffusion-in-the-age-of-ai_ebc2debe-en.html?utm_source=chatgpt.com" TargetMode="External"/><Relationship Id="rId78" Type="http://schemas.openxmlformats.org/officeDocument/2006/relationships/hyperlink" Target="https://www.data.gouv.fr/?utm_source=chatgpt.com" TargetMode="External"/><Relationship Id="rId94" Type="http://schemas.openxmlformats.org/officeDocument/2006/relationships/hyperlink" Target="https://www.oecd.org/en/publications/2025/06/government-at-a-glance-2025_70e14c6c/full-report/transparency-of-public-information_60a963c4.html?utm_source=chatgpt.com" TargetMode="External"/><Relationship Id="rId99" Type="http://schemas.openxmlformats.org/officeDocument/2006/relationships/hyperlink" Target="https://www.insee.fr/fr/statistiques/4277630?sommaire=4318291&amp;utm_source=chatgpt.com" TargetMode="External"/><Relationship Id="rId101" Type="http://schemas.openxmlformats.org/officeDocument/2006/relationships/hyperlink" Target="https://www.imf.org/en/publications/policy-papers/issues/2016/12/31/sovereign-wealth-funds-a-work-agenda-pp4234?utm_source=chatgpt.com" TargetMode="External"/><Relationship Id="rId122" Type="http://schemas.openxmlformats.org/officeDocument/2006/relationships/hyperlink" Target="https://interoperable-europe.ec.europa.eu/collection/open-government/document/datagouvfr-french-open-platform-open-data?utm_source=chatgpt.com" TargetMode="External"/><Relationship Id="rId143" Type="http://schemas.openxmlformats.org/officeDocument/2006/relationships/hyperlink" Target="https://www.sciencedirect.com/science/article/abs/pii/S0929119921001620?utm_source=chatgpt.com" TargetMode="External"/><Relationship Id="rId148" Type="http://schemas.openxmlformats.org/officeDocument/2006/relationships/hyperlink" Target="https://ec.europa.eu/social/BlobServlet?docId=20846&amp;langId=en&amp;utm_source=chatgpt.com" TargetMode="External"/><Relationship Id="rId16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data.gouv.fr/?utm_source=chatgpt.com" TargetMode="External"/><Relationship Id="rId26" Type="http://schemas.openxmlformats.org/officeDocument/2006/relationships/hyperlink" Target="https://onlinelibrary.wiley.com/doi/full/10.1002/pop4.398?utm_source=chatgpt.com" TargetMode="External"/><Relationship Id="rId47" Type="http://schemas.openxmlformats.org/officeDocument/2006/relationships/hyperlink" Target="https://ec.europa.eu/social/BlobServlet?docId=20846&amp;langId=en&amp;utm_source=chatgpt.com" TargetMode="External"/><Relationship Id="rId68" Type="http://schemas.openxmlformats.org/officeDocument/2006/relationships/hyperlink" Target="https://www.oecd.org/content/dam/oecd/en/publications/reports/2017/05/basic-income-as-a-policy-option_6d481cff/77d7fe00-en.pdf?utm_source=chatgpt.com" TargetMode="External"/><Relationship Id="rId89" Type="http://schemas.openxmlformats.org/officeDocument/2006/relationships/hyperlink" Target="https://www.oecd.org/en/data/indicators/trust-in-government.html?utm_source=chatgpt.com" TargetMode="External"/><Relationship Id="rId112" Type="http://schemas.openxmlformats.org/officeDocument/2006/relationships/hyperlink" Target="https://www.ilo.org/sites/default/files/wcmsp5/groups/public/%40asia/%40ro-bangkok/%40ilo-beijing/documents/briefingnote/wcms_749634.pdf?utm_source=chatgpt.com" TargetMode="External"/><Relationship Id="rId133" Type="http://schemas.openxmlformats.org/officeDocument/2006/relationships/hyperlink" Target="https://www.ato.gov.au/businesses-and-organisations/super-for-employers?utm_source=chatgpt.com" TargetMode="External"/><Relationship Id="rId154" Type="http://schemas.openxmlformats.org/officeDocument/2006/relationships/hyperlink" Target="https://www.sciencedirect.com/science/article/pii/S0305750X1830024X?utm_source=chatgpt.com" TargetMode="External"/><Relationship Id="rId16" Type="http://schemas.openxmlformats.org/officeDocument/2006/relationships/hyperlink" Target="https://www.oecd.org/en/publications/2025/06/government-at-a-glance-2025_70e14c6c/full-report/transparency-of-public-information_60a963c4.html?utm_source=chatgpt.com" TargetMode="External"/><Relationship Id="rId37" Type="http://schemas.openxmlformats.org/officeDocument/2006/relationships/hyperlink" Target="https://www.oecd.org/content/dam/oecd/en/publications/reports/2013/11/taxation-of-dividend-interest-and-capital-gain-income_g17a239a/5k3wh96w246k-en.pdf?utm_source=chatgpt.com" TargetMode="External"/><Relationship Id="rId58" Type="http://schemas.openxmlformats.org/officeDocument/2006/relationships/hyperlink" Target="https://www.oecd.org/en/publications/2025/06/government-at-a-glance-2025_70e14c6c/full-report/transparency-of-public-information_60a963c4.html?utm_source=chatgpt.com" TargetMode="External"/><Relationship Id="rId79" Type="http://schemas.openxmlformats.org/officeDocument/2006/relationships/hyperlink" Target="https://reports.weforum.org/docs/WEF_Future_of_Jobs_Report_2025.pdf?utm_source=chatgpt.com" TargetMode="External"/><Relationship Id="rId102" Type="http://schemas.openxmlformats.org/officeDocument/2006/relationships/hyperlink" Target="https://www.imf.org/en/publications/policy-papers/issues/2016/12/31/sovereign-wealth-funds-a-work-agenda-pp4234?utm_source=chatgpt.com" TargetMode="External"/><Relationship Id="rId123" Type="http://schemas.openxmlformats.org/officeDocument/2006/relationships/hyperlink" Target="https://interoperable-europe.ec.europa.eu/collection/open-government/document/datagouvfr-french-open-platform-open-data?utm_source=chatgpt.com" TargetMode="External"/><Relationship Id="rId144" Type="http://schemas.openxmlformats.org/officeDocument/2006/relationships/hyperlink" Target="https://www.sciencedirect.com/science/article/abs/pii/S0929119921001620?utm_source=chatgpt.com" TargetMode="External"/><Relationship Id="rId90" Type="http://schemas.openxmlformats.org/officeDocument/2006/relationships/hyperlink" Target="https://www.oecd.org/en/data/indicators/trust-in-government.html?utm_source=chatgpt.com" TargetMode="External"/><Relationship Id="rId165" Type="http://schemas.openxmlformats.org/officeDocument/2006/relationships/fontTable" Target="fontTable.xml"/><Relationship Id="rId27" Type="http://schemas.openxmlformats.org/officeDocument/2006/relationships/hyperlink" Target="https://pfd.alaska.gov/Division-Info/about-us?utm_source=chatgpt.com" TargetMode="External"/><Relationship Id="rId48" Type="http://schemas.openxmlformats.org/officeDocument/2006/relationships/hyperlink" Target="https://valtioneuvosto.fi/en/-/1271139/perustulokokeilun-tulokset-tyollisyysvaikutukset-vahaisia-toimeentulo-ja-psyykkinen-terveys-koettiin-paremmaksi?utm_source=chatgpt.com" TargetMode="External"/><Relationship Id="rId69" Type="http://schemas.openxmlformats.org/officeDocument/2006/relationships/hyperlink" Target="https://www.oecd.org/content/dam/oecd/en/publications/reports/2017/05/basic-income-as-a-policy-option_6d481cff/77d7fe00-en.pdf?utm_source=chatgpt.com" TargetMode="External"/><Relationship Id="rId113" Type="http://schemas.openxmlformats.org/officeDocument/2006/relationships/hyperlink" Target="https://www.ilo.org/sites/default/files/wcmsp5/groups/public/%40asia/%40ro-bangkok/%40ilo-beijing/documents/briefingnote/wcms_749634.pdf?utm_source=chatgpt.com" TargetMode="External"/><Relationship Id="rId134" Type="http://schemas.openxmlformats.org/officeDocument/2006/relationships/hyperlink" Target="https://www.ato.gov.au/businesses-and-organisations/super-for-employers?utm_source=chatgpt.com" TargetMode="External"/><Relationship Id="rId80" Type="http://schemas.openxmlformats.org/officeDocument/2006/relationships/hyperlink" Target="https://reports.weforum.org/docs/WEF_Future_of_Jobs_Report_2025.pdf?utm_source=chatgpt.com" TargetMode="External"/><Relationship Id="rId155" Type="http://schemas.openxmlformats.org/officeDocument/2006/relationships/hyperlink" Target="https://labo.societenumerique.gouv.fr/en/articles/ten-year-open-public-data-lopen-data-starts-a-new-ste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5240</Words>
  <Characters>39097</Characters>
  <Application>Microsoft Office Word</Application>
  <DocSecurity>0</DocSecurity>
  <Lines>620</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Roger Ison</cp:lastModifiedBy>
  <cp:revision>4</cp:revision>
  <dcterms:created xsi:type="dcterms:W3CDTF">2026-03-02T05:58:00Z</dcterms:created>
  <dcterms:modified xsi:type="dcterms:W3CDTF">2026-03-02T16:39:00Z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