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8BAD0" w14:textId="77777777" w:rsidR="00C17A26" w:rsidRDefault="00000000">
      <w:pPr>
        <w:jc w:val="center"/>
      </w:pPr>
      <w:r>
        <w:rPr>
          <w:b/>
          <w:sz w:val="36"/>
        </w:rPr>
        <w:t>EconomySim: Conceptual Policy Choices</w:t>
      </w:r>
    </w:p>
    <w:p w14:paraId="23D3850C" w14:textId="77777777" w:rsidR="00C17A26" w:rsidRDefault="00000000">
      <w:pPr>
        <w:jc w:val="center"/>
      </w:pPr>
      <w:r>
        <w:rPr>
          <w:i/>
        </w:rPr>
        <w:t>Extracted from economy_sim.py on February 16, 2026</w:t>
      </w:r>
    </w:p>
    <w:p w14:paraId="04A3DBC7" w14:textId="77777777" w:rsidR="00C17A26" w:rsidRDefault="00C17A26"/>
    <w:p w14:paraId="1D332089" w14:textId="77777777" w:rsidR="00C17A26" w:rsidRDefault="00000000">
      <w:pPr>
        <w:pStyle w:val="Heading1"/>
      </w:pPr>
      <w:r>
        <w:t>Purpose</w:t>
      </w:r>
    </w:p>
    <w:p w14:paraId="4D73E6EF" w14:textId="77777777" w:rsidR="00C17A26" w:rsidRDefault="00000000">
      <w:r>
        <w:t>This document summarizes the policy design choices embedded in the EconomySim model. It focuses on conceptual policy mechanisms (taxes, transfers, social ownership rules, and institutional stabilizers) rather than code options or implementation details.</w:t>
      </w:r>
    </w:p>
    <w:p w14:paraId="726F3D62" w14:textId="77777777" w:rsidR="00C17A26" w:rsidRDefault="00000000">
      <w:pPr>
        <w:pStyle w:val="Heading1"/>
      </w:pPr>
      <w:r>
        <w:t>Reading guide</w:t>
      </w:r>
    </w:p>
    <w:p w14:paraId="3092BB49" w14:textId="77777777" w:rsidR="00C17A26" w:rsidRDefault="00000000">
      <w:r>
        <w:rPr>
          <w:b/>
        </w:rPr>
        <w:t>Policy choice</w:t>
      </w:r>
      <w:r>
        <w:t>: a rule that defines how resources, ownership, or burdens are allocated (e.g., a VAT with a low-income prebate).</w:t>
      </w:r>
    </w:p>
    <w:p w14:paraId="08279B8A" w14:textId="77777777" w:rsidR="00C17A26" w:rsidRDefault="00000000">
      <w:r>
        <w:rPr>
          <w:b/>
        </w:rPr>
        <w:t>Implementation note</w:t>
      </w:r>
      <w:r>
        <w:t>: brief clarifications of how the model operationalizes the policy (kept minimal).</w:t>
      </w:r>
    </w:p>
    <w:p w14:paraId="7286C390" w14:textId="77777777" w:rsidR="00C17A26" w:rsidRDefault="00000000">
      <w:pPr>
        <w:pStyle w:val="Heading1"/>
      </w:pPr>
      <w:r>
        <w:t>Abstract</w:t>
      </w:r>
    </w:p>
    <w:p w14:paraId="370961A0" w14:textId="77777777" w:rsidR="00C17A26" w:rsidRDefault="00000000">
      <w:r>
        <w:t>EconomySim is a stock‑flow‑consistent macroeconomic simulation of an economy transitioning toward AI and automation. This document extracts the model’s conceptual policy layer—taxes, transfers, social-ownership rules, and automatic stabilizers—and describes each mechanism in plain terms so non-modelers can understand what institutional choices are being assumed. The core policy package includes a Social Wealth Trust (FUND) that accumulates ownership claims (with an explicit cap), a Universal Basic Income (UBI) computed to maintain a baseline real-income pool and constrained by a ratchet (non-decreasing), a value-added tax (VAT) paired with a targeted low-income VAT credit (“prebate”), a marginal income tax above a percentile-defined cutoff (excluding UBI from the income-tax base), and a corporate income tax that can automatically rise as wages fall during the automation transition. Transfers may be funded by accumulated public balances when available, with monetary issuance acting as a defined backstop.</w:t>
      </w:r>
    </w:p>
    <w:p w14:paraId="7DF309C4" w14:textId="77777777" w:rsidR="00C17A26" w:rsidRDefault="00C17A26"/>
    <w:p w14:paraId="6FCAB1D1" w14:textId="77777777" w:rsidR="00C17A26" w:rsidRDefault="00000000">
      <w:pPr>
        <w:pStyle w:val="Heading1"/>
      </w:pPr>
      <w:r>
        <w:t>Executive overview</w:t>
      </w:r>
    </w:p>
    <w:p w14:paraId="4E14844E" w14:textId="77777777" w:rsidR="00C17A26" w:rsidRDefault="00000000">
      <w:r>
        <w:t>The model represents an economy transitioning toward AI and automation, and it includes a set of policy mechanisms designed to stabilize household income, reshape ownership of productive assets, and manage distributional effects. The main instruments are:</w:t>
      </w:r>
    </w:p>
    <w:p w14:paraId="0424750A" w14:textId="77777777" w:rsidR="00C17A26" w:rsidRDefault="00000000">
      <w:pPr>
        <w:pStyle w:val="ListBullet"/>
      </w:pPr>
      <w:r>
        <w:t>A Social Wealth Trust ("FUND") that accumulates ownership claims over time (with an explicit ownership cap).</w:t>
      </w:r>
    </w:p>
    <w:p w14:paraId="05AAA5CD" w14:textId="77777777" w:rsidR="00C17A26" w:rsidRDefault="00000000">
      <w:pPr>
        <w:pStyle w:val="ListBullet"/>
      </w:pPr>
      <w:r>
        <w:lastRenderedPageBreak/>
        <w:t>Universal Basic Income (UBI) that targets a baseline real-income pool and ratchets upward (non-decreasing).</w:t>
      </w:r>
    </w:p>
    <w:p w14:paraId="7EA7608B" w14:textId="77777777" w:rsidR="00C17A26" w:rsidRDefault="00000000">
      <w:pPr>
        <w:pStyle w:val="ListBullet"/>
      </w:pPr>
      <w:r>
        <w:t>A value-added tax (VAT) paired with a low-income VAT credit ("prebate").</w:t>
      </w:r>
    </w:p>
    <w:p w14:paraId="762FA1BD" w14:textId="77777777" w:rsidR="00C17A26" w:rsidRDefault="00000000">
      <w:pPr>
        <w:pStyle w:val="ListBullet"/>
      </w:pPr>
      <w:r>
        <w:t>A marginal income tax above a percentile-defined cutoff (UBI is excluded from the income-tax base).</w:t>
      </w:r>
    </w:p>
    <w:p w14:paraId="1C5CC96C" w14:textId="77777777" w:rsidR="00C17A26" w:rsidRDefault="00000000">
      <w:pPr>
        <w:pStyle w:val="ListBullet"/>
      </w:pPr>
      <w:r>
        <w:t>A corporate income tax that can automatically rise as wages fall relative to baseline.</w:t>
      </w:r>
    </w:p>
    <w:p w14:paraId="2EA7EE28" w14:textId="77777777" w:rsidR="00C17A26" w:rsidRDefault="00000000">
      <w:pPr>
        <w:pStyle w:val="ListBullet"/>
      </w:pPr>
      <w:r>
        <w:t>Optional rebate recycling of government net deposits back to households.</w:t>
      </w:r>
    </w:p>
    <w:p w14:paraId="7B6837AA" w14:textId="77777777" w:rsidR="00C17A26" w:rsidRDefault="00000000">
      <w:pPr>
        <w:pStyle w:val="ListBullet"/>
      </w:pPr>
      <w:r>
        <w:t>A simplified monetary/credit regime with automatic overdraft-to-credit conversion (no hard default).</w:t>
      </w:r>
    </w:p>
    <w:p w14:paraId="682C6B5E" w14:textId="77777777" w:rsidR="00C17A26" w:rsidRDefault="00000000">
      <w:r>
        <w:br w:type="page"/>
      </w:r>
    </w:p>
    <w:p w14:paraId="0B1FE3AC" w14:textId="77777777" w:rsidR="00C17A26" w:rsidRDefault="00000000">
      <w:pPr>
        <w:pStyle w:val="Heading1"/>
      </w:pPr>
      <w:r>
        <w:lastRenderedPageBreak/>
        <w:t>1. Social Wealth Trust regime (FUND)</w:t>
      </w:r>
    </w:p>
    <w:p w14:paraId="616DEDE3" w14:textId="77777777" w:rsidR="00C17A26" w:rsidRDefault="00000000">
      <w:pPr>
        <w:pStyle w:val="Heading2"/>
      </w:pPr>
      <w:r>
        <w:t>1.1 Activation trigger</w:t>
      </w:r>
    </w:p>
    <w:p w14:paraId="514C0457" w14:textId="77777777" w:rsidR="00C17A26" w:rsidRDefault="00000000">
      <w:r>
        <w:rPr>
          <w:b/>
        </w:rPr>
        <w:t xml:space="preserve">Policy design choice: </w:t>
      </w:r>
      <w:r>
        <w:t>The Trust activates only when household debt-service stress exceeds a policy threshold, so the Trust behaves like an automatic stabilizer rather than a permanently active institution.</w:t>
      </w:r>
    </w:p>
    <w:p w14:paraId="6C4F6681" w14:textId="77777777" w:rsidR="00C17A26" w:rsidRDefault="00000000">
      <w:r>
        <w:rPr>
          <w:b/>
        </w:rPr>
        <w:t xml:space="preserve">Implementation note: </w:t>
      </w:r>
      <w:r>
        <w:t>The trigger is based on an interest-payment proxy divided by baseline wages; the threshold is configurable.</w:t>
      </w:r>
    </w:p>
    <w:p w14:paraId="3D1C4818" w14:textId="77777777" w:rsidR="00C17A26" w:rsidRDefault="00000000">
      <w:pPr>
        <w:pStyle w:val="Heading2"/>
      </w:pPr>
      <w:r>
        <w:t>1.2 Leveraged launch (optional)</w:t>
      </w:r>
    </w:p>
    <w:p w14:paraId="0106837C" w14:textId="77777777" w:rsidR="00C17A26" w:rsidRDefault="00000000">
      <w:r>
        <w:rPr>
          <w:b/>
        </w:rPr>
        <w:t xml:space="preserve">Policy design choice: </w:t>
      </w:r>
      <w:r>
        <w:t>When the Trust activates, it may be jump-started using bank-created credit: the bank lends to the Trust, and the Trust uses the proceeds to purchase a slice of household equity holdings. This accelerates social ownership rather than relying only on gradual accumulation.</w:t>
      </w:r>
    </w:p>
    <w:p w14:paraId="71EED973" w14:textId="77777777" w:rsidR="00C17A26" w:rsidRDefault="00000000">
      <w:r>
        <w:rPr>
          <w:b/>
        </w:rPr>
        <w:t xml:space="preserve">Implementation note: </w:t>
      </w:r>
      <w:r>
        <w:t>If the launch-loan amount is set to zero, the Trust still activates but skips the leveraged purchase step.</w:t>
      </w:r>
    </w:p>
    <w:p w14:paraId="731913D3" w14:textId="77777777" w:rsidR="00C17A26" w:rsidRDefault="00000000">
      <w:pPr>
        <w:pStyle w:val="Heading2"/>
      </w:pPr>
      <w:r>
        <w:t>1.3 Ongoing social dilution (new share issuance) with an explicit cap</w:t>
      </w:r>
    </w:p>
    <w:p w14:paraId="241A8568" w14:textId="77777777" w:rsidR="00C17A26" w:rsidRDefault="00000000">
      <w:r>
        <w:rPr>
          <w:b/>
        </w:rPr>
        <w:t xml:space="preserve">Policy design choice: </w:t>
      </w:r>
      <w:r>
        <w:t>Firms can issue new equity that is allocated to the Trust, diluting existing holders. This builds broad-based social ownership via dilution rather than via explicit wealth confiscation. However, the policy also sets a hard cap on the Trust's ownership share to limit how far social ownership can grow.</w:t>
      </w:r>
    </w:p>
    <w:p w14:paraId="287CB515" w14:textId="77777777" w:rsidR="00C17A26" w:rsidRDefault="00000000">
      <w:r>
        <w:rPr>
          <w:b/>
        </w:rPr>
        <w:t xml:space="preserve">Implementation note: </w:t>
      </w:r>
      <w:r>
        <w:t>The model implements a steady dilution rate (annualized) until the Trust reaches a configured ownership cap per issuer.</w:t>
      </w:r>
    </w:p>
    <w:p w14:paraId="533BB959" w14:textId="77777777" w:rsidR="00C17A26" w:rsidRDefault="00000000">
      <w:pPr>
        <w:pStyle w:val="Heading2"/>
      </w:pPr>
      <w:r>
        <w:t>1.4 Debt-first rule for the Trust</w:t>
      </w:r>
    </w:p>
    <w:p w14:paraId="3542798D" w14:textId="77777777" w:rsidR="00C17A26" w:rsidRDefault="00000000">
      <w:r>
        <w:rPr>
          <w:b/>
        </w:rPr>
        <w:t xml:space="preserve">Policy design choice: </w:t>
      </w:r>
      <w:r>
        <w:t>If the Trust has outstanding debt from a launch loan, deposits accumulated by the Trust are used first to pay down that Trust debt before being used for transfers. This treats Trust leverage as temporary.</w:t>
      </w:r>
    </w:p>
    <w:p w14:paraId="523DF77B" w14:textId="77777777" w:rsidR="00C17A26" w:rsidRDefault="00000000">
      <w:pPr>
        <w:pStyle w:val="Heading2"/>
      </w:pPr>
      <w:r>
        <w:t>1.5 Treatment of residual Trust balances (optional)</w:t>
      </w:r>
    </w:p>
    <w:p w14:paraId="2E4BFAAF" w14:textId="77777777" w:rsidR="00C17A26" w:rsidRDefault="00000000">
      <w:r>
        <w:rPr>
          <w:b/>
        </w:rPr>
        <w:t xml:space="preserve">Policy design choice: </w:t>
      </w:r>
      <w:r>
        <w:t>A configurable rule determines whether any residual Trust balances remain ring-fenced for the Trust/citizens or can be swept to the government as an additional fiscal backstop.</w:t>
      </w:r>
    </w:p>
    <w:p w14:paraId="33DCCC9D" w14:textId="77777777" w:rsidR="00C17A26" w:rsidRDefault="00000000">
      <w:pPr>
        <w:pStyle w:val="Heading1"/>
      </w:pPr>
      <w:r>
        <w:t>2. Universal Basic Income (UBI)</w:t>
      </w:r>
    </w:p>
    <w:p w14:paraId="38A26FFD" w14:textId="77777777" w:rsidR="00C17A26" w:rsidRDefault="00000000">
      <w:pPr>
        <w:pStyle w:val="Heading2"/>
      </w:pPr>
      <w:r>
        <w:t>2.1 UBI targets a baseline real-income pool</w:t>
      </w:r>
    </w:p>
    <w:p w14:paraId="4AAF054A" w14:textId="77777777" w:rsidR="00C17A26" w:rsidRDefault="00000000">
      <w:r>
        <w:rPr>
          <w:b/>
        </w:rPr>
        <w:t xml:space="preserve">Policy design choice: </w:t>
      </w:r>
      <w:r>
        <w:t>UBI is computed to fill the gap between current market incomes and a target income pool defined in real terms from the baseline. Conceptually, UBI maintains a social income floor indexed to the price level.</w:t>
      </w:r>
    </w:p>
    <w:p w14:paraId="376AD38E" w14:textId="77777777" w:rsidR="00C17A26" w:rsidRDefault="00000000">
      <w:r>
        <w:rPr>
          <w:b/>
        </w:rPr>
        <w:lastRenderedPageBreak/>
        <w:t xml:space="preserve">Implementation note: </w:t>
      </w:r>
      <w:r>
        <w:t>The baseline income target is stored in real terms and re-inflated each tick by the current price level.</w:t>
      </w:r>
    </w:p>
    <w:p w14:paraId="1842C91A" w14:textId="77777777" w:rsidR="00C17A26" w:rsidRDefault="00000000">
      <w:pPr>
        <w:pStyle w:val="Heading2"/>
      </w:pPr>
      <w:r>
        <w:t>2.2 UBI ratchet (non-decreasing)</w:t>
      </w:r>
    </w:p>
    <w:p w14:paraId="5529AE1B" w14:textId="77777777" w:rsidR="00C17A26" w:rsidRDefault="00000000">
      <w:r>
        <w:rPr>
          <w:b/>
        </w:rPr>
        <w:t xml:space="preserve">Policy design choice: </w:t>
      </w:r>
      <w:r>
        <w:t>Once UBI rises, it is not allowed to fall. This models policy inertia or commitment: benefits can increase but are not rolled back.</w:t>
      </w:r>
    </w:p>
    <w:p w14:paraId="3B091C79" w14:textId="77777777" w:rsidR="00C17A26" w:rsidRDefault="00000000">
      <w:pPr>
        <w:pStyle w:val="Heading2"/>
      </w:pPr>
      <w:r>
        <w:t>2.3 UBI funding hierarchy (hybrid monetary and fiscal financing)</w:t>
      </w:r>
    </w:p>
    <w:p w14:paraId="67961F8D" w14:textId="77777777" w:rsidR="00C17A26" w:rsidRDefault="00000000">
      <w:r>
        <w:rPr>
          <w:b/>
        </w:rPr>
        <w:t xml:space="preserve">Policy design choice: </w:t>
      </w:r>
      <w:r>
        <w:t>UBI is financed through a layered stack: a fixed share is monetary-financed by issuance, then remaining needs are met from Trust deposits, then from government deposits, and any remaining shortfall is again met by issuance. This makes issuance the backstop while still allowing accumulated public balances to fund transfers.</w:t>
      </w:r>
    </w:p>
    <w:p w14:paraId="05455D03" w14:textId="77777777" w:rsidR="00C17A26" w:rsidRDefault="00000000">
      <w:r>
        <w:rPr>
          <w:b/>
        </w:rPr>
        <w:t xml:space="preserve">Implementation note: </w:t>
      </w:r>
      <w:r>
        <w:t>The share monetarily financed in the first layer is a configurable parameter.</w:t>
      </w:r>
    </w:p>
    <w:p w14:paraId="510DE812" w14:textId="77777777" w:rsidR="00C17A26" w:rsidRDefault="00000000">
      <w:pPr>
        <w:pStyle w:val="Heading1"/>
      </w:pPr>
      <w:r>
        <w:t>3. Value-added tax (VAT) plus low-income VAT credit (prebate)</w:t>
      </w:r>
    </w:p>
    <w:p w14:paraId="1D8CEC48" w14:textId="77777777" w:rsidR="00C17A26" w:rsidRDefault="00000000">
      <w:pPr>
        <w:pStyle w:val="Heading2"/>
      </w:pPr>
      <w:r>
        <w:t>3.1 VAT as a tax-exclusive consumption wedge</w:t>
      </w:r>
    </w:p>
    <w:p w14:paraId="425155A8" w14:textId="77777777" w:rsidR="00C17A26" w:rsidRDefault="00000000">
      <w:r>
        <w:rPr>
          <w:b/>
        </w:rPr>
        <w:t xml:space="preserve">Policy design choice: </w:t>
      </w:r>
      <w:r>
        <w:t>The VAT is modeled as a consumption tax that increases consumer prices relative to producer prices. Conceptually, it taxes consumption broadly while affecting real purchasing power and demand.</w:t>
      </w:r>
    </w:p>
    <w:p w14:paraId="454FDD28" w14:textId="77777777" w:rsidR="00C17A26" w:rsidRDefault="00000000">
      <w:r>
        <w:rPr>
          <w:b/>
        </w:rPr>
        <w:t xml:space="preserve">Implementation note: </w:t>
      </w:r>
      <w:r>
        <w:t>Consumer price is modeled as producer price multiplied by (1 + VAT rate).</w:t>
      </w:r>
    </w:p>
    <w:p w14:paraId="23E41A2E" w14:textId="77777777" w:rsidR="00C17A26" w:rsidRDefault="00000000">
      <w:pPr>
        <w:pStyle w:val="Heading2"/>
      </w:pPr>
      <w:r>
        <w:t>3.2 Prebate for households below an eligibility cutoff</w:t>
      </w:r>
    </w:p>
    <w:p w14:paraId="00CD179A" w14:textId="77777777" w:rsidR="00C17A26" w:rsidRDefault="00000000">
      <w:r>
        <w:rPr>
          <w:b/>
        </w:rPr>
        <w:t xml:space="preserve">Policy design choice: </w:t>
      </w:r>
      <w:r>
        <w:t>To offset regressive effects, the model includes a VAT credit (prebate) targeted at lower-income households. Eligibility is defined by an income cutoff, and the credit amount is tied to a poverty-line consumption proxy.</w:t>
      </w:r>
    </w:p>
    <w:p w14:paraId="570F2DF5" w14:textId="77777777" w:rsidR="00C17A26" w:rsidRDefault="00000000">
      <w:r>
        <w:rPr>
          <w:b/>
        </w:rPr>
        <w:t xml:space="preserve">Implementation note: </w:t>
      </w:r>
      <w:r>
        <w:t>The poverty-line consumption proxy is defined as a fraction of baseline real consumption; eligibility is based on an income percentile threshold.</w:t>
      </w:r>
    </w:p>
    <w:p w14:paraId="7C6306FD" w14:textId="77777777" w:rsidR="00C17A26" w:rsidRDefault="00000000">
      <w:pPr>
        <w:pStyle w:val="Heading2"/>
      </w:pPr>
      <w:r>
        <w:t>3.3 Funding rule for the prebate</w:t>
      </w:r>
    </w:p>
    <w:p w14:paraId="7E100E4B" w14:textId="77777777" w:rsidR="00C17A26" w:rsidRDefault="00000000">
      <w:r>
        <w:rPr>
          <w:b/>
        </w:rPr>
        <w:t xml:space="preserve">Policy design choice: </w:t>
      </w:r>
      <w:r>
        <w:t>The prebate is treated as guaranteed: it is paid from government deposits when possible, otherwise completed via monetary issuance.</w:t>
      </w:r>
    </w:p>
    <w:p w14:paraId="49015326" w14:textId="77777777" w:rsidR="00C17A26" w:rsidRDefault="00000000">
      <w:pPr>
        <w:pStyle w:val="Heading1"/>
      </w:pPr>
      <w:r>
        <w:t>4. Income tax design</w:t>
      </w:r>
    </w:p>
    <w:p w14:paraId="52DFB50A" w14:textId="77777777" w:rsidR="00C17A26" w:rsidRDefault="00000000">
      <w:pPr>
        <w:pStyle w:val="Heading2"/>
      </w:pPr>
      <w:r>
        <w:t>4.1 Tax base excludes UBI</w:t>
      </w:r>
    </w:p>
    <w:p w14:paraId="6B313179" w14:textId="77777777" w:rsidR="00C17A26" w:rsidRDefault="00000000">
      <w:r>
        <w:rPr>
          <w:b/>
        </w:rPr>
        <w:t xml:space="preserve">Policy design choice: </w:t>
      </w:r>
      <w:r>
        <w:t>Income tax is applied to market income (wages and dividends) while excluding UBI transfers from the tax base. This preserves UBI's role as a floor rather than partially clawing it back through direct taxation.</w:t>
      </w:r>
    </w:p>
    <w:p w14:paraId="5943DDED" w14:textId="77777777" w:rsidR="00C17A26" w:rsidRDefault="00000000">
      <w:pPr>
        <w:pStyle w:val="Heading2"/>
      </w:pPr>
      <w:r>
        <w:lastRenderedPageBreak/>
        <w:t>4.2 Marginal tax above a percentile-defined cutoff</w:t>
      </w:r>
    </w:p>
    <w:p w14:paraId="1BA5A764" w14:textId="77777777" w:rsidR="00C17A26" w:rsidRDefault="00000000">
      <w:r>
        <w:rPr>
          <w:b/>
        </w:rPr>
        <w:t xml:space="preserve">Policy design choice: </w:t>
      </w:r>
      <w:r>
        <w:t>The model uses a simple progressive structure: there is a zero-rate band up to a cutoff and then a flat marginal rate above it. The cutoff is defined each tick by an income percentile rather than a fixed nominal threshold.</w:t>
      </w:r>
    </w:p>
    <w:p w14:paraId="3D135615" w14:textId="77777777" w:rsidR="00C17A26" w:rsidRDefault="00000000">
      <w:pPr>
        <w:pStyle w:val="Heading1"/>
      </w:pPr>
      <w:r>
        <w:t>5. Corporate income tax</w:t>
      </w:r>
    </w:p>
    <w:p w14:paraId="29DA4AA8" w14:textId="77777777" w:rsidR="00C17A26" w:rsidRDefault="00000000">
      <w:pPr>
        <w:pStyle w:val="Heading2"/>
      </w:pPr>
      <w:r>
        <w:t>5.1 Broad corporate tax base</w:t>
      </w:r>
    </w:p>
    <w:p w14:paraId="366EDF81" w14:textId="77777777" w:rsidR="00C17A26" w:rsidRDefault="00000000">
      <w:r>
        <w:rPr>
          <w:b/>
        </w:rPr>
        <w:t xml:space="preserve">Policy design choice: </w:t>
      </w:r>
      <w:r>
        <w:t>Corporate profits are taxed upstream, before distribution as dividends or retention. This treats corporate taxation as a primary instrument for capturing part of capital income.</w:t>
      </w:r>
    </w:p>
    <w:p w14:paraId="568134D9" w14:textId="77777777" w:rsidR="00C17A26" w:rsidRDefault="00000000">
      <w:pPr>
        <w:pStyle w:val="Heading2"/>
      </w:pPr>
      <w:r>
        <w:t>5.2 Dynamic corporate tax linked to wage decline (automatic stabilizer)</w:t>
      </w:r>
    </w:p>
    <w:p w14:paraId="35D552A2" w14:textId="77777777" w:rsidR="00C17A26" w:rsidRDefault="00000000">
      <w:r>
        <w:rPr>
          <w:b/>
        </w:rPr>
        <w:t xml:space="preserve">Policy design choice: </w:t>
      </w:r>
      <w:r>
        <w:t>Optionally, the corporate tax rate increases automatically as total wages fall relative to baseline. This shifts burden toward capital as labor income erodes during automation, functioning as a stabilizer and a distributional counterweight.</w:t>
      </w:r>
    </w:p>
    <w:p w14:paraId="53CFD69C" w14:textId="77777777" w:rsidR="00C17A26" w:rsidRDefault="00000000">
      <w:r>
        <w:rPr>
          <w:b/>
        </w:rPr>
        <w:t xml:space="preserve">Implementation note: </w:t>
      </w:r>
      <w:r>
        <w:t>The rate is clamped between configured minimum and maximum values.</w:t>
      </w:r>
    </w:p>
    <w:p w14:paraId="6768FCA1" w14:textId="77777777" w:rsidR="00C17A26" w:rsidRDefault="00000000">
      <w:pPr>
        <w:pStyle w:val="Heading1"/>
      </w:pPr>
      <w:r>
        <w:t>6. Government surplus recycling (optional)</w:t>
      </w:r>
    </w:p>
    <w:p w14:paraId="41B0A426" w14:textId="77777777" w:rsidR="00C17A26" w:rsidRDefault="00000000">
      <w:r>
        <w:rPr>
          <w:b/>
        </w:rPr>
        <w:t xml:space="preserve">Policy design choice: </w:t>
      </w:r>
      <w:r>
        <w:t>A configurable rule allows the government to rebate some or all remaining government deposits back to households, recycling fiscal surpluses into the household sector. The distribution can be proportional to taxes paid or equal if no taxes were paid.</w:t>
      </w:r>
    </w:p>
    <w:p w14:paraId="309622B8" w14:textId="77777777" w:rsidR="00C17A26" w:rsidRDefault="00000000">
      <w:pPr>
        <w:pStyle w:val="Heading1"/>
      </w:pPr>
      <w:r>
        <w:t>7. Monetary and credit regime (institutional rules)</w:t>
      </w:r>
    </w:p>
    <w:p w14:paraId="0ABEA951" w14:textId="77777777" w:rsidR="00C17A26" w:rsidRDefault="00000000">
      <w:pPr>
        <w:pStyle w:val="Heading2"/>
      </w:pPr>
      <w:r>
        <w:t>7.1 Single loan interest rate</w:t>
      </w:r>
    </w:p>
    <w:p w14:paraId="4F722BF1" w14:textId="77777777" w:rsidR="00C17A26" w:rsidRDefault="00000000">
      <w:r>
        <w:rPr>
          <w:b/>
        </w:rPr>
        <w:t xml:space="preserve">Policy design choice: </w:t>
      </w:r>
      <w:r>
        <w:t>The model uses a single policy loan rate (per quarter) applied to relevant credit balances, simplifying the interest-rate channel.</w:t>
      </w:r>
    </w:p>
    <w:p w14:paraId="6A0C9A22" w14:textId="77777777" w:rsidR="00C17A26" w:rsidRDefault="00000000">
      <w:pPr>
        <w:pStyle w:val="Heading2"/>
      </w:pPr>
      <w:r>
        <w:t>7.2 Household deleveraging rule with priority ordering</w:t>
      </w:r>
    </w:p>
    <w:p w14:paraId="0082058A" w14:textId="77777777" w:rsidR="00C17A26" w:rsidRDefault="00000000">
      <w:r>
        <w:rPr>
          <w:b/>
        </w:rPr>
        <w:t xml:space="preserve">Policy design choice: </w:t>
      </w:r>
      <w:r>
        <w:t>Households repay principal in a cash-flow constrained manner, prioritizing revolving debt before mortgage debt. This embeds a specific household financial management policy and affects speed of deleveraging.</w:t>
      </w:r>
    </w:p>
    <w:p w14:paraId="171B23ED" w14:textId="77777777" w:rsidR="00C17A26" w:rsidRDefault="00000000">
      <w:pPr>
        <w:pStyle w:val="Heading2"/>
      </w:pPr>
      <w:r>
        <w:t>7.3 Automatic overdraft-to-credit conversion (no hard default)</w:t>
      </w:r>
    </w:p>
    <w:p w14:paraId="073DF5B2" w14:textId="77777777" w:rsidR="00C17A26" w:rsidRDefault="00000000">
      <w:r>
        <w:rPr>
          <w:b/>
        </w:rPr>
        <w:t xml:space="preserve">Policy design choice: </w:t>
      </w:r>
      <w:r>
        <w:t>If household deposits would go negative, the shortfall is automatically converted into revolving debt. This policy eliminates default as a modeled mechanism and treats liquidity shortfalls as bank credit expansion.</w:t>
      </w:r>
    </w:p>
    <w:p w14:paraId="6F076E4A" w14:textId="77777777" w:rsidR="00C17A26" w:rsidRDefault="00000000">
      <w:pPr>
        <w:pStyle w:val="Heading1"/>
      </w:pPr>
      <w:r>
        <w:lastRenderedPageBreak/>
        <w:t>8. Wage structure under automation (structural distribution rule)</w:t>
      </w:r>
    </w:p>
    <w:p w14:paraId="0B1EED0F" w14:textId="77777777" w:rsidR="00C17A26" w:rsidRDefault="00000000">
      <w:r>
        <w:rPr>
          <w:b/>
        </w:rPr>
        <w:t xml:space="preserve">Policy design choice: </w:t>
      </w:r>
      <w:r>
        <w:t>Wages are modeled as a share of sector revenue, and in the automation-linked sector the wage share declines with automation effectiveness. This directly embeds labor displacement (or declining labor share) into primary income formation.</w:t>
      </w:r>
    </w:p>
    <w:p w14:paraId="3C78FDFD" w14:textId="77777777" w:rsidR="00C17A26" w:rsidRDefault="00000000">
      <w:pPr>
        <w:pStyle w:val="Heading1"/>
      </w:pPr>
      <w:r>
        <w:t>9. Price-level formation under automation</w:t>
      </w:r>
    </w:p>
    <w:p w14:paraId="08B4ACD4" w14:textId="77777777" w:rsidR="00C17A26" w:rsidRDefault="00000000">
      <w:r>
        <w:rPr>
          <w:b/>
        </w:rPr>
        <w:t xml:space="preserve">Policy design choice: </w:t>
      </w:r>
      <w:r>
        <w:t>Prices are endogenously determined by opposing forces: competitive productivity pass-through (which tends to lower prices) and automation-driven markup capture (which tends to raise prices). This is a distributional policy-like choice because it controls who captures productivity gains in real terms.</w:t>
      </w:r>
    </w:p>
    <w:p w14:paraId="1656F34C" w14:textId="77777777" w:rsidR="00C17A26" w:rsidRDefault="00000000">
      <w:pPr>
        <w:pStyle w:val="Heading1"/>
      </w:pPr>
      <w:r>
        <w:t>10. Wealth tax (present but inactive)</w:t>
      </w:r>
    </w:p>
    <w:p w14:paraId="20C05984" w14:textId="77777777" w:rsidR="00C17A26" w:rsidRDefault="00000000">
      <w:r>
        <w:rPr>
          <w:b/>
        </w:rPr>
        <w:t xml:space="preserve">Policy design choice: </w:t>
      </w:r>
      <w:r>
        <w:t>A wealth-tax parameter exists, but in the current configuration it is effectively off. As a result, redistribution occurs primarily through VAT+prebate, marginal income tax, corporate tax, and the Social Wealth Trust/UBI mechanisms rather than explicit wealth taxation.</w:t>
      </w:r>
    </w:p>
    <w:p w14:paraId="0E36EB8E" w14:textId="77777777" w:rsidR="00C17A26" w:rsidRDefault="00000000">
      <w:r>
        <w:br w:type="page"/>
      </w:r>
    </w:p>
    <w:p w14:paraId="6BF76ED1" w14:textId="77777777" w:rsidR="00C17A26" w:rsidRDefault="00000000">
      <w:r>
        <w:lastRenderedPageBreak/>
        <w:br w:type="page"/>
      </w:r>
    </w:p>
    <w:p w14:paraId="0E6325AA" w14:textId="77777777" w:rsidR="00C17A26" w:rsidRDefault="00000000">
      <w:pPr>
        <w:pStyle w:val="Heading1"/>
      </w:pPr>
      <w:r>
        <w:lastRenderedPageBreak/>
        <w:t>Glossary</w:t>
      </w:r>
    </w:p>
    <w:p w14:paraId="0CA8A73A" w14:textId="77777777" w:rsidR="00C17A26" w:rsidRDefault="00000000">
      <w:r>
        <w:rPr>
          <w:b/>
        </w:rPr>
        <w:t xml:space="preserve">AI / automation effectiveness: </w:t>
      </w:r>
      <w:r>
        <w:t>A model driver that increases productivity and/or reduces labor share, altering wage income and profits.</w:t>
      </w:r>
    </w:p>
    <w:p w14:paraId="3D2425F3" w14:textId="77777777" w:rsidR="00C17A26" w:rsidRDefault="00000000">
      <w:r>
        <w:rPr>
          <w:b/>
        </w:rPr>
        <w:t xml:space="preserve">Automatic stabilizer: </w:t>
      </w:r>
      <w:r>
        <w:t>A rule that activates or strengthens automatically when conditions deteriorate (for example, wage decline triggers higher corporate tax).</w:t>
      </w:r>
    </w:p>
    <w:p w14:paraId="2ED0B8DD" w14:textId="77777777" w:rsidR="00C17A26" w:rsidRDefault="00000000">
      <w:r>
        <w:rPr>
          <w:b/>
        </w:rPr>
        <w:t xml:space="preserve">Baseline (real terms): </w:t>
      </w:r>
      <w:r>
        <w:t>The initial equilibrium used to anchor targets; real terms means adjusted for the model’s price level.</w:t>
      </w:r>
    </w:p>
    <w:p w14:paraId="1850CB1B" w14:textId="77777777" w:rsidR="00C17A26" w:rsidRDefault="00000000">
      <w:r>
        <w:rPr>
          <w:b/>
        </w:rPr>
        <w:t xml:space="preserve">Bank-created credit (endogenous money): </w:t>
      </w:r>
      <w:r>
        <w:t>Loans created by the bank that simultaneously create deposits; used for overdrafts and (optionally) Trust launch.</w:t>
      </w:r>
    </w:p>
    <w:p w14:paraId="6E8C95F6" w14:textId="77777777" w:rsidR="00C17A26" w:rsidRDefault="00000000">
      <w:r>
        <w:rPr>
          <w:b/>
        </w:rPr>
        <w:t xml:space="preserve">Consumer price level (VAT-inclusive): </w:t>
      </w:r>
      <w:r>
        <w:t>The effective price paid by households after VAT is applied; modeled as producer price × (1 + VAT rate).</w:t>
      </w:r>
    </w:p>
    <w:p w14:paraId="2261DF54" w14:textId="77777777" w:rsidR="00C17A26" w:rsidRDefault="00000000">
      <w:r>
        <w:rPr>
          <w:b/>
        </w:rPr>
        <w:t xml:space="preserve">Corporate income tax (dynamic): </w:t>
      </w:r>
      <w:r>
        <w:t>A corporate tax that can rise above its base rate when wages fall relative to baseline, shifting burden toward capital during automation.</w:t>
      </w:r>
    </w:p>
    <w:p w14:paraId="1FC14EA4" w14:textId="77777777" w:rsidR="00C17A26" w:rsidRDefault="00000000">
      <w:r>
        <w:rPr>
          <w:b/>
        </w:rPr>
        <w:t xml:space="preserve">Debt-service stress trigger: </w:t>
      </w:r>
      <w:r>
        <w:t>A threshold based on interest obligations relative to baseline wages that can activate the Social Wealth Trust regime.</w:t>
      </w:r>
    </w:p>
    <w:p w14:paraId="55F2BB19" w14:textId="77777777" w:rsidR="00C17A26" w:rsidRDefault="00000000">
      <w:r>
        <w:rPr>
          <w:b/>
        </w:rPr>
        <w:t xml:space="preserve">Dilution-based social ownership: </w:t>
      </w:r>
      <w:r>
        <w:t>New equity issuance allocated to the Trust, increasing social ownership by diluting existing holders rather than taxing wealth directly.</w:t>
      </w:r>
    </w:p>
    <w:p w14:paraId="5C009FE6" w14:textId="77777777" w:rsidR="00C17A26" w:rsidRDefault="00000000">
      <w:r>
        <w:rPr>
          <w:b/>
        </w:rPr>
        <w:t xml:space="preserve">FUND (Social Wealth Trust): </w:t>
      </w:r>
      <w:r>
        <w:t>A social ownership vehicle that accumulates equity claims (via dilution and/or launch purchase) and can fund transfers such as UBI.</w:t>
      </w:r>
    </w:p>
    <w:p w14:paraId="1F031106" w14:textId="77777777" w:rsidR="00C17A26" w:rsidRDefault="00000000">
      <w:r>
        <w:rPr>
          <w:b/>
        </w:rPr>
        <w:t xml:space="preserve">Government deposit balance: </w:t>
      </w:r>
      <w:r>
        <w:t>The government’s cash-like balance used to pay transfers and credits; can be recycled back to households via rebates.</w:t>
      </w:r>
    </w:p>
    <w:p w14:paraId="53B0DE2F" w14:textId="77777777" w:rsidR="00C17A26" w:rsidRDefault="00000000">
      <w:r>
        <w:rPr>
          <w:b/>
        </w:rPr>
        <w:t xml:space="preserve">Income tax cutoff percentile: </w:t>
      </w:r>
      <w:r>
        <w:t>A moving threshold defined by a percentile of the income distribution; income above the cutoff faces a flat marginal rate.</w:t>
      </w:r>
    </w:p>
    <w:p w14:paraId="43488418" w14:textId="77777777" w:rsidR="00C17A26" w:rsidRDefault="00000000">
      <w:r>
        <w:rPr>
          <w:b/>
        </w:rPr>
        <w:t xml:space="preserve">Issuance backstop (monetary financing): </w:t>
      </w:r>
      <w:r>
        <w:t>If Trust or government balances are insufficient, the model creates new money to complete guaranteed transfers (UBI and/or prebate).</w:t>
      </w:r>
    </w:p>
    <w:p w14:paraId="50007073" w14:textId="77777777" w:rsidR="00C17A26" w:rsidRDefault="00000000">
      <w:r>
        <w:rPr>
          <w:b/>
        </w:rPr>
        <w:t xml:space="preserve">Markup capture: </w:t>
      </w:r>
      <w:r>
        <w:t>The portion of automation-driven productivity gains retained as higher markups/prices rather than passed through as lower prices.</w:t>
      </w:r>
    </w:p>
    <w:p w14:paraId="3BE6BC8D" w14:textId="77777777" w:rsidR="00C17A26" w:rsidRDefault="00000000">
      <w:r>
        <w:rPr>
          <w:b/>
        </w:rPr>
        <w:t xml:space="preserve">Overdraft-to-revolving conversion: </w:t>
      </w:r>
      <w:r>
        <w:t>If a household’s deposits would go negative, the shortfall is automatically converted into revolving debt (eliminating default in the model).</w:t>
      </w:r>
    </w:p>
    <w:p w14:paraId="1DDC3FB9" w14:textId="77777777" w:rsidR="00C17A26" w:rsidRDefault="00000000">
      <w:r>
        <w:rPr>
          <w:b/>
        </w:rPr>
        <w:t xml:space="preserve">Prebate (VAT credit): </w:t>
      </w:r>
      <w:r>
        <w:t>A targeted VAT offset paid to eligible lower-income households, sized using a poverty-line consumption proxy.</w:t>
      </w:r>
    </w:p>
    <w:p w14:paraId="25854F29" w14:textId="77777777" w:rsidR="00C17A26" w:rsidRDefault="00000000">
      <w:r>
        <w:rPr>
          <w:b/>
        </w:rPr>
        <w:t xml:space="preserve">Ratchet (UBI): </w:t>
      </w:r>
      <w:r>
        <w:t>A non-decreasing constraint on UBI: once raised, UBI cannot be reduced in later periods.</w:t>
      </w:r>
    </w:p>
    <w:p w14:paraId="063A9F28" w14:textId="77777777" w:rsidR="00C17A26" w:rsidRDefault="00000000">
      <w:r>
        <w:rPr>
          <w:b/>
        </w:rPr>
        <w:lastRenderedPageBreak/>
        <w:t xml:space="preserve">Real-income pool target: </w:t>
      </w:r>
      <w:r>
        <w:t>The aggregate income level the model attempts to maintain (in real terms) using UBI as a make-up transfer.</w:t>
      </w:r>
    </w:p>
    <w:p w14:paraId="11F86B0B" w14:textId="77777777" w:rsidR="00C17A26" w:rsidRDefault="00000000">
      <w:r>
        <w:rPr>
          <w:b/>
        </w:rPr>
        <w:t xml:space="preserve">Social ownership cap: </w:t>
      </w:r>
      <w:r>
        <w:t>A policy limit on how large the Trust’s equity ownership share can become; once reached, further dilution-based allocations stop for that issuer.</w:t>
      </w:r>
    </w:p>
    <w:p w14:paraId="022F509A" w14:textId="77777777" w:rsidR="00C17A26" w:rsidRDefault="00000000">
      <w:r>
        <w:rPr>
          <w:b/>
        </w:rPr>
        <w:t xml:space="preserve">Wage share of revenue: </w:t>
      </w:r>
      <w:r>
        <w:t>A structural rule mapping sector revenues to wage payments; in the automation sector the wage share declines with automation effectiveness.</w:t>
      </w:r>
    </w:p>
    <w:p w14:paraId="6C33E1FC" w14:textId="77777777" w:rsidR="00C17A26" w:rsidRDefault="00000000">
      <w:pPr>
        <w:pStyle w:val="Heading1"/>
      </w:pPr>
      <w:r>
        <w:t>Appendix A. Key model parameters that implement the policy choices</w:t>
      </w:r>
    </w:p>
    <w:p w14:paraId="1D7169AD" w14:textId="77777777" w:rsidR="00C17A26" w:rsidRDefault="00000000">
      <w:r>
        <w:t>This appendix lists the main configuration parameters corresponding to the policy mechanisms above. It is provided for readers who want to connect the conceptual description to the model's configuration.</w:t>
      </w:r>
    </w:p>
    <w:tbl>
      <w:tblPr>
        <w:tblStyle w:val="TableGrid"/>
        <w:tblW w:w="0" w:type="auto"/>
        <w:tblLook w:val="04A0" w:firstRow="1" w:lastRow="0" w:firstColumn="1" w:lastColumn="0" w:noHBand="0" w:noVBand="1"/>
      </w:tblPr>
      <w:tblGrid>
        <w:gridCol w:w="4680"/>
        <w:gridCol w:w="4680"/>
      </w:tblGrid>
      <w:tr w:rsidR="00C17A26" w14:paraId="7ADB3D54" w14:textId="77777777">
        <w:tc>
          <w:tcPr>
            <w:tcW w:w="4680" w:type="dxa"/>
          </w:tcPr>
          <w:p w14:paraId="22EFD642" w14:textId="77777777" w:rsidR="00C17A26" w:rsidRDefault="00000000">
            <w:r>
              <w:rPr>
                <w:b/>
                <w:sz w:val="20"/>
              </w:rPr>
              <w:t>Policy mechanism</w:t>
            </w:r>
          </w:p>
        </w:tc>
        <w:tc>
          <w:tcPr>
            <w:tcW w:w="4680" w:type="dxa"/>
          </w:tcPr>
          <w:p w14:paraId="65FB7598" w14:textId="77777777" w:rsidR="00C17A26" w:rsidRDefault="00000000">
            <w:r>
              <w:rPr>
                <w:b/>
                <w:sz w:val="20"/>
              </w:rPr>
              <w:t>Config parameter(s)</w:t>
            </w:r>
          </w:p>
        </w:tc>
      </w:tr>
      <w:tr w:rsidR="00C17A26" w14:paraId="65EFA7B3" w14:textId="77777777">
        <w:tc>
          <w:tcPr>
            <w:tcW w:w="4680" w:type="dxa"/>
          </w:tcPr>
          <w:p w14:paraId="47CCBC0C" w14:textId="77777777" w:rsidR="00C17A26" w:rsidRDefault="00000000">
            <w:r>
              <w:rPr>
                <w:sz w:val="20"/>
              </w:rPr>
              <w:t>Trust activation threshold</w:t>
            </w:r>
          </w:p>
        </w:tc>
        <w:tc>
          <w:tcPr>
            <w:tcW w:w="4680" w:type="dxa"/>
          </w:tcPr>
          <w:p w14:paraId="1456EDDB" w14:textId="77777777" w:rsidR="00C17A26" w:rsidRDefault="00000000">
            <w:r>
              <w:rPr>
                <w:sz w:val="20"/>
              </w:rPr>
              <w:t>trust_trigger_dti</w:t>
            </w:r>
          </w:p>
        </w:tc>
      </w:tr>
      <w:tr w:rsidR="00C17A26" w14:paraId="5E31C3EE" w14:textId="77777777">
        <w:tc>
          <w:tcPr>
            <w:tcW w:w="4680" w:type="dxa"/>
          </w:tcPr>
          <w:p w14:paraId="36016042" w14:textId="77777777" w:rsidR="00C17A26" w:rsidRDefault="00000000">
            <w:r>
              <w:rPr>
                <w:sz w:val="20"/>
              </w:rPr>
              <w:t>Trust leveraged launch loan</w:t>
            </w:r>
          </w:p>
        </w:tc>
        <w:tc>
          <w:tcPr>
            <w:tcW w:w="4680" w:type="dxa"/>
          </w:tcPr>
          <w:p w14:paraId="6DD6A2D5" w14:textId="77777777" w:rsidR="00C17A26" w:rsidRDefault="00000000">
            <w:r>
              <w:rPr>
                <w:sz w:val="20"/>
              </w:rPr>
              <w:t>trust_launch_loan</w:t>
            </w:r>
          </w:p>
        </w:tc>
      </w:tr>
      <w:tr w:rsidR="00C17A26" w14:paraId="0B0904F2" w14:textId="77777777">
        <w:tc>
          <w:tcPr>
            <w:tcW w:w="4680" w:type="dxa"/>
          </w:tcPr>
          <w:p w14:paraId="363679B9" w14:textId="77777777" w:rsidR="00C17A26" w:rsidRDefault="00000000">
            <w:r>
              <w:rPr>
                <w:sz w:val="20"/>
              </w:rPr>
              <w:t>Trust ownership cap</w:t>
            </w:r>
          </w:p>
        </w:tc>
        <w:tc>
          <w:tcPr>
            <w:tcW w:w="4680" w:type="dxa"/>
          </w:tcPr>
          <w:p w14:paraId="62E87623" w14:textId="77777777" w:rsidR="00C17A26" w:rsidRDefault="00000000">
            <w:r>
              <w:rPr>
                <w:sz w:val="20"/>
              </w:rPr>
              <w:t>trust_equity_cap</w:t>
            </w:r>
          </w:p>
        </w:tc>
      </w:tr>
      <w:tr w:rsidR="00C17A26" w14:paraId="663F2361" w14:textId="77777777">
        <w:tc>
          <w:tcPr>
            <w:tcW w:w="4680" w:type="dxa"/>
          </w:tcPr>
          <w:p w14:paraId="740F5E6D" w14:textId="77777777" w:rsidR="00C17A26" w:rsidRDefault="00000000">
            <w:r>
              <w:rPr>
                <w:sz w:val="20"/>
              </w:rPr>
              <w:t>Send residual Trust deposits to government</w:t>
            </w:r>
          </w:p>
        </w:tc>
        <w:tc>
          <w:tcPr>
            <w:tcW w:w="4680" w:type="dxa"/>
          </w:tcPr>
          <w:p w14:paraId="0CA66360" w14:textId="77777777" w:rsidR="00C17A26" w:rsidRDefault="00000000">
            <w:r>
              <w:rPr>
                <w:sz w:val="20"/>
              </w:rPr>
              <w:t>send_fund_residual_to_gov</w:t>
            </w:r>
          </w:p>
        </w:tc>
      </w:tr>
      <w:tr w:rsidR="00C17A26" w14:paraId="1AA8E9F9" w14:textId="77777777">
        <w:tc>
          <w:tcPr>
            <w:tcW w:w="4680" w:type="dxa"/>
          </w:tcPr>
          <w:p w14:paraId="1F3D2159" w14:textId="77777777" w:rsidR="00C17A26" w:rsidRDefault="00000000">
            <w:r>
              <w:rPr>
                <w:sz w:val="20"/>
              </w:rPr>
              <w:t>UBI initial issuance-financed share</w:t>
            </w:r>
          </w:p>
        </w:tc>
        <w:tc>
          <w:tcPr>
            <w:tcW w:w="4680" w:type="dxa"/>
          </w:tcPr>
          <w:p w14:paraId="07351666" w14:textId="77777777" w:rsidR="00C17A26" w:rsidRDefault="00000000">
            <w:r>
              <w:rPr>
                <w:sz w:val="20"/>
              </w:rPr>
              <w:t>ubi_issuance_share</w:t>
            </w:r>
          </w:p>
        </w:tc>
      </w:tr>
      <w:tr w:rsidR="00C17A26" w14:paraId="646B2371" w14:textId="77777777">
        <w:tc>
          <w:tcPr>
            <w:tcW w:w="4680" w:type="dxa"/>
          </w:tcPr>
          <w:p w14:paraId="5D24C1A8" w14:textId="77777777" w:rsidR="00C17A26" w:rsidRDefault="00000000">
            <w:r>
              <w:rPr>
                <w:sz w:val="20"/>
              </w:rPr>
              <w:t>VAT rate</w:t>
            </w:r>
          </w:p>
        </w:tc>
        <w:tc>
          <w:tcPr>
            <w:tcW w:w="4680" w:type="dxa"/>
          </w:tcPr>
          <w:p w14:paraId="66263FD1" w14:textId="77777777" w:rsidR="00C17A26" w:rsidRDefault="00000000">
            <w:r>
              <w:rPr>
                <w:sz w:val="20"/>
              </w:rPr>
              <w:t>vat_rate</w:t>
            </w:r>
          </w:p>
        </w:tc>
      </w:tr>
      <w:tr w:rsidR="00C17A26" w14:paraId="59A01D77" w14:textId="77777777">
        <w:tc>
          <w:tcPr>
            <w:tcW w:w="4680" w:type="dxa"/>
          </w:tcPr>
          <w:p w14:paraId="7D3BA32D" w14:textId="77777777" w:rsidR="00C17A26" w:rsidRDefault="00000000">
            <w:r>
              <w:rPr>
                <w:sz w:val="20"/>
              </w:rPr>
              <w:t>VAT prebate poverty consumption fraction</w:t>
            </w:r>
          </w:p>
        </w:tc>
        <w:tc>
          <w:tcPr>
            <w:tcW w:w="4680" w:type="dxa"/>
          </w:tcPr>
          <w:p w14:paraId="73F00296" w14:textId="77777777" w:rsidR="00C17A26" w:rsidRDefault="00000000">
            <w:r>
              <w:rPr>
                <w:sz w:val="20"/>
              </w:rPr>
              <w:t>vat_poverty_cons_frac</w:t>
            </w:r>
          </w:p>
        </w:tc>
      </w:tr>
      <w:tr w:rsidR="00C17A26" w14:paraId="760C9E1B" w14:textId="77777777">
        <w:tc>
          <w:tcPr>
            <w:tcW w:w="4680" w:type="dxa"/>
          </w:tcPr>
          <w:p w14:paraId="6E974A80" w14:textId="77777777" w:rsidR="00C17A26" w:rsidRDefault="00000000">
            <w:r>
              <w:rPr>
                <w:sz w:val="20"/>
              </w:rPr>
              <w:t>VAT prebate eligibility cutoff percentile</w:t>
            </w:r>
          </w:p>
        </w:tc>
        <w:tc>
          <w:tcPr>
            <w:tcW w:w="4680" w:type="dxa"/>
          </w:tcPr>
          <w:p w14:paraId="3D11FC66" w14:textId="77777777" w:rsidR="00C17A26" w:rsidRDefault="00000000">
            <w:r>
              <w:rPr>
                <w:sz w:val="20"/>
              </w:rPr>
              <w:t>vat_credit_cutoff_pct</w:t>
            </w:r>
          </w:p>
        </w:tc>
      </w:tr>
      <w:tr w:rsidR="00C17A26" w14:paraId="0D0860A8" w14:textId="77777777">
        <w:tc>
          <w:tcPr>
            <w:tcW w:w="4680" w:type="dxa"/>
          </w:tcPr>
          <w:p w14:paraId="5D1A75D5" w14:textId="77777777" w:rsidR="00C17A26" w:rsidRDefault="00000000">
            <w:r>
              <w:rPr>
                <w:sz w:val="20"/>
              </w:rPr>
              <w:t>Income tax rate (marginal above cutoff)</w:t>
            </w:r>
          </w:p>
        </w:tc>
        <w:tc>
          <w:tcPr>
            <w:tcW w:w="4680" w:type="dxa"/>
          </w:tcPr>
          <w:p w14:paraId="5B27482A" w14:textId="77777777" w:rsidR="00C17A26" w:rsidRDefault="00000000">
            <w:r>
              <w:rPr>
                <w:sz w:val="20"/>
              </w:rPr>
              <w:t>income_tax_rate</w:t>
            </w:r>
          </w:p>
        </w:tc>
      </w:tr>
      <w:tr w:rsidR="00C17A26" w14:paraId="27FB0A03" w14:textId="77777777">
        <w:tc>
          <w:tcPr>
            <w:tcW w:w="4680" w:type="dxa"/>
          </w:tcPr>
          <w:p w14:paraId="1570C801" w14:textId="77777777" w:rsidR="00C17A26" w:rsidRDefault="00000000">
            <w:r>
              <w:rPr>
                <w:sz w:val="20"/>
              </w:rPr>
              <w:t>Income tax cutoff percentile</w:t>
            </w:r>
          </w:p>
        </w:tc>
        <w:tc>
          <w:tcPr>
            <w:tcW w:w="4680" w:type="dxa"/>
          </w:tcPr>
          <w:p w14:paraId="22B57FF8" w14:textId="77777777" w:rsidR="00C17A26" w:rsidRDefault="00000000">
            <w:r>
              <w:rPr>
                <w:sz w:val="20"/>
              </w:rPr>
              <w:t>income_tax_cutoff_pct</w:t>
            </w:r>
          </w:p>
        </w:tc>
      </w:tr>
      <w:tr w:rsidR="00C17A26" w14:paraId="266BC801" w14:textId="77777777">
        <w:tc>
          <w:tcPr>
            <w:tcW w:w="4680" w:type="dxa"/>
          </w:tcPr>
          <w:p w14:paraId="64BBE26A" w14:textId="77777777" w:rsidR="00C17A26" w:rsidRDefault="00000000">
            <w:r>
              <w:rPr>
                <w:sz w:val="20"/>
              </w:rPr>
              <w:t>Corporate tax base rate</w:t>
            </w:r>
          </w:p>
        </w:tc>
        <w:tc>
          <w:tcPr>
            <w:tcW w:w="4680" w:type="dxa"/>
          </w:tcPr>
          <w:p w14:paraId="16E9E7BC" w14:textId="77777777" w:rsidR="00C17A26" w:rsidRDefault="00000000">
            <w:r>
              <w:rPr>
                <w:sz w:val="20"/>
              </w:rPr>
              <w:t>corporate_tax_rate (and/or corporate_tax_rate_base)</w:t>
            </w:r>
          </w:p>
        </w:tc>
      </w:tr>
      <w:tr w:rsidR="00C17A26" w14:paraId="3BDD49F7" w14:textId="77777777">
        <w:tc>
          <w:tcPr>
            <w:tcW w:w="4680" w:type="dxa"/>
          </w:tcPr>
          <w:p w14:paraId="0FE48464" w14:textId="77777777" w:rsidR="00C17A26" w:rsidRDefault="00000000">
            <w:r>
              <w:rPr>
                <w:sz w:val="20"/>
              </w:rPr>
              <w:t>Corporate tax wage sensitivity</w:t>
            </w:r>
          </w:p>
        </w:tc>
        <w:tc>
          <w:tcPr>
            <w:tcW w:w="4680" w:type="dxa"/>
          </w:tcPr>
          <w:p w14:paraId="4CB7A261" w14:textId="77777777" w:rsidR="00C17A26" w:rsidRDefault="00000000">
            <w:r>
              <w:rPr>
                <w:sz w:val="20"/>
              </w:rPr>
              <w:t>corporate_tax_wage_sensitivity</w:t>
            </w:r>
          </w:p>
        </w:tc>
      </w:tr>
      <w:tr w:rsidR="00C17A26" w14:paraId="57F8EFDE" w14:textId="77777777">
        <w:tc>
          <w:tcPr>
            <w:tcW w:w="4680" w:type="dxa"/>
          </w:tcPr>
          <w:p w14:paraId="336B63B2" w14:textId="77777777" w:rsidR="00C17A26" w:rsidRDefault="00000000">
            <w:r>
              <w:rPr>
                <w:sz w:val="20"/>
              </w:rPr>
              <w:t>Corporate tax min/max clamps</w:t>
            </w:r>
          </w:p>
        </w:tc>
        <w:tc>
          <w:tcPr>
            <w:tcW w:w="4680" w:type="dxa"/>
          </w:tcPr>
          <w:p w14:paraId="39DC6AC6" w14:textId="77777777" w:rsidR="00C17A26" w:rsidRDefault="00000000">
            <w:r>
              <w:rPr>
                <w:sz w:val="20"/>
              </w:rPr>
              <w:t>corporate_tax_rate_min / corporate_tax_rate_max</w:t>
            </w:r>
          </w:p>
        </w:tc>
      </w:tr>
      <w:tr w:rsidR="00C17A26" w14:paraId="236359C4" w14:textId="77777777">
        <w:tc>
          <w:tcPr>
            <w:tcW w:w="4680" w:type="dxa"/>
          </w:tcPr>
          <w:p w14:paraId="0416EB7F" w14:textId="77777777" w:rsidR="00C17A26" w:rsidRDefault="00000000">
            <w:r>
              <w:rPr>
                <w:sz w:val="20"/>
              </w:rPr>
              <w:t>Government rebate (recycling) rate</w:t>
            </w:r>
          </w:p>
        </w:tc>
        <w:tc>
          <w:tcPr>
            <w:tcW w:w="4680" w:type="dxa"/>
          </w:tcPr>
          <w:p w14:paraId="7E55246D" w14:textId="77777777" w:rsidR="00C17A26" w:rsidRDefault="00000000">
            <w:r>
              <w:rPr>
                <w:sz w:val="20"/>
              </w:rPr>
              <w:t>gov_tax_rebate_rate</w:t>
            </w:r>
          </w:p>
        </w:tc>
      </w:tr>
      <w:tr w:rsidR="00C17A26" w14:paraId="2E38D31B" w14:textId="77777777">
        <w:tc>
          <w:tcPr>
            <w:tcW w:w="4680" w:type="dxa"/>
          </w:tcPr>
          <w:p w14:paraId="35778AE5" w14:textId="77777777" w:rsidR="00C17A26" w:rsidRDefault="00000000">
            <w:r>
              <w:rPr>
                <w:sz w:val="20"/>
              </w:rPr>
              <w:t>Loan rate per quarter</w:t>
            </w:r>
          </w:p>
        </w:tc>
        <w:tc>
          <w:tcPr>
            <w:tcW w:w="4680" w:type="dxa"/>
          </w:tcPr>
          <w:p w14:paraId="46185319" w14:textId="77777777" w:rsidR="00C17A26" w:rsidRDefault="00000000">
            <w:r>
              <w:rPr>
                <w:sz w:val="20"/>
              </w:rPr>
              <w:t>loan_rate_per_quarter</w:t>
            </w:r>
          </w:p>
        </w:tc>
      </w:tr>
      <w:tr w:rsidR="00C17A26" w14:paraId="1F0D8F1F" w14:textId="77777777">
        <w:tc>
          <w:tcPr>
            <w:tcW w:w="4680" w:type="dxa"/>
          </w:tcPr>
          <w:p w14:paraId="5507714C" w14:textId="77777777" w:rsidR="00C17A26" w:rsidRDefault="00000000">
            <w:r>
              <w:rPr>
                <w:sz w:val="20"/>
              </w:rPr>
              <w:t>Revolving principal pay rate</w:t>
            </w:r>
          </w:p>
        </w:tc>
        <w:tc>
          <w:tcPr>
            <w:tcW w:w="4680" w:type="dxa"/>
          </w:tcPr>
          <w:p w14:paraId="19925D2F" w14:textId="77777777" w:rsidR="00C17A26" w:rsidRDefault="00000000">
            <w:r>
              <w:rPr>
                <w:sz w:val="20"/>
              </w:rPr>
              <w:t>revolving_principal_pay_rate_q</w:t>
            </w:r>
          </w:p>
        </w:tc>
      </w:tr>
      <w:tr w:rsidR="00C17A26" w14:paraId="25A9ADD6" w14:textId="77777777">
        <w:tc>
          <w:tcPr>
            <w:tcW w:w="4680" w:type="dxa"/>
          </w:tcPr>
          <w:p w14:paraId="663850D5" w14:textId="77777777" w:rsidR="00C17A26" w:rsidRDefault="00000000">
            <w:r>
              <w:rPr>
                <w:sz w:val="20"/>
              </w:rPr>
              <w:t>Mortgage principal pay rate</w:t>
            </w:r>
          </w:p>
        </w:tc>
        <w:tc>
          <w:tcPr>
            <w:tcW w:w="4680" w:type="dxa"/>
          </w:tcPr>
          <w:p w14:paraId="1981DA8A" w14:textId="77777777" w:rsidR="00C17A26" w:rsidRDefault="00000000">
            <w:r>
              <w:rPr>
                <w:sz w:val="20"/>
              </w:rPr>
              <w:t>mortgage_principal_pay_rate_q</w:t>
            </w:r>
          </w:p>
        </w:tc>
      </w:tr>
      <w:tr w:rsidR="00C17A26" w14:paraId="09B8A4B2" w14:textId="77777777">
        <w:tc>
          <w:tcPr>
            <w:tcW w:w="4680" w:type="dxa"/>
          </w:tcPr>
          <w:p w14:paraId="797EAC14" w14:textId="77777777" w:rsidR="00C17A26" w:rsidRDefault="00000000">
            <w:r>
              <w:rPr>
                <w:sz w:val="20"/>
              </w:rPr>
              <w:t>Sector wage shares</w:t>
            </w:r>
          </w:p>
        </w:tc>
        <w:tc>
          <w:tcPr>
            <w:tcW w:w="4680" w:type="dxa"/>
          </w:tcPr>
          <w:p w14:paraId="0B9C6418" w14:textId="77777777" w:rsidR="00C17A26" w:rsidRDefault="00000000">
            <w:r>
              <w:rPr>
                <w:sz w:val="20"/>
              </w:rPr>
              <w:t>wage_share_of_revenue (FH, FA)</w:t>
            </w:r>
          </w:p>
        </w:tc>
      </w:tr>
      <w:tr w:rsidR="00C17A26" w14:paraId="6B0838BE" w14:textId="77777777">
        <w:tc>
          <w:tcPr>
            <w:tcW w:w="4680" w:type="dxa"/>
          </w:tcPr>
          <w:p w14:paraId="0B92E814" w14:textId="77777777" w:rsidR="00C17A26" w:rsidRDefault="00000000">
            <w:r>
              <w:rPr>
                <w:sz w:val="20"/>
              </w:rPr>
              <w:t>Automation markup parameters</w:t>
            </w:r>
          </w:p>
        </w:tc>
        <w:tc>
          <w:tcPr>
            <w:tcW w:w="4680" w:type="dxa"/>
          </w:tcPr>
          <w:p w14:paraId="1DDE0F93" w14:textId="77777777" w:rsidR="00C17A26" w:rsidRDefault="00000000">
            <w:r>
              <w:rPr>
                <w:sz w:val="20"/>
              </w:rPr>
              <w:t>automation_markup_max / automation_markup_power</w:t>
            </w:r>
          </w:p>
        </w:tc>
      </w:tr>
      <w:tr w:rsidR="00C17A26" w14:paraId="0BDD3645" w14:textId="77777777">
        <w:tc>
          <w:tcPr>
            <w:tcW w:w="4680" w:type="dxa"/>
          </w:tcPr>
          <w:p w14:paraId="3575AFA9" w14:textId="77777777" w:rsidR="00C17A26" w:rsidRDefault="00000000">
            <w:r>
              <w:rPr>
                <w:sz w:val="20"/>
              </w:rPr>
              <w:t>Competitive price pass-through</w:t>
            </w:r>
          </w:p>
        </w:tc>
        <w:tc>
          <w:tcPr>
            <w:tcW w:w="4680" w:type="dxa"/>
          </w:tcPr>
          <w:p w14:paraId="7EE0A9C0" w14:textId="77777777" w:rsidR="00C17A26" w:rsidRDefault="00000000">
            <w:r>
              <w:rPr>
                <w:sz w:val="20"/>
              </w:rPr>
              <w:t>price_beta</w:t>
            </w:r>
          </w:p>
        </w:tc>
      </w:tr>
      <w:tr w:rsidR="00C17A26" w14:paraId="242D00FC" w14:textId="77777777">
        <w:tc>
          <w:tcPr>
            <w:tcW w:w="4680" w:type="dxa"/>
          </w:tcPr>
          <w:p w14:paraId="4077B0C9" w14:textId="77777777" w:rsidR="00C17A26" w:rsidRDefault="00000000">
            <w:r>
              <w:rPr>
                <w:sz w:val="20"/>
              </w:rPr>
              <w:t>Wealth tax rate (inactive by default)</w:t>
            </w:r>
          </w:p>
        </w:tc>
        <w:tc>
          <w:tcPr>
            <w:tcW w:w="4680" w:type="dxa"/>
          </w:tcPr>
          <w:p w14:paraId="4AC5DFF1" w14:textId="77777777" w:rsidR="00C17A26" w:rsidRDefault="00000000">
            <w:r>
              <w:rPr>
                <w:sz w:val="20"/>
              </w:rPr>
              <w:t>wealth_tax_rate</w:t>
            </w:r>
          </w:p>
        </w:tc>
      </w:tr>
    </w:tbl>
    <w:p w14:paraId="6D8B949E" w14:textId="77777777" w:rsidR="00C17A26" w:rsidRDefault="00000000">
      <w:r>
        <w:br w:type="page"/>
      </w:r>
    </w:p>
    <w:p w14:paraId="1ED15FC5" w14:textId="77777777" w:rsidR="00C17A26" w:rsidRDefault="00000000">
      <w:pPr>
        <w:pStyle w:val="Heading1"/>
      </w:pPr>
      <w:r>
        <w:lastRenderedPageBreak/>
        <w:t>Appendix B. Within-quarter fixed-point solver (plain-language explanation)</w:t>
      </w:r>
    </w:p>
    <w:p w14:paraId="6153D178" w14:textId="77777777" w:rsidR="00C17A26" w:rsidRDefault="00000000">
      <w:r>
        <w:t>EconomySim enforces stock‑flow consistency inside each simulated quarter (tick). That creates a circular dependency: household disposable income determines spending, spending determines firm revenues, revenues determine wages/profits/dividends/taxes/transfers, and those flows determine household disposable income. A fixed‑point solver is the numerical device used to find the self‑consistent (“closed loop”) values within the quarter.</w:t>
      </w:r>
    </w:p>
    <w:p w14:paraId="6797DEAE" w14:textId="77777777" w:rsidR="00C17A26" w:rsidRDefault="00000000">
      <w:pPr>
        <w:pStyle w:val="Heading2"/>
      </w:pPr>
      <w:r>
        <w:t>B.1 What the solver is solving</w:t>
      </w:r>
    </w:p>
    <w:p w14:paraId="48469D3D" w14:textId="210D5891" w:rsidR="00C17A26" w:rsidRDefault="00000000">
      <w:r>
        <w:t>The solver iterates on a vector of household disposable incomes for the current quarter. Call that vector y (one entry per household in the synthetic population). Given a guess y, the model computes consumption, then revenues, then wages/profits/dividends/taxes/transfers, and produces an implied new disposable‑income vector y_new. A fixed point is reached when:</w:t>
      </w:r>
    </w:p>
    <w:p w14:paraId="580B19CE" w14:textId="77777777" w:rsidR="00C17A26" w:rsidRDefault="00000000">
      <w:r>
        <w:t>y = F(y)</w:t>
      </w:r>
    </w:p>
    <w:p w14:paraId="3CE9DC36" w14:textId="77777777" w:rsidR="00C17A26" w:rsidRDefault="00000000">
      <w:r>
        <w:t>where F(·) means “run the within‑quarter accounting pipeline once.” If the guessed incomes equal the implied incomes, the quarter is internally consistent.</w:t>
      </w:r>
    </w:p>
    <w:p w14:paraId="72B1DE6D" w14:textId="77777777" w:rsidR="00C17A26" w:rsidRDefault="00000000">
      <w:pPr>
        <w:pStyle w:val="Heading2"/>
      </w:pPr>
      <w:r>
        <w:t>B.2 Intuition in one paragraph</w:t>
      </w:r>
    </w:p>
    <w:p w14:paraId="2CAF017F" w14:textId="77777777" w:rsidR="00C17A26" w:rsidRDefault="00000000">
      <w:r>
        <w:t>A non‑modeler way to read this is: “We guess what people take home this quarter. That guess implies how much they spend. Spending implies what firms sell. Sales imply wages and profits. Wages and profits imply taxes, dividends, and transfers. Those flows imply what people actually take home. If ‘actually take home’ matches the guess, we are done; if not, we replace the guess with the implied result and repeat until it matches.”</w:t>
      </w:r>
    </w:p>
    <w:p w14:paraId="50D92F64" w14:textId="77777777" w:rsidR="00C17A26" w:rsidRDefault="00000000">
      <w:pPr>
        <w:pStyle w:val="Heading2"/>
      </w:pPr>
      <w:r>
        <w:t>B.3 Step-by-step flow within one iteration</w:t>
      </w:r>
    </w:p>
    <w:p w14:paraId="36FBE965" w14:textId="0EE0B1F4" w:rsidR="00C17A26" w:rsidRDefault="00000000">
      <w:pPr>
        <w:pStyle w:val="ListNumber"/>
      </w:pPr>
      <w:r>
        <w:rPr>
          <w:b/>
        </w:rPr>
        <w:t>Guess disposable income (</w:t>
      </w:r>
      <w:proofErr w:type="spellStart"/>
      <w:r>
        <w:rPr>
          <w:b/>
        </w:rPr>
        <w:t>y_guess</w:t>
      </w:r>
      <w:proofErr w:type="spellEnd"/>
      <w:r>
        <w:rPr>
          <w:b/>
        </w:rPr>
        <w:t xml:space="preserve">). </w:t>
      </w:r>
      <w:r>
        <w:t>Start with a vector of nominal disposable incomes for the current quarter (often initialized from baseline weights or prior values).</w:t>
      </w:r>
    </w:p>
    <w:p w14:paraId="793587E7" w14:textId="03ACC9DA" w:rsidR="00C17A26" w:rsidRDefault="00000000">
      <w:pPr>
        <w:pStyle w:val="ListNumber"/>
      </w:pPr>
      <w:r>
        <w:rPr>
          <w:b/>
        </w:rPr>
        <w:t xml:space="preserve">Compute household consumption from income. </w:t>
      </w:r>
      <w:r>
        <w:t>Convert income to real purchasing power using the VAT‑inclusive consumer price; apply a consumption rule (baseline + marginal propensity to consume × income), then re‑express in nominal terms. Apply liquidity constraints: a household cannot spend more than its available deposits plus current‑quarter inflows.</w:t>
      </w:r>
    </w:p>
    <w:p w14:paraId="15AB9C4F" w14:textId="62D37794" w:rsidR="00C17A26" w:rsidRDefault="00000000">
      <w:pPr>
        <w:pStyle w:val="ListNumber"/>
      </w:pPr>
      <w:r>
        <w:rPr>
          <w:b/>
        </w:rPr>
        <w:t xml:space="preserve">Convert consumption into firm revenues (goods‑market closure). </w:t>
      </w:r>
      <w:r>
        <w:t>Remove the VAT wedge to get tax‑exclusive sales revenues, and split demand across sectors (for example, a traditional sector vs an automation sector). Investment demand (CAPEX) may be included using lagged retained earnings, which reduces same‑quarter circularity.</w:t>
      </w:r>
    </w:p>
    <w:p w14:paraId="7398520C" w14:textId="42716933" w:rsidR="00C17A26" w:rsidRDefault="00000000">
      <w:pPr>
        <w:pStyle w:val="ListNumber"/>
      </w:pPr>
      <w:r>
        <w:rPr>
          <w:b/>
        </w:rPr>
        <w:t xml:space="preserve">Compute wages and profits from revenues. </w:t>
      </w:r>
      <w:r>
        <w:t>Wages are modeled as a share of revenue, with automation potentially reducing the wage share in the automation‑linked sector. Profits are revenues minus wages and other costs (with floors to prevent negative profits where applicable).</w:t>
      </w:r>
    </w:p>
    <w:p w14:paraId="35907DE9" w14:textId="7E67A2AF" w:rsidR="00C17A26" w:rsidRDefault="00000000">
      <w:pPr>
        <w:pStyle w:val="ListNumber"/>
      </w:pPr>
      <w:r>
        <w:rPr>
          <w:b/>
        </w:rPr>
        <w:t xml:space="preserve">Apply corporate taxes and compute dividends/retained earnings. </w:t>
      </w:r>
      <w:r>
        <w:t>Corporate taxes are assessed on profits (optionally with an automatic stabilizer that increases the rate as wages fall vs baseline). After‑tax profits are split into dividends and retention based on model rules.</w:t>
      </w:r>
    </w:p>
    <w:p w14:paraId="033B2E89" w14:textId="3A1B6911" w:rsidR="00C17A26" w:rsidRDefault="00000000">
      <w:pPr>
        <w:pStyle w:val="ListNumber"/>
      </w:pPr>
      <w:r>
        <w:rPr>
          <w:b/>
        </w:rPr>
        <w:lastRenderedPageBreak/>
        <w:t xml:space="preserve">Compute transfers that depend on the </w:t>
      </w:r>
      <w:proofErr w:type="gramStart"/>
      <w:r>
        <w:rPr>
          <w:b/>
        </w:rPr>
        <w:t>macro outcome</w:t>
      </w:r>
      <w:proofErr w:type="gramEnd"/>
      <w:r>
        <w:rPr>
          <w:b/>
        </w:rPr>
        <w:t xml:space="preserve"> (notably UBI). </w:t>
      </w:r>
      <w:r>
        <w:t>UBI is calculated as a “make‑up” transfer to maintain a baseline real‑income pool indexed to the current price level, and a ratchet prevents UBI from falling once it rises.</w:t>
      </w:r>
    </w:p>
    <w:p w14:paraId="1074FDE9" w14:textId="61A02BB9" w:rsidR="00C17A26" w:rsidRDefault="00000000">
      <w:pPr>
        <w:pStyle w:val="ListNumber"/>
      </w:pPr>
      <w:r>
        <w:rPr>
          <w:b/>
        </w:rPr>
        <w:t xml:space="preserve">Allocate wages/dividends/transfers across households; compute household taxes/credits. </w:t>
      </w:r>
      <w:r>
        <w:t>Wages and dividends are distributed according to configured weights; income taxes apply above a percentile‑defined cutoff; the VAT credit (“prebate”) is paid to eligible households based on an income cutoff and a poverty‑line consumption proxy.</w:t>
      </w:r>
    </w:p>
    <w:p w14:paraId="733D99B4" w14:textId="28F686DB" w:rsidR="00C17A26" w:rsidRDefault="00000000">
      <w:pPr>
        <w:pStyle w:val="ListNumber"/>
      </w:pPr>
      <w:r>
        <w:rPr>
          <w:b/>
        </w:rPr>
        <w:t xml:space="preserve">Produce implied disposable income (y_new). </w:t>
      </w:r>
      <w:r>
        <w:t>For each household: y_new = wages + dividends + UBI + VAT_credit − income_tax − interest, plus/minus any other modeled flows.</w:t>
      </w:r>
    </w:p>
    <w:p w14:paraId="1D3E78DE" w14:textId="4AE8B3A1" w:rsidR="00C17A26" w:rsidRDefault="00000000">
      <w:pPr>
        <w:pStyle w:val="ListNumber"/>
      </w:pPr>
      <w:r>
        <w:rPr>
          <w:b/>
        </w:rPr>
        <w:t xml:space="preserve">Check convergence and iterate. </w:t>
      </w:r>
      <w:r>
        <w:t>If max(|y_new − y_guess|) is below a tolerance, the quarter is solved. Otherwise set y_guess ← y_new and repeat.</w:t>
      </w:r>
    </w:p>
    <w:p w14:paraId="00AF9479" w14:textId="77777777" w:rsidR="00C17A26" w:rsidRDefault="00000000">
      <w:pPr>
        <w:pStyle w:val="Heading2"/>
      </w:pPr>
      <w:r>
        <w:t>B.4 Why this converges (usually) and what to do if it doesn’t</w:t>
      </w:r>
    </w:p>
    <w:p w14:paraId="6ADFA5CB" w14:textId="77777777" w:rsidR="00C17A26" w:rsidRDefault="00000000">
      <w:r>
        <w:t>This solver is a straightforward fixed‑point (Picard) iteration. It tends to converge when the feedback gain of the spending→income loop is less than one (for example, marginal propensity to consume is below 1 and taxes/interest provide damping). Lagging certain components (such as CAPEX funded from prior‑period retained earnings) also reduces within‑quarter circularity.</w:t>
      </w:r>
    </w:p>
    <w:p w14:paraId="20E853A9" w14:textId="77777777" w:rsidR="00C17A26" w:rsidRDefault="00000000">
      <w:r>
        <w:t>If convergence is slow or fails in some parameter regimes, a standard remedy is under‑relaxation: update the guess as a blend of old and new values, y_guess ← (1−α)·y_guess + α·y_new with α between 0 and 1. This preserves the same fixed point but improves numerical stability.</w:t>
      </w:r>
    </w:p>
    <w:p w14:paraId="0BDE4374" w14:textId="77777777" w:rsidR="00C17A26" w:rsidRDefault="00000000">
      <w:pPr>
        <w:pStyle w:val="Heading2"/>
      </w:pPr>
      <w:r>
        <w:t>B.5 Minimal pseudo-code</w:t>
      </w:r>
    </w:p>
    <w:p w14:paraId="68CE706F" w14:textId="77777777" w:rsidR="00C17A26" w:rsidRDefault="00000000">
      <w:r>
        <w:rPr>
          <w:rFonts w:ascii="Consolas" w:hAnsi="Consolas"/>
          <w:sz w:val="20"/>
        </w:rPr>
        <w:t>initialize y_guess</w:t>
      </w:r>
    </w:p>
    <w:p w14:paraId="52BC5479" w14:textId="77777777" w:rsidR="00C17A26" w:rsidRDefault="00000000">
      <w:r>
        <w:rPr>
          <w:rFonts w:ascii="Consolas" w:hAnsi="Consolas"/>
          <w:sz w:val="20"/>
        </w:rPr>
        <w:t>for iter in 1..max_iter:</w:t>
      </w:r>
    </w:p>
    <w:p w14:paraId="1E01935B" w14:textId="77777777" w:rsidR="00C17A26" w:rsidRDefault="00000000">
      <w:r>
        <w:rPr>
          <w:rFonts w:ascii="Consolas" w:hAnsi="Consolas"/>
          <w:sz w:val="20"/>
        </w:rPr>
        <w:t xml:space="preserve">    compute consumption from y_guess (with VAT price and liquidity constraint)</w:t>
      </w:r>
    </w:p>
    <w:p w14:paraId="3D7EC507" w14:textId="77777777" w:rsidR="00C17A26" w:rsidRDefault="00000000">
      <w:r>
        <w:rPr>
          <w:rFonts w:ascii="Consolas" w:hAnsi="Consolas"/>
          <w:sz w:val="20"/>
        </w:rPr>
        <w:t xml:space="preserve">    compute revenues from consumption (remove VAT wedge; split sectors; add lagged CAPEX)</w:t>
      </w:r>
    </w:p>
    <w:p w14:paraId="43597582" w14:textId="77777777" w:rsidR="00C17A26" w:rsidRDefault="00000000">
      <w:r>
        <w:rPr>
          <w:rFonts w:ascii="Consolas" w:hAnsi="Consolas"/>
          <w:sz w:val="20"/>
        </w:rPr>
        <w:t xml:space="preserve">    compute wages and profits; apply corporate tax; compute dividends</w:t>
      </w:r>
    </w:p>
    <w:p w14:paraId="59FDDF81" w14:textId="77777777" w:rsidR="00C17A26" w:rsidRDefault="00000000">
      <w:r>
        <w:rPr>
          <w:rFonts w:ascii="Consolas" w:hAnsi="Consolas"/>
          <w:sz w:val="20"/>
        </w:rPr>
        <w:t xml:space="preserve">    compute UBI and credits; compute household income tax</w:t>
      </w:r>
    </w:p>
    <w:p w14:paraId="7B744B8D" w14:textId="77777777" w:rsidR="00C17A26" w:rsidRDefault="00000000">
      <w:r>
        <w:rPr>
          <w:rFonts w:ascii="Consolas" w:hAnsi="Consolas"/>
          <w:sz w:val="20"/>
        </w:rPr>
        <w:t xml:space="preserve">    y_new = wages + dividends + transfers + credits − taxes − interest</w:t>
      </w:r>
    </w:p>
    <w:p w14:paraId="37834B72" w14:textId="77777777" w:rsidR="00C17A26" w:rsidRDefault="00000000">
      <w:r>
        <w:rPr>
          <w:rFonts w:ascii="Consolas" w:hAnsi="Consolas"/>
          <w:sz w:val="20"/>
        </w:rPr>
        <w:t xml:space="preserve">    if max_abs(y_new − y_guess) &lt; tolerance: break</w:t>
      </w:r>
    </w:p>
    <w:p w14:paraId="42F22B8E" w14:textId="77777777" w:rsidR="00C17A26" w:rsidRDefault="00000000">
      <w:r>
        <w:rPr>
          <w:rFonts w:ascii="Consolas" w:hAnsi="Consolas"/>
          <w:sz w:val="20"/>
        </w:rPr>
        <w:t xml:space="preserve">    y_guess = y_new   (or under‑relaxed blend)</w:t>
      </w:r>
    </w:p>
    <w:p w14:paraId="5F7DC9F0" w14:textId="77777777" w:rsidR="00C17A26" w:rsidRDefault="00000000">
      <w:r>
        <w:rPr>
          <w:rFonts w:ascii="Consolas" w:hAnsi="Consolas"/>
          <w:sz w:val="20"/>
        </w:rPr>
        <w:t>return solved flows and stocks for the quarter</w:t>
      </w:r>
    </w:p>
    <w:sectPr w:rsidR="00C17A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9459997">
    <w:abstractNumId w:val="8"/>
  </w:num>
  <w:num w:numId="2" w16cid:durableId="775639328">
    <w:abstractNumId w:val="6"/>
  </w:num>
  <w:num w:numId="3" w16cid:durableId="2014141718">
    <w:abstractNumId w:val="5"/>
  </w:num>
  <w:num w:numId="4" w16cid:durableId="205262810">
    <w:abstractNumId w:val="4"/>
  </w:num>
  <w:num w:numId="5" w16cid:durableId="1165703219">
    <w:abstractNumId w:val="7"/>
  </w:num>
  <w:num w:numId="6" w16cid:durableId="113597340">
    <w:abstractNumId w:val="3"/>
  </w:num>
  <w:num w:numId="7" w16cid:durableId="923489939">
    <w:abstractNumId w:val="2"/>
  </w:num>
  <w:num w:numId="8" w16cid:durableId="710686010">
    <w:abstractNumId w:val="1"/>
  </w:num>
  <w:num w:numId="9" w16cid:durableId="44342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7AC"/>
    <w:rsid w:val="0015074B"/>
    <w:rsid w:val="0029639D"/>
    <w:rsid w:val="00326F90"/>
    <w:rsid w:val="004E58C6"/>
    <w:rsid w:val="00AA1D8D"/>
    <w:rsid w:val="00B47730"/>
    <w:rsid w:val="00B8715A"/>
    <w:rsid w:val="00C17A26"/>
    <w:rsid w:val="00C3292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51A8C"/>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2777</Words>
  <Characters>16770</Characters>
  <Application>Microsoft Office Word</Application>
  <DocSecurity>0</DocSecurity>
  <Lines>300</Lines>
  <Paragraphs>174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dcterms:created xsi:type="dcterms:W3CDTF">2013-12-23T23:15:00Z</dcterms:created>
  <dcterms:modified xsi:type="dcterms:W3CDTF">2026-02-17T06:34:00Z</dcterms:modified>
  <cp:category/>
</cp:coreProperties>
</file>