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3AAC8" w14:textId="0AC6E890" w:rsidR="00715120" w:rsidRPr="00715120" w:rsidRDefault="00715120" w:rsidP="008B6550">
      <w:pPr>
        <w:pStyle w:val="Heading2"/>
        <w:rPr>
          <w:rFonts w:eastAsia="Times New Roman"/>
        </w:rPr>
      </w:pPr>
      <w:r w:rsidRPr="00715120">
        <w:rPr>
          <w:rFonts w:eastAsia="Times New Roman"/>
        </w:rPr>
        <w:t xml:space="preserve">Escaping the Fisher Trap: </w:t>
      </w:r>
      <w:r>
        <w:rPr>
          <w:rFonts w:eastAsia="Times New Roman"/>
        </w:rPr>
        <w:br/>
      </w:r>
      <w:r w:rsidRPr="00715120">
        <w:rPr>
          <w:rFonts w:eastAsia="Times New Roman"/>
        </w:rPr>
        <w:t>Saving the Fixed-Income Market in a Deflationary Transition</w:t>
      </w:r>
    </w:p>
    <w:p w14:paraId="27A547F9" w14:textId="77777777" w:rsidR="00715120" w:rsidRDefault="00715120" w:rsidP="008B6550">
      <w:pPr>
        <w:pStyle w:val="Heading3"/>
        <w:rPr>
          <w:rFonts w:eastAsia="Times New Roman"/>
        </w:rPr>
      </w:pPr>
      <w:r w:rsidRPr="00715120">
        <w:rPr>
          <w:rFonts w:eastAsia="Times New Roman"/>
        </w:rPr>
        <w:t>The Macroeconomic Problem: The Deflationary Penalty </w:t>
      </w:r>
    </w:p>
    <w:p w14:paraId="628BACFF" w14:textId="15D85799" w:rsidR="00715120" w:rsidRPr="00715120" w:rsidRDefault="00715120" w:rsidP="00715120">
      <w:pPr>
        <w:spacing w:before="100" w:beforeAutospacing="1" w:after="100" w:afterAutospacing="1" w:line="240" w:lineRule="auto"/>
        <w:rPr>
          <w:rFonts w:eastAsia="Times New Roman" w:cs="Times New Roman"/>
          <w:color w:val="000000"/>
          <w:kern w:val="0"/>
          <w14:ligatures w14:val="none"/>
        </w:rPr>
      </w:pPr>
      <w:r w:rsidRPr="00715120">
        <w:rPr>
          <w:rFonts w:eastAsia="Times New Roman" w:cs="Times New Roman"/>
          <w:color w:val="000000"/>
          <w:kern w:val="0"/>
          <w14:ligatures w14:val="none"/>
        </w:rPr>
        <w:t>The defining feature of a successful transition to machine-intelligence automation is hyper-abundance, which manifests macroeconomically as severe, structural deflation. While falling prices represent a massive increase in real purchasing power for baseline consumption, they introduce a lethal systemic vulnerability into the legacy financial plumbing: fixed-nominal debt.</w:t>
      </w:r>
    </w:p>
    <w:p w14:paraId="23789385" w14:textId="77777777" w:rsidR="00715120" w:rsidRPr="00715120" w:rsidRDefault="00715120" w:rsidP="00715120">
      <w:pPr>
        <w:spacing w:before="100" w:beforeAutospacing="1" w:after="100" w:afterAutospacing="1" w:line="240" w:lineRule="auto"/>
        <w:rPr>
          <w:rFonts w:eastAsia="Times New Roman" w:cs="Times New Roman"/>
          <w:color w:val="000000"/>
          <w:kern w:val="0"/>
          <w14:ligatures w14:val="none"/>
        </w:rPr>
      </w:pPr>
      <w:r w:rsidRPr="00715120">
        <w:rPr>
          <w:rFonts w:eastAsia="Times New Roman" w:cs="Times New Roman"/>
          <w:color w:val="000000"/>
          <w:kern w:val="0"/>
          <w14:ligatures w14:val="none"/>
        </w:rPr>
        <w:t>In a traditional economy, a 30-year fixed-rate mortgage is a cornerstone of middle-class financial stability. But in an AI-driven deflationary environment, where both prices and wage-incomes are falling rapidly, the </w:t>
      </w:r>
      <w:r w:rsidRPr="00715120">
        <w:rPr>
          <w:rFonts w:eastAsia="Times New Roman" w:cs="Times New Roman"/>
          <w:i/>
          <w:iCs/>
          <w:color w:val="000000"/>
          <w:kern w:val="0"/>
          <w14:ligatures w14:val="none"/>
        </w:rPr>
        <w:t>real</w:t>
      </w:r>
      <w:r w:rsidRPr="00715120">
        <w:rPr>
          <w:rFonts w:eastAsia="Times New Roman" w:cs="Times New Roman"/>
          <w:color w:val="000000"/>
          <w:kern w:val="0"/>
          <w14:ligatures w14:val="none"/>
        </w:rPr>
        <w:t> burden of that fixed nominal payment skyrockets. If a household's nominal income is cut in half by automation, a fixed $2,000 monthly mortgage effectively becomes a $4,000 monthly burden.</w:t>
      </w:r>
    </w:p>
    <w:p w14:paraId="63C029D5" w14:textId="77777777" w:rsidR="00715120" w:rsidRPr="00715120" w:rsidRDefault="00715120" w:rsidP="00715120">
      <w:pPr>
        <w:spacing w:before="100" w:beforeAutospacing="1" w:after="100" w:afterAutospacing="1" w:line="240" w:lineRule="auto"/>
        <w:rPr>
          <w:rFonts w:eastAsia="Times New Roman" w:cs="Times New Roman"/>
          <w:color w:val="000000"/>
          <w:kern w:val="0"/>
          <w14:ligatures w14:val="none"/>
        </w:rPr>
      </w:pPr>
      <w:r w:rsidRPr="00715120">
        <w:rPr>
          <w:rFonts w:eastAsia="Times New Roman" w:cs="Times New Roman"/>
          <w:color w:val="000000"/>
          <w:kern w:val="0"/>
          <w14:ligatures w14:val="none"/>
        </w:rPr>
        <w:t>Historically, this triggers Irving Fisher’s classic debt-deflation spiral: households drastically slash consumption to service their crushing debt, which destroys aggregate demand, driving prices even lower, ultimately culminating in mass defaults that wipe out bank equity and freeze the credit system.</w:t>
      </w:r>
    </w:p>
    <w:p w14:paraId="5E11CC62" w14:textId="162C2876" w:rsidR="00715120" w:rsidRPr="00715120" w:rsidRDefault="00AF32BA" w:rsidP="00715120">
      <w:p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T</w:t>
      </w:r>
      <w:r w:rsidR="00715120" w:rsidRPr="00715120">
        <w:rPr>
          <w:rFonts w:eastAsia="Times New Roman" w:cs="Times New Roman"/>
          <w:color w:val="000000"/>
          <w:kern w:val="0"/>
          <w14:ligatures w14:val="none"/>
        </w:rPr>
        <w:t xml:space="preserve">his dynamic </w:t>
      </w:r>
      <w:r>
        <w:rPr>
          <w:rFonts w:eastAsia="Times New Roman" w:cs="Times New Roman"/>
          <w:color w:val="000000"/>
          <w:kern w:val="0"/>
          <w14:ligatures w14:val="none"/>
        </w:rPr>
        <w:t xml:space="preserve">also </w:t>
      </w:r>
      <w:r w:rsidR="00715120" w:rsidRPr="00715120">
        <w:rPr>
          <w:rFonts w:eastAsia="Times New Roman" w:cs="Times New Roman"/>
          <w:color w:val="000000"/>
          <w:kern w:val="0"/>
          <w14:ligatures w14:val="none"/>
        </w:rPr>
        <w:t>introduces a paralyzing "lock-in effect." If the nominal value of homes falls alongside the broader price level, households become trapped underwater. They cannot sell their homes to move for new opportunities or downsize, freezing labor and housing mobility precisely when the economy requires maximum structural flexibility.</w:t>
      </w:r>
    </w:p>
    <w:p w14:paraId="6BDABD0A" w14:textId="77777777" w:rsidR="00715120" w:rsidRPr="00715120" w:rsidRDefault="00715120" w:rsidP="00715120">
      <w:pPr>
        <w:spacing w:before="100" w:beforeAutospacing="1" w:after="100" w:afterAutospacing="1" w:line="240" w:lineRule="auto"/>
        <w:rPr>
          <w:rFonts w:eastAsia="Times New Roman" w:cs="Times New Roman"/>
          <w:color w:val="000000"/>
          <w:kern w:val="0"/>
          <w14:ligatures w14:val="none"/>
        </w:rPr>
      </w:pPr>
      <w:r w:rsidRPr="00715120">
        <w:rPr>
          <w:rFonts w:eastAsia="Times New Roman" w:cs="Times New Roman"/>
          <w:b/>
          <w:bCs/>
          <w:color w:val="000000"/>
          <w:kern w:val="0"/>
          <w14:ligatures w14:val="none"/>
        </w:rPr>
        <w:t>The Policy Choice: The Hybrid Index and the Bank Neutralization Transfer</w:t>
      </w:r>
      <w:r w:rsidRPr="00715120">
        <w:rPr>
          <w:rFonts w:eastAsia="Times New Roman" w:cs="Times New Roman"/>
          <w:color w:val="000000"/>
          <w:kern w:val="0"/>
          <w14:ligatures w14:val="none"/>
        </w:rPr>
        <w:t> To preserve the capitalist credit engine and protect the fixed-income market (the primary asset base of the banking sector), </w:t>
      </w:r>
      <w:proofErr w:type="spellStart"/>
      <w:r w:rsidRPr="00715120">
        <w:rPr>
          <w:rFonts w:eastAsia="Times New Roman" w:cs="Times New Roman"/>
          <w:i/>
          <w:iCs/>
          <w:color w:val="000000"/>
          <w:kern w:val="0"/>
          <w14:ligatures w14:val="none"/>
        </w:rPr>
        <w:t>EconomySim</w:t>
      </w:r>
      <w:proofErr w:type="spellEnd"/>
      <w:r w:rsidRPr="00715120">
        <w:rPr>
          <w:rFonts w:eastAsia="Times New Roman" w:cs="Times New Roman"/>
          <w:color w:val="000000"/>
          <w:kern w:val="0"/>
          <w14:ligatures w14:val="none"/>
        </w:rPr>
        <w:t> introduces a dynamic indexing and neutralization mechanism. The policy explicitly rejects both the liquidation of the middle class (mass default) and the destruction of bank capital (forced loan write-downs).</w:t>
      </w:r>
    </w:p>
    <w:p w14:paraId="419328FC" w14:textId="77777777" w:rsidR="00715120" w:rsidRPr="00715120" w:rsidRDefault="00715120" w:rsidP="00715120">
      <w:pPr>
        <w:spacing w:before="100" w:beforeAutospacing="1" w:after="100" w:afterAutospacing="1" w:line="240" w:lineRule="auto"/>
        <w:rPr>
          <w:rFonts w:eastAsia="Times New Roman" w:cs="Times New Roman"/>
          <w:color w:val="000000"/>
          <w:kern w:val="0"/>
          <w14:ligatures w14:val="none"/>
        </w:rPr>
      </w:pPr>
      <w:r w:rsidRPr="00715120">
        <w:rPr>
          <w:rFonts w:eastAsia="Times New Roman" w:cs="Times New Roman"/>
          <w:color w:val="000000"/>
          <w:kern w:val="0"/>
          <w14:ligatures w14:val="none"/>
        </w:rPr>
        <w:t>The policy operates in two steps:</w:t>
      </w:r>
    </w:p>
    <w:p w14:paraId="06FEA660" w14:textId="77777777" w:rsidR="008B6550" w:rsidRDefault="00715120" w:rsidP="008B6550">
      <w:pPr>
        <w:pStyle w:val="Heading4"/>
        <w:rPr>
          <w:rFonts w:eastAsia="Times New Roman"/>
        </w:rPr>
      </w:pPr>
      <w:r w:rsidRPr="00715120">
        <w:rPr>
          <w:rFonts w:eastAsia="Times New Roman"/>
        </w:rPr>
        <w:t>1. The Hybrid Index (Protecting the Household) </w:t>
      </w:r>
    </w:p>
    <w:p w14:paraId="45982B3B" w14:textId="5C1E06FB" w:rsidR="00715120" w:rsidRPr="00715120" w:rsidRDefault="00715120" w:rsidP="00715120">
      <w:pPr>
        <w:spacing w:before="100" w:beforeAutospacing="1" w:after="100" w:afterAutospacing="1" w:line="240" w:lineRule="auto"/>
        <w:rPr>
          <w:rFonts w:eastAsia="Times New Roman" w:cs="Times New Roman"/>
          <w:color w:val="000000"/>
          <w:kern w:val="0"/>
          <w14:ligatures w14:val="none"/>
        </w:rPr>
      </w:pPr>
      <w:r w:rsidRPr="00715120">
        <w:rPr>
          <w:rFonts w:eastAsia="Times New Roman" w:cs="Times New Roman"/>
          <w:color w:val="000000"/>
          <w:kern w:val="0"/>
          <w14:ligatures w14:val="none"/>
        </w:rPr>
        <w:t>The required contractual payment for legacy household debt is dynamically adjusted downward using a geometric blend of a Price Series and an Income Series. By tracking the </w:t>
      </w:r>
      <w:r w:rsidRPr="00715120">
        <w:rPr>
          <w:rFonts w:eastAsia="Times New Roman" w:cs="Times New Roman"/>
          <w:i/>
          <w:iCs/>
          <w:color w:val="000000"/>
          <w:kern w:val="0"/>
          <w14:ligatures w14:val="none"/>
        </w:rPr>
        <w:t>Current Contractual</w:t>
      </w:r>
      <w:r w:rsidRPr="00715120">
        <w:rPr>
          <w:rFonts w:eastAsia="Times New Roman" w:cs="Times New Roman"/>
          <w:color w:val="000000"/>
          <w:kern w:val="0"/>
          <w14:ligatures w14:val="none"/>
        </w:rPr>
        <w:t> path rather than the original origination amount, the relief scales precisely with the dual squeeze of the transition: it adjusts for both the drop in the cost of living and the collapse of the wage share.</w:t>
      </w:r>
    </w:p>
    <w:p w14:paraId="79BF4E8C" w14:textId="77777777" w:rsidR="00715120" w:rsidRPr="00715120" w:rsidRDefault="00715120" w:rsidP="00715120">
      <w:pPr>
        <w:spacing w:before="100" w:beforeAutospacing="1" w:after="100" w:afterAutospacing="1" w:line="240" w:lineRule="auto"/>
        <w:rPr>
          <w:rFonts w:eastAsia="Times New Roman" w:cs="Times New Roman"/>
          <w:color w:val="000000"/>
          <w:kern w:val="0"/>
          <w14:ligatures w14:val="none"/>
        </w:rPr>
      </w:pPr>
      <w:r w:rsidRPr="00715120">
        <w:rPr>
          <w:rFonts w:eastAsia="Times New Roman" w:cs="Times New Roman"/>
          <w:color w:val="000000"/>
          <w:kern w:val="0"/>
          <w14:ligatures w14:val="none"/>
        </w:rPr>
        <w:lastRenderedPageBreak/>
        <w:t>For the household, the deflationary penalty is stripped out of the contract. The real burden of their debt remains proportional to their actual, transition-era purchasing power, freeing up their remaining cash flow to support real consumption and the aggregate VAT base.</w:t>
      </w:r>
    </w:p>
    <w:p w14:paraId="75AA09FF" w14:textId="77777777" w:rsidR="008B6550" w:rsidRDefault="00715120" w:rsidP="008B6550">
      <w:pPr>
        <w:pStyle w:val="Heading4"/>
        <w:rPr>
          <w:rFonts w:eastAsia="Times New Roman"/>
        </w:rPr>
      </w:pPr>
      <w:r w:rsidRPr="00715120">
        <w:rPr>
          <w:rFonts w:eastAsia="Times New Roman"/>
        </w:rPr>
        <w:t>2. The Neutralization Transfer (Protecting the Bondholder) </w:t>
      </w:r>
    </w:p>
    <w:p w14:paraId="3B354214" w14:textId="41019B27" w:rsidR="00715120" w:rsidRPr="00715120" w:rsidRDefault="00715120" w:rsidP="00715120">
      <w:pPr>
        <w:spacing w:before="100" w:beforeAutospacing="1" w:after="100" w:afterAutospacing="1" w:line="240" w:lineRule="auto"/>
        <w:rPr>
          <w:rFonts w:eastAsia="Times New Roman" w:cs="Times New Roman"/>
          <w:color w:val="000000"/>
          <w:kern w:val="0"/>
          <w14:ligatures w14:val="none"/>
        </w:rPr>
      </w:pPr>
      <w:r w:rsidRPr="00715120">
        <w:rPr>
          <w:rFonts w:eastAsia="Times New Roman" w:cs="Times New Roman"/>
          <w:color w:val="000000"/>
          <w:kern w:val="0"/>
          <w14:ligatures w14:val="none"/>
        </w:rPr>
        <w:t>Simply reducing the household's payment would force the banking sector to absorb the loss of expected yield, eventually pushing bank equity negative. Instead, the model defines the difference between the original expected payment and the new indexed payment as the </w:t>
      </w:r>
      <w:r w:rsidRPr="00715120">
        <w:rPr>
          <w:rFonts w:eastAsia="Times New Roman" w:cs="Times New Roman"/>
          <w:i/>
          <w:iCs/>
          <w:color w:val="000000"/>
          <w:kern w:val="0"/>
          <w14:ligatures w14:val="none"/>
        </w:rPr>
        <w:t>Deflationary Gap</w:t>
      </w:r>
      <w:r w:rsidRPr="00715120">
        <w:rPr>
          <w:rFonts w:eastAsia="Times New Roman" w:cs="Times New Roman"/>
          <w:color w:val="000000"/>
          <w:kern w:val="0"/>
          <w14:ligatures w14:val="none"/>
        </w:rPr>
        <w:t> ().</w:t>
      </w:r>
    </w:p>
    <w:p w14:paraId="0534BE6E" w14:textId="3622B68B" w:rsidR="00715120" w:rsidRPr="00715120" w:rsidRDefault="00715120" w:rsidP="00715120">
      <w:pPr>
        <w:spacing w:before="100" w:beforeAutospacing="1" w:after="100" w:afterAutospacing="1" w:line="240" w:lineRule="auto"/>
        <w:rPr>
          <w:rFonts w:eastAsia="Times New Roman" w:cs="Times New Roman"/>
          <w:color w:val="000000"/>
          <w:kern w:val="0"/>
          <w14:ligatures w14:val="none"/>
        </w:rPr>
      </w:pPr>
      <w:r w:rsidRPr="00715120">
        <w:rPr>
          <w:rFonts w:eastAsia="Times New Roman" w:cs="Times New Roman"/>
          <w:color w:val="000000"/>
          <w:kern w:val="0"/>
          <w14:ligatures w14:val="none"/>
        </w:rPr>
        <w:t xml:space="preserve">The policy choice is to fund this gap through the macroeconomic state via a targeted transfer. The Government node steps in to make the banking sector whole, paying </w:t>
      </w:r>
      <w:r w:rsidR="008B6550" w:rsidRPr="00715120">
        <w:rPr>
          <w:rFonts w:eastAsia="Times New Roman" w:cs="Times New Roman"/>
          <w:color w:val="000000"/>
          <w:kern w:val="0"/>
          <w14:ligatures w14:val="none"/>
        </w:rPr>
        <w:t>the gap</w:t>
      </w:r>
      <w:r w:rsidR="008B6550">
        <w:rPr>
          <w:rFonts w:eastAsia="Times New Roman" w:cs="Times New Roman"/>
          <w:color w:val="000000"/>
          <w:kern w:val="0"/>
          <w14:ligatures w14:val="none"/>
        </w:rPr>
        <w:t xml:space="preserve"> </w:t>
      </w:r>
      <w:r w:rsidRPr="00715120">
        <w:rPr>
          <w:rFonts w:eastAsia="Times New Roman" w:cs="Times New Roman"/>
          <w:color w:val="000000"/>
          <w:kern w:val="0"/>
          <w14:ligatures w14:val="none"/>
        </w:rPr>
        <w:t>directly to the lenders.</w:t>
      </w:r>
    </w:p>
    <w:p w14:paraId="50FFEDDB" w14:textId="77777777" w:rsidR="00AF32BA" w:rsidRDefault="00715120" w:rsidP="00AF32BA">
      <w:pPr>
        <w:pStyle w:val="Heading3"/>
        <w:rPr>
          <w:rFonts w:eastAsia="Times New Roman"/>
        </w:rPr>
      </w:pPr>
      <w:r w:rsidRPr="00715120">
        <w:rPr>
          <w:rFonts w:eastAsia="Times New Roman"/>
        </w:rPr>
        <w:t>The Thermodynamic Loop: Why It Works </w:t>
      </w:r>
    </w:p>
    <w:p w14:paraId="537A282C" w14:textId="3718E46D" w:rsidR="00715120" w:rsidRPr="00715120" w:rsidRDefault="00715120" w:rsidP="00715120">
      <w:pPr>
        <w:spacing w:before="100" w:beforeAutospacing="1" w:after="100" w:afterAutospacing="1" w:line="240" w:lineRule="auto"/>
        <w:rPr>
          <w:rFonts w:eastAsia="Times New Roman" w:cs="Times New Roman"/>
          <w:color w:val="000000"/>
          <w:kern w:val="0"/>
          <w14:ligatures w14:val="none"/>
        </w:rPr>
      </w:pPr>
      <w:r w:rsidRPr="00715120">
        <w:rPr>
          <w:rFonts w:eastAsia="Times New Roman" w:cs="Times New Roman"/>
          <w:color w:val="000000"/>
          <w:kern w:val="0"/>
          <w14:ligatures w14:val="none"/>
        </w:rPr>
        <w:t>The political economy of a "bank bailout" is usually toxic, as it implies taxing human labor to save institutional capital. However, in the hyper-abundant automation scenario, this dynamic is inverted.</w:t>
      </w:r>
    </w:p>
    <w:p w14:paraId="10641241" w14:textId="77777777" w:rsidR="00715120" w:rsidRPr="00715120" w:rsidRDefault="00715120" w:rsidP="00715120">
      <w:pPr>
        <w:spacing w:before="100" w:beforeAutospacing="1" w:after="100" w:afterAutospacing="1" w:line="240" w:lineRule="auto"/>
        <w:rPr>
          <w:rFonts w:eastAsia="Times New Roman" w:cs="Times New Roman"/>
          <w:color w:val="000000"/>
          <w:kern w:val="0"/>
          <w14:ligatures w14:val="none"/>
        </w:rPr>
      </w:pPr>
      <w:r w:rsidRPr="00715120">
        <w:rPr>
          <w:rFonts w:eastAsia="Times New Roman" w:cs="Times New Roman"/>
          <w:color w:val="000000"/>
          <w:kern w:val="0"/>
          <w14:ligatures w14:val="none"/>
        </w:rPr>
        <w:t>Because the Social Wealth Trust and the Universal Basic Income keep the consumer base solvent, aggregate demand remains high. Because demand is high, the highly automated corporate sector generates immense retained earnings. The dynamic Corporate Tax and the VAT capture a portion of this massive, machine-generated surplus.</w:t>
      </w:r>
    </w:p>
    <w:p w14:paraId="6A1CFB29" w14:textId="6CC1D0FA" w:rsidR="00715120" w:rsidRPr="00715120" w:rsidRDefault="00715120" w:rsidP="00715120">
      <w:pPr>
        <w:spacing w:before="100" w:beforeAutospacing="1" w:after="100" w:afterAutospacing="1" w:line="240" w:lineRule="auto"/>
        <w:rPr>
          <w:rFonts w:eastAsia="Times New Roman" w:cs="Times New Roman"/>
          <w:color w:val="000000"/>
          <w:kern w:val="0"/>
          <w14:ligatures w14:val="none"/>
        </w:rPr>
      </w:pPr>
      <w:r w:rsidRPr="00715120">
        <w:rPr>
          <w:rFonts w:eastAsia="Times New Roman" w:cs="Times New Roman"/>
          <w:color w:val="000000"/>
          <w:kern w:val="0"/>
          <w14:ligatures w14:val="none"/>
        </w:rPr>
        <w:t>Simulation runs demonstrate that these endogenous tax receipts are sufficient to fully cover the transfer without triggering inflationary monetary issuance. The immense productivity gains of artificial intelligence are successfully taxed to peacefully dismantle the legacy debt of the human workforce. The bondholders receive their expected yield, the households keep their homes, and the transition to a high-wealth, low-wage economy crosses the "valley of death" with its financial infrastructure fully intact.</w:t>
      </w:r>
    </w:p>
    <w:p w14:paraId="0BAC93A9" w14:textId="77777777" w:rsidR="00F1012B" w:rsidRPr="00715120" w:rsidRDefault="00F1012B"/>
    <w:sectPr w:rsidR="00F1012B" w:rsidRPr="00715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120"/>
    <w:rsid w:val="0021203D"/>
    <w:rsid w:val="00311363"/>
    <w:rsid w:val="004025A0"/>
    <w:rsid w:val="00473B93"/>
    <w:rsid w:val="0053784C"/>
    <w:rsid w:val="00715120"/>
    <w:rsid w:val="007E148C"/>
    <w:rsid w:val="008B6550"/>
    <w:rsid w:val="00AF32BA"/>
    <w:rsid w:val="00F1012B"/>
    <w:rsid w:val="00F61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CBD797"/>
  <w15:chartTrackingRefBased/>
  <w15:docId w15:val="{9861AA9E-DCD0-DD4B-AC61-7FAA7B825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5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51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151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1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1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51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51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151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1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120"/>
    <w:rPr>
      <w:rFonts w:eastAsiaTheme="majorEastAsia" w:cstheme="majorBidi"/>
      <w:color w:val="272727" w:themeColor="text1" w:themeTint="D8"/>
    </w:rPr>
  </w:style>
  <w:style w:type="paragraph" w:styleId="Title">
    <w:name w:val="Title"/>
    <w:basedOn w:val="Normal"/>
    <w:next w:val="Normal"/>
    <w:link w:val="TitleChar"/>
    <w:uiPriority w:val="10"/>
    <w:qFormat/>
    <w:rsid w:val="00715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120"/>
    <w:pPr>
      <w:spacing w:before="160"/>
      <w:jc w:val="center"/>
    </w:pPr>
    <w:rPr>
      <w:i/>
      <w:iCs/>
      <w:color w:val="404040" w:themeColor="text1" w:themeTint="BF"/>
    </w:rPr>
  </w:style>
  <w:style w:type="character" w:customStyle="1" w:styleId="QuoteChar">
    <w:name w:val="Quote Char"/>
    <w:basedOn w:val="DefaultParagraphFont"/>
    <w:link w:val="Quote"/>
    <w:uiPriority w:val="29"/>
    <w:rsid w:val="00715120"/>
    <w:rPr>
      <w:i/>
      <w:iCs/>
      <w:color w:val="404040" w:themeColor="text1" w:themeTint="BF"/>
    </w:rPr>
  </w:style>
  <w:style w:type="paragraph" w:styleId="ListParagraph">
    <w:name w:val="List Paragraph"/>
    <w:basedOn w:val="Normal"/>
    <w:uiPriority w:val="34"/>
    <w:qFormat/>
    <w:rsid w:val="00715120"/>
    <w:pPr>
      <w:ind w:left="720"/>
      <w:contextualSpacing/>
    </w:pPr>
  </w:style>
  <w:style w:type="character" w:styleId="IntenseEmphasis">
    <w:name w:val="Intense Emphasis"/>
    <w:basedOn w:val="DefaultParagraphFont"/>
    <w:uiPriority w:val="21"/>
    <w:qFormat/>
    <w:rsid w:val="00715120"/>
    <w:rPr>
      <w:i/>
      <w:iCs/>
      <w:color w:val="0F4761" w:themeColor="accent1" w:themeShade="BF"/>
    </w:rPr>
  </w:style>
  <w:style w:type="paragraph" w:styleId="IntenseQuote">
    <w:name w:val="Intense Quote"/>
    <w:basedOn w:val="Normal"/>
    <w:next w:val="Normal"/>
    <w:link w:val="IntenseQuoteChar"/>
    <w:uiPriority w:val="30"/>
    <w:qFormat/>
    <w:rsid w:val="00715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120"/>
    <w:rPr>
      <w:i/>
      <w:iCs/>
      <w:color w:val="0F4761" w:themeColor="accent1" w:themeShade="BF"/>
    </w:rPr>
  </w:style>
  <w:style w:type="character" w:styleId="IntenseReference">
    <w:name w:val="Intense Reference"/>
    <w:basedOn w:val="DefaultParagraphFont"/>
    <w:uiPriority w:val="32"/>
    <w:qFormat/>
    <w:rsid w:val="00715120"/>
    <w:rPr>
      <w:b/>
      <w:bCs/>
      <w:smallCaps/>
      <w:color w:val="0F4761" w:themeColor="accent1" w:themeShade="BF"/>
      <w:spacing w:val="5"/>
    </w:rPr>
  </w:style>
  <w:style w:type="paragraph" w:styleId="NormalWeb">
    <w:name w:val="Normal (Web)"/>
    <w:basedOn w:val="Normal"/>
    <w:uiPriority w:val="99"/>
    <w:semiHidden/>
    <w:unhideWhenUsed/>
    <w:rsid w:val="007151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15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630</Words>
  <Characters>3734</Characters>
  <Application>Microsoft Office Word</Application>
  <DocSecurity>0</DocSecurity>
  <Lines>58</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Ison</dc:creator>
  <cp:keywords/>
  <dc:description/>
  <cp:lastModifiedBy>Roger Ison</cp:lastModifiedBy>
  <cp:revision>4</cp:revision>
  <dcterms:created xsi:type="dcterms:W3CDTF">2026-02-21T02:16:00Z</dcterms:created>
  <dcterms:modified xsi:type="dcterms:W3CDTF">2026-02-21T03:23:00Z</dcterms:modified>
</cp:coreProperties>
</file>