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hyperlink r:id="rId6">
        <w:r w:rsidDel="00000000" w:rsidR="00000000" w:rsidRPr="00000000">
          <w:rPr>
            <w:color w:val="1155cc"/>
            <w:u w:val="single"/>
            <w:rtl w:val="0"/>
          </w:rPr>
          <w:t xml:space="preserve">https://plato.stanford.edu/entries/schmitt/</w:t>
        </w:r>
      </w:hyperlink>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hyperlink r:id="rId7">
        <w:r w:rsidDel="00000000" w:rsidR="00000000" w:rsidRPr="00000000">
          <w:rPr>
            <w:color w:val="1155cc"/>
            <w:u w:val="single"/>
            <w:rtl w:val="0"/>
          </w:rPr>
          <w:t xml:space="preserve">https://grok.com/share/bGVnYWN5_f8ad58cb-97e7-431f-8faf-4d3b7505e77a</w:t>
        </w:r>
      </w:hyperlink>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 Readings by Key Thinkers on the State of Exception</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Below is a curated list of primary readings (and some influential secondary engagements) by Alexis de Tocqueville, Jacques Derrida, Chantal Mouffe, Carl Schmitt, Giorgio Agamben, Jacques Ellul, and Leo Tolstoy on the concept of the "state of exception" (or related ideas like emergency powers, sovereignty in crises, and suspensions of norms). Note that the "state of exception" is most explicitly theorized by Schmitt, with others engaging, critiquing, or paralleling it (e.g., Derrida deconstructs it, Mouffe adapts its implications for democracy, Tocqueville discusses analogous colonial emergencies and democratic risks, Agamben extends it to biopolitics and bare life, and Ellul and Tolstoy critique it through religious anarchy, viewing state responses to crises as idolatrous violence to be resisted via non-violent withdrawal and faith-based alternatives). I've focused on core works, with brief annotations for relevance. English translations are prioritized where available.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I've also included a section on influential pre-founding US figures (pre-1776), drawing from Enlightenment philosophers who debated sovereignty, prerogative/emergency powers, and exceptions to rule—ideas that shaped the US Constitution's checks on executive authority (e.g., Article II emergency provisions) and influenced debates on federalism and tyranny.</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 Carl Schmitt</w:t>
      </w:r>
    </w:p>
    <w:p w:rsidR="00000000" w:rsidDel="00000000" w:rsidP="00000000" w:rsidRDefault="00000000" w:rsidRPr="00000000" w14:paraId="0000000C">
      <w:pPr>
        <w:rPr/>
      </w:pPr>
      <w:r w:rsidDel="00000000" w:rsidR="00000000" w:rsidRPr="00000000">
        <w:rPr>
          <w:rtl w:val="0"/>
        </w:rPr>
        <w:t xml:space="preserve">Schmitt originated the modern concept in the 1920s, defining the sovereign as "he who decides on the exception" (a crisis suspending legal norms).</w:t>
      </w:r>
    </w:p>
    <w:p w:rsidR="00000000" w:rsidDel="00000000" w:rsidP="00000000" w:rsidRDefault="00000000" w:rsidRPr="00000000" w14:paraId="0000000D">
      <w:pPr>
        <w:rPr/>
      </w:pPr>
      <w:r w:rsidDel="00000000" w:rsidR="00000000" w:rsidRPr="00000000">
        <w:rPr>
          <w:rtl w:val="0"/>
        </w:rPr>
        <w:t xml:space="preserve">- **Political Theology: Four Chapters on the Concept of Sovereignty** (1922; trans. George Schwab, 2005, University of Chicago Press). Core text introducing the exception as a theological-secular miracle, beyond norms; critiques liberalism's inability to handle crises.</w:t>
      </w:r>
    </w:p>
    <w:p w:rsidR="00000000" w:rsidDel="00000000" w:rsidP="00000000" w:rsidRDefault="00000000" w:rsidRPr="00000000" w14:paraId="0000000E">
      <w:pPr>
        <w:rPr/>
      </w:pPr>
      <w:r w:rsidDel="00000000" w:rsidR="00000000" w:rsidRPr="00000000">
        <w:rPr>
          <w:rtl w:val="0"/>
        </w:rPr>
        <w:t xml:space="preserve">- **Dictatorship: From the Origin of the Modern Concept of Sovereignty to Proletarian Class Struggle** (1921; trans. Michael Hoelzl and Graham Ward, 2014, Polity Press). Traces commissarial (temporary) vs. sovereign (unlimited) dictatorships; analyzes how exceptions reveal true power.</w:t>
      </w:r>
    </w:p>
    <w:p w:rsidR="00000000" w:rsidDel="00000000" w:rsidP="00000000" w:rsidRDefault="00000000" w:rsidRPr="00000000" w14:paraId="0000000F">
      <w:pPr>
        <w:rPr/>
      </w:pPr>
      <w:r w:rsidDel="00000000" w:rsidR="00000000" w:rsidRPr="00000000">
        <w:rPr>
          <w:rtl w:val="0"/>
        </w:rPr>
        <w:t xml:space="preserve">- **The Concept of the Political** (1932; trans. George Schwab, 2007, University of Chicago Press). Ties exception to friend/enemy distinctions; emergencies escalate to existential decisions.</w:t>
      </w:r>
    </w:p>
    <w:p w:rsidR="00000000" w:rsidDel="00000000" w:rsidP="00000000" w:rsidRDefault="00000000" w:rsidRPr="00000000" w14:paraId="00000010">
      <w:pPr>
        <w:rPr/>
      </w:pPr>
      <w:r w:rsidDel="00000000" w:rsidR="00000000" w:rsidRPr="00000000">
        <w:rPr>
          <w:rtl w:val="0"/>
        </w:rPr>
        <w:t xml:space="preserve">- **The Nomos of the Earth in the International Law of the Jus Publicum Europaeum** (1950; trans. G. L. Ulmen, 2003, Telos Press). Later reflections on global exceptions, war brackets, and spatial orders disrupted by imperialism.</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 Chantal Mouffe</w:t>
      </w:r>
    </w:p>
    <w:p w:rsidR="00000000" w:rsidDel="00000000" w:rsidP="00000000" w:rsidRDefault="00000000" w:rsidRPr="00000000" w14:paraId="00000013">
      <w:pPr>
        <w:rPr/>
      </w:pPr>
      <w:r w:rsidDel="00000000" w:rsidR="00000000" w:rsidRPr="00000000">
        <w:rPr>
          <w:rtl w:val="0"/>
        </w:rPr>
        <w:t xml:space="preserve">Mouffe critically engages Schmitt to rethink democratic antagonism, rejecting his decisionist exception while using it to critique liberal consensus; she proposes agonism to prevent fascist escalations.</w:t>
      </w:r>
    </w:p>
    <w:p w:rsidR="00000000" w:rsidDel="00000000" w:rsidP="00000000" w:rsidRDefault="00000000" w:rsidRPr="00000000" w14:paraId="00000014">
      <w:pPr>
        <w:rPr/>
      </w:pPr>
      <w:r w:rsidDel="00000000" w:rsidR="00000000" w:rsidRPr="00000000">
        <w:rPr>
          <w:rtl w:val="0"/>
        </w:rPr>
        <w:t xml:space="preserve">- **On the Political** (2005, Routledge). Direct response to Schmitt's exception and enmity; argues for channeling conflicts democratically to avoid authoritarian suspensions.</w:t>
      </w:r>
    </w:p>
    <w:p w:rsidR="00000000" w:rsidDel="00000000" w:rsidP="00000000" w:rsidRDefault="00000000" w:rsidRPr="00000000" w14:paraId="00000015">
      <w:pPr>
        <w:rPr/>
      </w:pPr>
      <w:r w:rsidDel="00000000" w:rsidR="00000000" w:rsidRPr="00000000">
        <w:rPr>
          <w:rtl w:val="0"/>
        </w:rPr>
        <w:t xml:space="preserve">- **The Democratic Paradox** (2000, Verso). Explores tensions in liberal democracy; critiques Schmittian decisionism but retains antagonism to explain populist "exceptions."</w:t>
      </w:r>
    </w:p>
    <w:p w:rsidR="00000000" w:rsidDel="00000000" w:rsidP="00000000" w:rsidRDefault="00000000" w:rsidRPr="00000000" w14:paraId="00000016">
      <w:pPr>
        <w:rPr/>
      </w:pPr>
      <w:r w:rsidDel="00000000" w:rsidR="00000000" w:rsidRPr="00000000">
        <w:rPr>
          <w:rtl w:val="0"/>
        </w:rPr>
        <w:t xml:space="preserve">- **The Return of the Political** (1993, Verso; reissued 2005). Early engagement with Schmitt; discusses how depoliticization invites real exceptions like totalitarianism.</w:t>
      </w:r>
    </w:p>
    <w:p w:rsidR="00000000" w:rsidDel="00000000" w:rsidP="00000000" w:rsidRDefault="00000000" w:rsidRPr="00000000" w14:paraId="00000017">
      <w:pPr>
        <w:rPr/>
      </w:pPr>
      <w:r w:rsidDel="00000000" w:rsidR="00000000" w:rsidRPr="00000000">
        <w:rPr>
          <w:rtl w:val="0"/>
        </w:rPr>
        <w:t xml:space="preserve">- **The Challenge of Carl Schmitt** (ed. Chantal Mouffe, 1999, Verso). Edited volume with her contributions; examines Schmitt's influence on left politics, including exceptions in pluralism.</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 Jacques Derrida</w:t>
      </w:r>
    </w:p>
    <w:p w:rsidR="00000000" w:rsidDel="00000000" w:rsidP="00000000" w:rsidRDefault="00000000" w:rsidRPr="00000000" w14:paraId="0000001A">
      <w:pPr>
        <w:rPr/>
      </w:pPr>
      <w:r w:rsidDel="00000000" w:rsidR="00000000" w:rsidRPr="00000000">
        <w:rPr>
          <w:rtl w:val="0"/>
        </w:rPr>
        <w:t xml:space="preserve">Derrida deconstructs sovereignty and exception through undecidability, autoimmunity, and force; he critiques Schmitt directly, seeing exceptions as inherent aporias in law and democracy.</w:t>
      </w:r>
    </w:p>
    <w:p w:rsidR="00000000" w:rsidDel="00000000" w:rsidP="00000000" w:rsidRDefault="00000000" w:rsidRPr="00000000" w14:paraId="0000001B">
      <w:pPr>
        <w:rPr/>
      </w:pPr>
      <w:r w:rsidDel="00000000" w:rsidR="00000000" w:rsidRPr="00000000">
        <w:rPr>
          <w:rtl w:val="0"/>
        </w:rPr>
        <w:t xml:space="preserve">- **Rogues: Two Essays on Reason** (2003; trans. Pascale-Anne Brault and Michael Naas, 2005, Stanford University Press). Analyzes rogue states and exceptions; deconstructs sovereignty as self-undermining (autoimmunity), engaging Schmitt on decision.</w:t>
      </w:r>
    </w:p>
    <w:p w:rsidR="00000000" w:rsidDel="00000000" w:rsidP="00000000" w:rsidRDefault="00000000" w:rsidRPr="00000000" w14:paraId="0000001C">
      <w:pPr>
        <w:rPr/>
      </w:pPr>
      <w:r w:rsidDel="00000000" w:rsidR="00000000" w:rsidRPr="00000000">
        <w:rPr>
          <w:rtl w:val="0"/>
        </w:rPr>
        <w:t xml:space="preserve">- **Force of Law: The "Mystical Foundation of Authority"** (1990; trans. in Acts of Religion, 2002, Routledge). Explores justice beyond calculable law; exceptions reveal law's violent, undecidable origins.</w:t>
      </w:r>
    </w:p>
    <w:p w:rsidR="00000000" w:rsidDel="00000000" w:rsidP="00000000" w:rsidRDefault="00000000" w:rsidRPr="00000000" w14:paraId="0000001D">
      <w:pPr>
        <w:rPr/>
      </w:pPr>
      <w:r w:rsidDel="00000000" w:rsidR="00000000" w:rsidRPr="00000000">
        <w:rPr>
          <w:rtl w:val="0"/>
        </w:rPr>
        <w:t xml:space="preserve">- **The Beast and the Sovereign, Volume I** (2008 seminars; trans. Geoffrey Bennington, 2009, University of Chicago Press). Seminars on sovereignty as bestial; discusses Schmitt's exception in relation to Hobbesian fables and democratic suspensions.</w:t>
      </w:r>
    </w:p>
    <w:p w:rsidR="00000000" w:rsidDel="00000000" w:rsidP="00000000" w:rsidRDefault="00000000" w:rsidRPr="00000000" w14:paraId="0000001E">
      <w:pPr>
        <w:rPr/>
      </w:pPr>
      <w:r w:rsidDel="00000000" w:rsidR="00000000" w:rsidRPr="00000000">
        <w:rPr>
          <w:rtl w:val="0"/>
        </w:rPr>
        <w:t xml:space="preserve">- **The Beast and the Sovereign, Volume II** (2008-2009 seminars; trans. Geoffrey Bennington, 2011, University of Chicago Press). Continues on exception, messianism, and the undecidable in political theology.</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 Alexis de Tocqueville</w:t>
      </w:r>
    </w:p>
    <w:p w:rsidR="00000000" w:rsidDel="00000000" w:rsidP="00000000" w:rsidRDefault="00000000" w:rsidRPr="00000000" w14:paraId="00000021">
      <w:pPr>
        <w:rPr/>
      </w:pPr>
      <w:r w:rsidDel="00000000" w:rsidR="00000000" w:rsidRPr="00000000">
        <w:rPr>
          <w:rtl w:val="0"/>
        </w:rPr>
        <w:t xml:space="preserve">Tocqueville predates Schmitt but anticipates exception-like ideas in democratic centralization, colonial martial law, and majority tyranny; he warns of normalized emergencies eroding liberty.</w:t>
      </w:r>
    </w:p>
    <w:p w:rsidR="00000000" w:rsidDel="00000000" w:rsidP="00000000" w:rsidRDefault="00000000" w:rsidRPr="00000000" w14:paraId="00000022">
      <w:pPr>
        <w:rPr/>
      </w:pPr>
      <w:r w:rsidDel="00000000" w:rsidR="00000000" w:rsidRPr="00000000">
        <w:rPr>
          <w:rtl w:val="0"/>
        </w:rPr>
        <w:t xml:space="preserve">- **Democracy in America, Volume I** (1835; trans. Henry Reeve, revised by Francis Bowen, 1995, Vintage Classics). Discusses democratic risks like centralized war powers and exceptions in crises; sees majority as potential sovereign overriding minorities.</w:t>
      </w:r>
    </w:p>
    <w:p w:rsidR="00000000" w:rsidDel="00000000" w:rsidP="00000000" w:rsidRDefault="00000000" w:rsidRPr="00000000" w14:paraId="00000023">
      <w:pPr>
        <w:rPr/>
      </w:pPr>
      <w:r w:rsidDel="00000000" w:rsidR="00000000" w:rsidRPr="00000000">
        <w:rPr>
          <w:rtl w:val="0"/>
        </w:rPr>
        <w:t xml:space="preserve">- **Democracy in America, Volume II** (1840; same translation). Explores soft despotism and administrative centralization; parallels exceptions in how democracies normalize control during "emergencies."</w:t>
      </w:r>
    </w:p>
    <w:p w:rsidR="00000000" w:rsidDel="00000000" w:rsidP="00000000" w:rsidRDefault="00000000" w:rsidRPr="00000000" w14:paraId="00000024">
      <w:pPr>
        <w:rPr/>
      </w:pPr>
      <w:r w:rsidDel="00000000" w:rsidR="00000000" w:rsidRPr="00000000">
        <w:rPr>
          <w:rtl w:val="0"/>
        </w:rPr>
        <w:t xml:space="preserve">- **The Old Regime and the Revolution** (1856; trans. Stuart Gilbert, 1955, Anchor Books). Analyzes pre-revolutionary France; discusses how absolute sovereignty leads to exceptional abuses, influencing views on colonial Algeria's martial law.</w:t>
      </w:r>
    </w:p>
    <w:p w:rsidR="00000000" w:rsidDel="00000000" w:rsidP="00000000" w:rsidRDefault="00000000" w:rsidRPr="00000000" w14:paraId="00000025">
      <w:pPr>
        <w:rPr/>
      </w:pPr>
      <w:r w:rsidDel="00000000" w:rsidR="00000000" w:rsidRPr="00000000">
        <w:rPr>
          <w:rtl w:val="0"/>
        </w:rPr>
        <w:t xml:space="preserve">- **Writings on Empire and Slavery** (ed. Jennifer Pitts, 2001, Johns Hopkins University Press). Collects letters/essays on Algeria; critiques colonial "states of exception" (e.g., emergency rules as norm), tying to democratic theory.</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 Giorgio Agamben</w:t>
      </w:r>
    </w:p>
    <w:p w:rsidR="00000000" w:rsidDel="00000000" w:rsidP="00000000" w:rsidRDefault="00000000" w:rsidRPr="00000000" w14:paraId="00000028">
      <w:pPr>
        <w:rPr/>
      </w:pPr>
      <w:r w:rsidDel="00000000" w:rsidR="00000000" w:rsidRPr="00000000">
        <w:rPr>
          <w:rtl w:val="0"/>
        </w:rPr>
        <w:t xml:space="preserve">Agamben builds on Schmitt to argue that the state of exception has become the paradigm of modern government, reducing life to "bare life" in camps and biopolitical controls; he historicizes it from Roman iustitium to contemporary security states.</w:t>
      </w:r>
    </w:p>
    <w:p w:rsidR="00000000" w:rsidDel="00000000" w:rsidP="00000000" w:rsidRDefault="00000000" w:rsidRPr="00000000" w14:paraId="00000029">
      <w:pPr>
        <w:rPr/>
      </w:pPr>
      <w:r w:rsidDel="00000000" w:rsidR="00000000" w:rsidRPr="00000000">
        <w:rPr>
          <w:rtl w:val="0"/>
        </w:rPr>
        <w:t xml:space="preserve">- **Homo Sacer: Sovereign Power and Bare Life** (1995; trans. Daniel Heller-Roazen, 1998, Stanford University Press). Foundational text linking Schmitt's exception to biopolitics; the camp as nomos of the modern, where exception suspends rights to produce homo sacer (killable life).</w:t>
      </w:r>
    </w:p>
    <w:p w:rsidR="00000000" w:rsidDel="00000000" w:rsidP="00000000" w:rsidRDefault="00000000" w:rsidRPr="00000000" w14:paraId="0000002A">
      <w:pPr>
        <w:rPr/>
      </w:pPr>
      <w:r w:rsidDel="00000000" w:rsidR="00000000" w:rsidRPr="00000000">
        <w:rPr>
          <w:rtl w:val="0"/>
        </w:rPr>
        <w:t xml:space="preserve">- **State of Exception** (2003; trans. Kevin Attell, 2005, University of Chicago Press). Direct extension of Homo Sacer; analyzes exception as a legal void (anomie) becoming permanent, from ancient Rome to Guantánamo; critiques as tool of sovereignty.</w:t>
      </w:r>
    </w:p>
    <w:p w:rsidR="00000000" w:rsidDel="00000000" w:rsidP="00000000" w:rsidRDefault="00000000" w:rsidRPr="00000000" w14:paraId="0000002B">
      <w:pPr>
        <w:rPr/>
      </w:pPr>
      <w:r w:rsidDel="00000000" w:rsidR="00000000" w:rsidRPr="00000000">
        <w:rPr>
          <w:rtl w:val="0"/>
        </w:rPr>
        <w:t xml:space="preserve">- **Means Without End: Notes on Politics** (1996; trans. Vincenzo Binetti and Cesare Casarino, 2000, University of Minnesota Press). Essays on gesture, form-of-life, and exception; discusses irreducible life resisting sovereign capture.</w:t>
      </w:r>
    </w:p>
    <w:p w:rsidR="00000000" w:rsidDel="00000000" w:rsidP="00000000" w:rsidRDefault="00000000" w:rsidRPr="00000000" w14:paraId="0000002C">
      <w:pPr>
        <w:rPr/>
      </w:pPr>
      <w:r w:rsidDel="00000000" w:rsidR="00000000" w:rsidRPr="00000000">
        <w:rPr>
          <w:rtl w:val="0"/>
        </w:rPr>
        <w:t xml:space="preserve">- **The Kingdom and the Glory: For a Theological Genealogy of Economy and Government** (2007; trans. Lorenzo Chiesa, 2011, Stanford University Press). Explores oikonomia (management) in theology; ties exception to divine providence and modern governance.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 Jacques Ellul</w:t>
      </w:r>
    </w:p>
    <w:p w:rsidR="00000000" w:rsidDel="00000000" w:rsidP="00000000" w:rsidRDefault="00000000" w:rsidRPr="00000000" w14:paraId="0000002F">
      <w:pPr>
        <w:rPr/>
      </w:pPr>
      <w:r w:rsidDel="00000000" w:rsidR="00000000" w:rsidRPr="00000000">
        <w:rPr>
          <w:rtl w:val="0"/>
        </w:rPr>
        <w:t xml:space="preserve">Ellul, a Christian anarchist, critiques the state as "principalities and powers" that exploit crises (e.g., wars, technological overreach) to justify exceptional controls, advocating subversive non-participation and prophetic communities as alternatives to state idolatry.</w:t>
      </w:r>
    </w:p>
    <w:p w:rsidR="00000000" w:rsidDel="00000000" w:rsidP="00000000" w:rsidRDefault="00000000" w:rsidRPr="00000000" w14:paraId="00000030">
      <w:pPr>
        <w:rPr/>
      </w:pPr>
      <w:r w:rsidDel="00000000" w:rsidR="00000000" w:rsidRPr="00000000">
        <w:rPr>
          <w:rtl w:val="0"/>
        </w:rPr>
        <w:t xml:space="preserve">- **Anarchy and Christianity** (1988; trans. Geoffrey W. Bromiley, 1991, Eerdmans). Core text arguing for pacifist, antidemocratic anarchism rooted in biblical rejection of state authority; critiques how modern crises amplify bureaucratic power, proposing faith-based resistance without violence.</w:t>
      </w:r>
    </w:p>
    <w:p w:rsidR="00000000" w:rsidDel="00000000" w:rsidP="00000000" w:rsidRDefault="00000000" w:rsidRPr="00000000" w14:paraId="00000031">
      <w:pPr>
        <w:rPr/>
      </w:pPr>
      <w:r w:rsidDel="00000000" w:rsidR="00000000" w:rsidRPr="00000000">
        <w:rPr>
          <w:rtl w:val="0"/>
        </w:rPr>
        <w:t xml:space="preserve">- **The Political Illusion** (1965; trans. Konrad Kellen, 1967, Knopf). Analyzes politics as a deceptive myth; discusses how states use emergencies (e.g., wars, social unrest) to centralize control, urging Christians to disengage from illusory solutions.</w:t>
      </w:r>
    </w:p>
    <w:p w:rsidR="00000000" w:rsidDel="00000000" w:rsidP="00000000" w:rsidRDefault="00000000" w:rsidRPr="00000000" w14:paraId="00000032">
      <w:pPr>
        <w:rPr/>
      </w:pPr>
      <w:r w:rsidDel="00000000" w:rsidR="00000000" w:rsidRPr="00000000">
        <w:rPr>
          <w:rtl w:val="0"/>
        </w:rPr>
        <w:t xml:space="preserve">- **Violence: Reflections from a Christian Perspective** (1969; trans. Cecelia Gaul Kings, 1969, Seabury Press). Examines violence as inherent to state responses in crises; advocates non-violent anarchy as the true Christian path, drawing on biblical "principalities" to subvert exceptional measures.</w:t>
      </w:r>
    </w:p>
    <w:p w:rsidR="00000000" w:rsidDel="00000000" w:rsidP="00000000" w:rsidRDefault="00000000" w:rsidRPr="00000000" w14:paraId="00000033">
      <w:pPr>
        <w:rPr/>
      </w:pPr>
      <w:r w:rsidDel="00000000" w:rsidR="00000000" w:rsidRPr="00000000">
        <w:rPr>
          <w:rtl w:val="0"/>
        </w:rPr>
        <w:t xml:space="preserve">- **Jesus and Marx: From Gospel to Ideology** (1979; trans. Joyce Main Hanks, 1988, Eerdmans). Critiques Marxist and state ideologies for justifying violence in revolutions or exceptions; contrasts with gospel-based anarchy that rejects power in favor of love and community.</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 Leo Tolstoy</w:t>
      </w:r>
    </w:p>
    <w:p w:rsidR="00000000" w:rsidDel="00000000" w:rsidP="00000000" w:rsidRDefault="00000000" w:rsidRPr="00000000" w14:paraId="00000036">
      <w:pPr>
        <w:rPr/>
      </w:pPr>
      <w:r w:rsidDel="00000000" w:rsidR="00000000" w:rsidRPr="00000000">
        <w:rPr>
          <w:rtl w:val="0"/>
        </w:rPr>
        <w:t xml:space="preserve">Tolstoy, as a Christian anarchist, views state exceptions in crises (e.g., wars, famines) as cycles of violence contradicting Christ's non-resistance; he calls for conscientious refusal and communal living to dissolve state authority.</w:t>
      </w:r>
    </w:p>
    <w:p w:rsidR="00000000" w:rsidDel="00000000" w:rsidP="00000000" w:rsidRDefault="00000000" w:rsidRPr="00000000" w14:paraId="00000037">
      <w:pPr>
        <w:rPr/>
      </w:pPr>
      <w:r w:rsidDel="00000000" w:rsidR="00000000" w:rsidRPr="00000000">
        <w:rPr>
          <w:rtl w:val="0"/>
        </w:rPr>
        <w:t xml:space="preserve">- **The Kingdom of God Is Within You** (1894; trans. Constance Garnett, 1894, various editions). Seminal work on non-resistance to evil; critiques state violence in crises as incompatible with Christianity, advocating anarchy through personal refusal and peaceful agrarian communities.</w:t>
      </w:r>
    </w:p>
    <w:p w:rsidR="00000000" w:rsidDel="00000000" w:rsidP="00000000" w:rsidRDefault="00000000" w:rsidRPr="00000000" w14:paraId="00000038">
      <w:pPr>
        <w:rPr/>
      </w:pPr>
      <w:r w:rsidDel="00000000" w:rsidR="00000000" w:rsidRPr="00000000">
        <w:rPr>
          <w:rtl w:val="0"/>
        </w:rPr>
        <w:t xml:space="preserve">- **What I Believe** (1884; trans. Aylmer Maude, 1902, various editions). Outlines Christian faith as absolute pacifism; argues against state coercion in emergencies, emphasizing love and non-participation to break cycles of violence.</w:t>
      </w:r>
    </w:p>
    <w:p w:rsidR="00000000" w:rsidDel="00000000" w:rsidP="00000000" w:rsidRDefault="00000000" w:rsidRPr="00000000" w14:paraId="00000039">
      <w:pPr>
        <w:rPr/>
      </w:pPr>
      <w:r w:rsidDel="00000000" w:rsidR="00000000" w:rsidRPr="00000000">
        <w:rPr>
          <w:rtl w:val="0"/>
        </w:rPr>
        <w:t xml:space="preserve">- **Christianity and Patriotism** (1894; trans. various, included in collections like *Writings on Civil Disobedience and Nonviolence*). Condemns patriotic ideologies that justify exceptional wars or repressions; proposes anarchist non-resistance as the path to true peace in social upheavals.</w:t>
      </w:r>
    </w:p>
    <w:p w:rsidR="00000000" w:rsidDel="00000000" w:rsidP="00000000" w:rsidRDefault="00000000" w:rsidRPr="00000000" w14:paraId="0000003A">
      <w:pPr>
        <w:rPr/>
      </w:pPr>
      <w:r w:rsidDel="00000000" w:rsidR="00000000" w:rsidRPr="00000000">
        <w:rPr>
          <w:rtl w:val="0"/>
        </w:rPr>
        <w:t xml:space="preserve">- **What a Christian May and May Not Do** (1887; trans. various, available in online archives). Short essay on ethical limits; rejects violence and state service even in crises, urging believers to resist evil through forgiveness and non-cooperation.</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 Influential Figures in the Pre-Founding US Debate (Pre-1776)</w:t>
      </w:r>
    </w:p>
    <w:p w:rsidR="00000000" w:rsidDel="00000000" w:rsidP="00000000" w:rsidRDefault="00000000" w:rsidRPr="00000000" w14:paraId="0000003D">
      <w:pPr>
        <w:rPr/>
      </w:pPr>
      <w:r w:rsidDel="00000000" w:rsidR="00000000" w:rsidRPr="00000000">
        <w:rPr>
          <w:rtl w:val="0"/>
        </w:rPr>
        <w:t xml:space="preserve">These Enlightenment philosophers shaped the Founders' views on sovereignty (absolute vs. limited) and emergency powers (prerogative to act beyond law in crises), influencing the Constitution's separation of powers and aversion to unchecked exceptions. The "great debate" involved absolutism vs. contractualism, with ideas from republicanism and natural rights. Key figures include:</w:t>
      </w:r>
    </w:p>
    <w:p w:rsidR="00000000" w:rsidDel="00000000" w:rsidP="00000000" w:rsidRDefault="00000000" w:rsidRPr="00000000" w14:paraId="0000003E">
      <w:pPr>
        <w:rPr/>
      </w:pPr>
      <w:r w:rsidDel="00000000" w:rsidR="00000000" w:rsidRPr="00000000">
        <w:rPr>
          <w:rtl w:val="0"/>
        </w:rPr>
        <w:t xml:space="preserve">- **Thomas Hobbes**: *Leviathan* (1651). Argues for absolute sovereign to prevent chaos; emergencies justify unlimited power, no exceptions needed as all is sovereign will. Influenced Federalists on strong executive.</w:t>
      </w:r>
    </w:p>
    <w:p w:rsidR="00000000" w:rsidDel="00000000" w:rsidP="00000000" w:rsidRDefault="00000000" w:rsidRPr="00000000" w14:paraId="0000003F">
      <w:pPr>
        <w:rPr/>
      </w:pPr>
      <w:r w:rsidDel="00000000" w:rsidR="00000000" w:rsidRPr="00000000">
        <w:rPr>
          <w:rtl w:val="0"/>
        </w:rPr>
        <w:t xml:space="preserve">- **John Locke**: *Two Treatises of Government* (1689). Introduces "prerogative" (executive emergency powers beyond law for public good); sovereignty from consent, revocable if abused. Directly shaped Jefferson's Declaration.</w:t>
      </w:r>
    </w:p>
    <w:p w:rsidR="00000000" w:rsidDel="00000000" w:rsidP="00000000" w:rsidRDefault="00000000" w:rsidRPr="00000000" w14:paraId="00000040">
      <w:pPr>
        <w:rPr/>
      </w:pPr>
      <w:r w:rsidDel="00000000" w:rsidR="00000000" w:rsidRPr="00000000">
        <w:rPr>
          <w:rtl w:val="0"/>
        </w:rPr>
        <w:t xml:space="preserve">- **Baron de Montesquieu**: *The Spirit of the Laws* (1748). Advocates separation of powers to prevent tyrannical exceptions; sovereignty divided to check emergencies. Key for Madison's Federalist No. 47.</w:t>
      </w:r>
    </w:p>
    <w:p w:rsidR="00000000" w:rsidDel="00000000" w:rsidP="00000000" w:rsidRDefault="00000000" w:rsidRPr="00000000" w14:paraId="00000041">
      <w:pPr>
        <w:rPr/>
      </w:pPr>
      <w:r w:rsidDel="00000000" w:rsidR="00000000" w:rsidRPr="00000000">
        <w:rPr>
          <w:rtl w:val="0"/>
        </w:rPr>
        <w:t xml:space="preserve">- **Jean-Jacques Rousseau**: *The Social Contract* (1762). General will as sovereign; emergencies risk corruption if not collective. Influenced Paine and revolutionary rhetoric on popular sovereignty.</w:t>
      </w:r>
    </w:p>
    <w:p w:rsidR="00000000" w:rsidDel="00000000" w:rsidP="00000000" w:rsidRDefault="00000000" w:rsidRPr="00000000" w14:paraId="00000042">
      <w:pPr>
        <w:rPr/>
      </w:pPr>
      <w:r w:rsidDel="00000000" w:rsidR="00000000" w:rsidRPr="00000000">
        <w:rPr>
          <w:rtl w:val="0"/>
        </w:rPr>
        <w:t xml:space="preserve">- **Jean Bodin**: *Six Books of the Commonwealth* (1576). Defines absolute sovereignty; exceptions inherent to ruler's indivisible power. Precursor to Hobbes, critiqued by Locke.</w:t>
      </w:r>
    </w:p>
    <w:p w:rsidR="00000000" w:rsidDel="00000000" w:rsidP="00000000" w:rsidRDefault="00000000" w:rsidRPr="00000000" w14:paraId="00000043">
      <w:pPr>
        <w:rPr/>
      </w:pPr>
      <w:r w:rsidDel="00000000" w:rsidR="00000000" w:rsidRPr="00000000">
        <w:rPr>
          <w:rtl w:val="0"/>
        </w:rPr>
        <w:t xml:space="preserve">- **Hugo Grotius**: *On the Law of War and Peace* (1625). Natural law limits sovereign in emergencies; just war and international exceptions. Influenced Founders on treaties and war powers.</w:t>
      </w:r>
    </w:p>
    <w:p w:rsidR="00000000" w:rsidDel="00000000" w:rsidP="00000000" w:rsidRDefault="00000000" w:rsidRPr="00000000" w14:paraId="00000044">
      <w:pPr>
        <w:rPr/>
      </w:pPr>
      <w:r w:rsidDel="00000000" w:rsidR="00000000" w:rsidRPr="00000000">
        <w:rPr>
          <w:rtl w:val="0"/>
        </w:rPr>
        <w:t xml:space="preserve">- **Samuel von Pufendorf**: *On the Duty of Man and Citizen* (1673). Balances absolute sovereignty with natural rights; emergencies require moral checks. Bridged Grotius to Locke.</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This list prioritizes accessibility and direct relevance; for deeper dives, pair with secondary texts like Giorgio Agamben's *State of Exception* (2005), which bridges Schmitt, Derrida, and historical precedents, or Alexandre Christoyannopoulos's *Christian Anarchism* (2010) for Ellul and Tolstoy contexts. If you need excerpts, editions, or expansions for your class, let me know!</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5f4ef" w:val="clear"/>
        <w:spacing w:after="0" w:before="0" w:line="330" w:lineRule="auto"/>
        <w:jc w:val="center"/>
        <w:rPr>
          <w:rFonts w:ascii="Georgia" w:cs="Georgia" w:eastAsia="Georgia" w:hAnsi="Georgia"/>
          <w:color w:val="0d0d0d"/>
          <w:sz w:val="60"/>
          <w:szCs w:val="60"/>
        </w:rPr>
      </w:pPr>
      <w:bookmarkStart w:colFirst="0" w:colLast="0" w:name="_oelbnxtlr3bu" w:id="0"/>
      <w:bookmarkEnd w:id="0"/>
      <w:r w:rsidDel="00000000" w:rsidR="00000000" w:rsidRPr="00000000">
        <w:rPr>
          <w:rFonts w:ascii="Georgia" w:cs="Georgia" w:eastAsia="Georgia" w:hAnsi="Georgia"/>
          <w:color w:val="0d0d0d"/>
          <w:sz w:val="60"/>
          <w:szCs w:val="60"/>
          <w:rtl w:val="0"/>
        </w:rPr>
        <w:t xml:space="preserve">De Tocqueville and the French exception</w:t>
      </w:r>
    </w:p>
    <w:p w:rsidR="00000000" w:rsidDel="00000000" w:rsidP="00000000" w:rsidRDefault="00000000" w:rsidRPr="00000000" w14:paraId="0000004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5f4ef" w:val="clear"/>
        <w:spacing w:after="0" w:before="240" w:line="280" w:lineRule="auto"/>
        <w:jc w:val="center"/>
        <w:rPr>
          <w:rFonts w:ascii="Georgia" w:cs="Georgia" w:eastAsia="Georgia" w:hAnsi="Georgia"/>
          <w:color w:val="0d0d0d"/>
          <w:sz w:val="30"/>
          <w:szCs w:val="30"/>
        </w:rPr>
      </w:pPr>
      <w:bookmarkStart w:colFirst="0" w:colLast="0" w:name="_p7qy27rp33fp" w:id="1"/>
      <w:bookmarkEnd w:id="1"/>
      <w:r w:rsidDel="00000000" w:rsidR="00000000" w:rsidRPr="00000000">
        <w:rPr>
          <w:rFonts w:ascii="Georgia" w:cs="Georgia" w:eastAsia="Georgia" w:hAnsi="Georgia"/>
          <w:color w:val="0d0d0d"/>
          <w:sz w:val="30"/>
          <w:szCs w:val="30"/>
          <w:rtl w:val="0"/>
        </w:rPr>
        <w:t xml:space="preserve">The gloomiest of the great liberals worried that democracy might not be compatible with liberty</w:t>
      </w:r>
    </w:p>
    <w:p w:rsidR="00000000" w:rsidDel="00000000" w:rsidP="00000000" w:rsidRDefault="00000000" w:rsidRPr="00000000" w14:paraId="0000004B">
      <w:pPr>
        <w:rPr>
          <w:rFonts w:ascii="Georgia" w:cs="Georgia" w:eastAsia="Georgia" w:hAnsi="Georgia"/>
          <w:color w:val="0d0d0d"/>
          <w:sz w:val="30"/>
          <w:szCs w:val="30"/>
        </w:rPr>
      </w:pPr>
      <w:r w:rsidDel="00000000" w:rsidR="00000000" w:rsidRPr="00000000">
        <w:rPr>
          <w:rFonts w:ascii="Georgia" w:cs="Georgia" w:eastAsia="Georgia" w:hAnsi="Georgia"/>
          <w:color w:val="0d0d0d"/>
          <w:sz w:val="30"/>
          <w:szCs w:val="30"/>
        </w:rPr>
        <w:drawing>
          <wp:inline distB="114300" distT="114300" distL="114300" distR="114300">
            <wp:extent cx="635000" cy="6350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rPr>
          <w:rFonts w:ascii="Georgia" w:cs="Georgia" w:eastAsia="Georgia" w:hAnsi="Georgia"/>
          <w:color w:val="0d0d0d"/>
          <w:sz w:val="30"/>
          <w:szCs w:val="30"/>
        </w:rPr>
      </w:pPr>
      <w:r w:rsidDel="00000000" w:rsidR="00000000" w:rsidRPr="00000000">
        <w:rPr>
          <w:rtl w:val="0"/>
        </w:rPr>
      </w:r>
    </w:p>
    <w:p w:rsidR="00000000" w:rsidDel="00000000" w:rsidP="00000000" w:rsidRDefault="00000000" w:rsidRPr="00000000" w14:paraId="0000004D">
      <w:pPr>
        <w:pStyle w:val="Heading2"/>
        <w:rPr/>
      </w:pPr>
      <w:bookmarkStart w:colFirst="0" w:colLast="0" w:name="_9byh8j6zycc5" w:id="2"/>
      <w:bookmarkEnd w:id="2"/>
      <w:r w:rsidDel="00000000" w:rsidR="00000000" w:rsidRPr="00000000">
        <w:rPr>
          <w:rtl w:val="0"/>
        </w:rPr>
        <w:t xml:space="preserve">The Economist (date unknown)</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color w:val="595959"/>
          <w:sz w:val="23"/>
          <w:szCs w:val="23"/>
        </w:rPr>
      </w:pPr>
      <w:r w:rsidDel="00000000" w:rsidR="00000000" w:rsidRPr="00000000">
        <w:rPr>
          <w:color w:val="595959"/>
          <w:sz w:val="23"/>
          <w:szCs w:val="23"/>
          <w:rtl w:val="0"/>
        </w:rPr>
        <w:t xml:space="preserve">Image: Pablo Amargo</w:t>
      </w:r>
    </w:p>
    <w:p w:rsidR="00000000" w:rsidDel="00000000" w:rsidP="00000000" w:rsidRDefault="00000000" w:rsidRPr="00000000" w14:paraId="00000050">
      <w:pPr>
        <w:spacing w:after="220" w:line="240" w:lineRule="auto"/>
        <w:rPr>
          <w:rFonts w:ascii="Georgia" w:cs="Georgia" w:eastAsia="Georgia" w:hAnsi="Georgia"/>
          <w:color w:val="0d0d0d"/>
          <w:sz w:val="30"/>
          <w:szCs w:val="30"/>
        </w:rPr>
      </w:pPr>
      <w:r w:rsidDel="00000000" w:rsidR="00000000" w:rsidRPr="00000000">
        <w:rPr>
          <w:rFonts w:ascii="Georgia" w:cs="Georgia" w:eastAsia="Georgia" w:hAnsi="Georgia"/>
          <w:color w:val="0d0d0d"/>
          <w:sz w:val="89"/>
          <w:szCs w:val="89"/>
          <w:rtl w:val="0"/>
        </w:rPr>
        <w:t xml:space="preserve">H</w:t>
      </w:r>
      <w:r w:rsidDel="00000000" w:rsidR="00000000" w:rsidRPr="00000000">
        <w:rPr>
          <w:rFonts w:ascii="Georgia" w:cs="Georgia" w:eastAsia="Georgia" w:hAnsi="Georgia"/>
          <w:color w:val="0d0d0d"/>
          <w:sz w:val="30"/>
          <w:szCs w:val="30"/>
          <w:rtl w:val="0"/>
        </w:rPr>
        <w:t xml:space="preserve">e is the most unusual member of the liberal pantheon. Liberalism has usually been at its most vigorous among the Anglo-American middle classes. By contrast, Alexis de Tocqueville was a proud member of the French aristocracy. Liberalism tends to be marinated in optimism to such an extent that it sometimes shades into naivety. Tocqueville believed that liberal optimism needs to be served with a side-order of pessimism. Far from being automatic, progress depends on wise government and sensible policy.</w:t>
      </w:r>
    </w:p>
    <w:p w:rsidR="00000000" w:rsidDel="00000000" w:rsidP="00000000" w:rsidRDefault="00000000" w:rsidRPr="00000000" w14:paraId="00000051">
      <w:pPr>
        <w:spacing w:after="220" w:line="420" w:lineRule="auto"/>
        <w:rPr>
          <w:rFonts w:ascii="Georgia" w:cs="Georgia" w:eastAsia="Georgia" w:hAnsi="Georgia"/>
          <w:color w:val="0d0d0d"/>
          <w:sz w:val="30"/>
          <w:szCs w:val="30"/>
        </w:rPr>
      </w:pPr>
      <w:r w:rsidDel="00000000" w:rsidR="00000000" w:rsidRPr="00000000">
        <w:rPr>
          <w:rFonts w:ascii="Georgia" w:cs="Georgia" w:eastAsia="Georgia" w:hAnsi="Georgia"/>
          <w:color w:val="0d0d0d"/>
          <w:sz w:val="30"/>
          <w:szCs w:val="30"/>
          <w:rtl w:val="0"/>
        </w:rPr>
        <w:t xml:space="preserve">He also ranks among the greats. He wrote classic studies of two engines of the emerging liberal order: “Democracy in America” (1835-40) and “The Old Regime and the French Revolution” (1856). He also helped shape French liberalism, both as a political activist and as a thinker. He was a leading participant in the “Great Debate” of the 1820s between liberals and ultra-Royalists about the future direction of France. In 1849 he served briefly as foreign minister (he died a decade later). He broadened the liberal tradition by subjecting the bland pieties of the Anglo-American middle class to a certain aristocratic disdain; and he deepened it by pointing to the growing dangers of bureaucratic centralisation. Better than any other liberal, Tocqueville understood the importance of ensuring that the collective business of society is done as much as possible by the people themselves, through voluntary effort, rather than by the government.</w:t>
      </w:r>
    </w:p>
    <w:p w:rsidR="00000000" w:rsidDel="00000000" w:rsidP="00000000" w:rsidRDefault="00000000" w:rsidRPr="00000000" w14:paraId="00000052">
      <w:pPr>
        <w:pStyle w:val="Heading3"/>
        <w:keepNext w:val="0"/>
        <w:keepLines w:val="0"/>
        <w:pBdr>
          <w:top w:color="auto" w:space="0" w:sz="0" w:val="none"/>
          <w:left w:color="auto" w:space="0" w:sz="0" w:val="none"/>
          <w:bottom w:color="b3b3b3" w:space="0" w:sz="4" w:val="single"/>
          <w:right w:color="auto" w:space="0" w:sz="0" w:val="none"/>
        </w:pBdr>
        <w:shd w:fill="f5f4ef" w:val="clear"/>
        <w:spacing w:after="760" w:before="520" w:line="296.47058823529414" w:lineRule="auto"/>
        <w:rPr>
          <w:b w:val="1"/>
          <w:color w:val="000000"/>
          <w:sz w:val="30"/>
          <w:szCs w:val="30"/>
        </w:rPr>
      </w:pPr>
      <w:bookmarkStart w:colFirst="0" w:colLast="0" w:name="_2rocswuna4vr" w:id="3"/>
      <w:bookmarkEnd w:id="3"/>
      <w:r w:rsidDel="00000000" w:rsidR="00000000" w:rsidRPr="00000000">
        <w:rPr>
          <w:b w:val="1"/>
          <w:color w:val="000000"/>
          <w:sz w:val="30"/>
          <w:szCs w:val="30"/>
          <w:rtl w:val="0"/>
        </w:rPr>
        <w:t xml:space="preserve">In this primer</w:t>
      </w:r>
    </w:p>
    <w:p w:rsidR="00000000" w:rsidDel="00000000" w:rsidP="00000000" w:rsidRDefault="00000000" w:rsidRPr="00000000" w14:paraId="00000053">
      <w:pPr>
        <w:numPr>
          <w:ilvl w:val="0"/>
          <w:numId w:val="1"/>
        </w:numPr>
        <w:pBdr>
          <w:top w:color="auto" w:space="0" w:sz="0" w:val="none"/>
          <w:bottom w:color="auto" w:space="0" w:sz="0" w:val="none"/>
          <w:right w:color="auto" w:space="0" w:sz="0" w:val="none"/>
          <w:between w:color="auto" w:space="0" w:sz="0" w:val="none"/>
        </w:pBdr>
        <w:spacing w:after="0" w:afterAutospacing="0" w:before="640" w:line="335.99999999999994" w:lineRule="auto"/>
        <w:ind w:left="1000" w:hanging="360"/>
      </w:pPr>
      <w:r w:rsidDel="00000000" w:rsidR="00000000" w:rsidRPr="00000000">
        <w:rPr>
          <w:sz w:val="30"/>
          <w:szCs w:val="30"/>
          <w:rtl w:val="0"/>
        </w:rPr>
        <w:t xml:space="preserve">Alexis de Tocqueville, a French aristocratic liberal thinker, believed that it was impossible to have liberty without democracy, but that it was possible to have democracy without liberty. He warned about the dangers of democracy leading to centralised power, reducing citizens to “helpless atoms”.</w:t>
      </w:r>
    </w:p>
    <w:p w:rsidR="00000000" w:rsidDel="00000000" w:rsidP="00000000" w:rsidRDefault="00000000" w:rsidRPr="00000000" w14:paraId="00000054">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335.99999999999994" w:lineRule="auto"/>
        <w:ind w:left="1000" w:hanging="360"/>
      </w:pPr>
      <w:r w:rsidDel="00000000" w:rsidR="00000000" w:rsidRPr="00000000">
        <w:rPr>
          <w:sz w:val="30"/>
          <w:szCs w:val="30"/>
          <w:rtl w:val="0"/>
        </w:rPr>
        <w:t xml:space="preserve">Tocqueville admired America’s successful combination of democracy and liberty, crediting its dispersal of power, with checks and balances at the federal level and with local governments and civic institutions playing an intermediary role in people’s lives.</w:t>
      </w:r>
    </w:p>
    <w:p w:rsidR="00000000" w:rsidDel="00000000" w:rsidP="00000000" w:rsidRDefault="00000000" w:rsidRPr="00000000" w14:paraId="00000055">
      <w:pPr>
        <w:numPr>
          <w:ilvl w:val="0"/>
          <w:numId w:val="1"/>
        </w:numPr>
        <w:pBdr>
          <w:top w:color="auto" w:space="0" w:sz="0" w:val="none"/>
          <w:bottom w:color="auto" w:space="0" w:sz="0" w:val="none"/>
          <w:right w:color="auto" w:space="0" w:sz="0" w:val="none"/>
          <w:between w:color="auto" w:space="0" w:sz="0" w:val="none"/>
        </w:pBdr>
        <w:spacing w:after="520" w:before="0" w:beforeAutospacing="0" w:line="335.99999999999994" w:lineRule="auto"/>
        <w:ind w:left="1000" w:hanging="360"/>
      </w:pPr>
      <w:r w:rsidDel="00000000" w:rsidR="00000000" w:rsidRPr="00000000">
        <w:rPr>
          <w:sz w:val="30"/>
          <w:szCs w:val="30"/>
          <w:rtl w:val="0"/>
        </w:rPr>
        <w:t xml:space="preserve">Tocqueville's warnings about the dangers of concentrated power remain strikingly relevant today as democratic societies face threats from populism, tech monopolies and the erosion of intermediate institutions that serve as buffers between individuals and centralised authority.</w:t>
      </w:r>
    </w:p>
    <w:p w:rsidR="00000000" w:rsidDel="00000000" w:rsidP="00000000" w:rsidRDefault="00000000" w:rsidRPr="00000000" w14:paraId="00000056">
      <w:pPr>
        <w:spacing w:after="220" w:line="420" w:lineRule="auto"/>
        <w:rPr>
          <w:rFonts w:ascii="Georgia" w:cs="Georgia" w:eastAsia="Georgia" w:hAnsi="Georgia"/>
          <w:color w:val="0d0d0d"/>
          <w:sz w:val="30"/>
          <w:szCs w:val="30"/>
        </w:rPr>
      </w:pPr>
      <w:r w:rsidDel="00000000" w:rsidR="00000000" w:rsidRPr="00000000">
        <w:rPr>
          <w:rFonts w:ascii="Georgia" w:cs="Georgia" w:eastAsia="Georgia" w:hAnsi="Georgia"/>
          <w:color w:val="0d0d0d"/>
          <w:sz w:val="30"/>
          <w:szCs w:val="30"/>
          <w:rtl w:val="0"/>
        </w:rPr>
        <w:t xml:space="preserve">Tocqueville’s liberalism was driven by two forces. The first was his fierce commitment to the sanctity of the individual. The purpose of politics was to protect people’s rights (particularly the right to free discussion) and to give them scope to develop their abilities to the full. The second was his unshakable belief that the future lay with “democracy”. By that he meant more than just parliamentary democracy with its principle of elections and wide suffrage. He meant a society based on equality.</w:t>
      </w:r>
    </w:p>
    <w:p w:rsidR="00000000" w:rsidDel="00000000" w:rsidP="00000000" w:rsidRDefault="00000000" w:rsidRPr="00000000" w14:paraId="00000057">
      <w:pPr>
        <w:spacing w:after="220" w:line="420" w:lineRule="auto"/>
        <w:rPr>
          <w:rFonts w:ascii="Georgia" w:cs="Georgia" w:eastAsia="Georgia" w:hAnsi="Georgia"/>
          <w:color w:val="0d0d0d"/>
          <w:sz w:val="30"/>
          <w:szCs w:val="30"/>
        </w:rPr>
      </w:pPr>
      <w:r w:rsidDel="00000000" w:rsidR="00000000" w:rsidRPr="00000000">
        <w:rPr>
          <w:rFonts w:ascii="Georgia" w:cs="Georgia" w:eastAsia="Georgia" w:hAnsi="Georgia"/>
          <w:color w:val="0d0d0d"/>
          <w:sz w:val="30"/>
          <w:szCs w:val="30"/>
          <w:rtl w:val="0"/>
        </w:rPr>
        <w:t xml:space="preserve">The old regime was predicated on the belief that society was divided into fixed classes. Some people are born to rule and others to serve. Rulers like Tocqueville’s family in Normandy inherited responsibilities as well as privileges. They were morally bound to look after “their people” and serve “their country”. Democratic society was based on the idea that all people were born equal. They came into the world as individuals rather than as aristocrats or peasants. Their greatest responsibility was to make the most of their abilities.</w:t>
      </w:r>
    </w:p>
    <w:p w:rsidR="00000000" w:rsidDel="00000000" w:rsidP="00000000" w:rsidRDefault="00000000" w:rsidRPr="00000000" w14:paraId="00000058">
      <w:pPr>
        <w:pStyle w:val="Heading2"/>
        <w:keepNext w:val="0"/>
        <w:keepLines w:val="0"/>
        <w:pBdr>
          <w:top w:color="auto" w:space="0" w:sz="0" w:val="none"/>
          <w:left w:color="auto" w:space="24" w:sz="0" w:val="none"/>
          <w:bottom w:color="auto" w:space="0" w:sz="0" w:val="none"/>
          <w:right w:color="auto" w:space="24" w:sz="0" w:val="none"/>
          <w:between w:color="auto" w:space="0" w:sz="0" w:val="none"/>
        </w:pBdr>
        <w:spacing w:after="0" w:before="0" w:line="280" w:lineRule="auto"/>
        <w:rPr>
          <w:rFonts w:ascii="Georgia" w:cs="Georgia" w:eastAsia="Georgia" w:hAnsi="Georgia"/>
          <w:b w:val="1"/>
          <w:color w:val="0d0d0d"/>
          <w:sz w:val="30"/>
          <w:szCs w:val="30"/>
        </w:rPr>
      </w:pPr>
      <w:bookmarkStart w:colFirst="0" w:colLast="0" w:name="_ss44uce9avst" w:id="4"/>
      <w:bookmarkEnd w:id="4"/>
      <w:r w:rsidDel="00000000" w:rsidR="00000000" w:rsidRPr="00000000">
        <w:rPr>
          <w:rFonts w:ascii="Georgia" w:cs="Georgia" w:eastAsia="Georgia" w:hAnsi="Georgia"/>
          <w:b w:val="1"/>
          <w:color w:val="0d0d0d"/>
          <w:sz w:val="30"/>
          <w:szCs w:val="30"/>
          <w:rtl w:val="0"/>
        </w:rPr>
        <w:t xml:space="preserve">Terror and the state</w:t>
      </w:r>
    </w:p>
    <w:p w:rsidR="00000000" w:rsidDel="00000000" w:rsidP="00000000" w:rsidRDefault="00000000" w:rsidRPr="00000000" w14:paraId="00000059">
      <w:pPr>
        <w:spacing w:after="220" w:line="420" w:lineRule="auto"/>
        <w:rPr>
          <w:rFonts w:ascii="Georgia" w:cs="Georgia" w:eastAsia="Georgia" w:hAnsi="Georgia"/>
          <w:color w:val="0d0d0d"/>
          <w:sz w:val="30"/>
          <w:szCs w:val="30"/>
        </w:rPr>
      </w:pPr>
      <w:r w:rsidDel="00000000" w:rsidR="00000000" w:rsidRPr="00000000">
        <w:rPr>
          <w:rFonts w:ascii="Georgia" w:cs="Georgia" w:eastAsia="Georgia" w:hAnsi="Georgia"/>
          <w:color w:val="0d0d0d"/>
          <w:sz w:val="30"/>
          <w:szCs w:val="30"/>
          <w:rtl w:val="0"/>
        </w:rPr>
        <w:t xml:space="preserve">Many members of Tocqueville’s class thought that democratisation was both an accident and a mistake—an accident because cleverer management of the old regime could have prevented the revolution in 1789, and a mistake because democracy destroyed everything they held most dear. Tocqueville thought that was nonsense—and pitied his fellow blue-bloods who wasted their lives in a doomed attempt to restore aristocratic privilege.</w:t>
      </w:r>
    </w:p>
    <w:p w:rsidR="00000000" w:rsidDel="00000000" w:rsidP="00000000" w:rsidRDefault="00000000" w:rsidRPr="00000000" w14:paraId="0000005A">
      <w:pPr>
        <w:spacing w:after="220" w:line="420" w:lineRule="auto"/>
        <w:rPr>
          <w:rFonts w:ascii="Georgia" w:cs="Georgia" w:eastAsia="Georgia" w:hAnsi="Georgia"/>
          <w:color w:val="0d0d0d"/>
          <w:sz w:val="30"/>
          <w:szCs w:val="30"/>
        </w:rPr>
      </w:pPr>
      <w:r w:rsidDel="00000000" w:rsidR="00000000" w:rsidRPr="00000000">
        <w:rPr>
          <w:rFonts w:ascii="Georgia" w:cs="Georgia" w:eastAsia="Georgia" w:hAnsi="Georgia"/>
          <w:color w:val="0d0d0d"/>
          <w:sz w:val="30"/>
          <w:szCs w:val="30"/>
          <w:rtl w:val="0"/>
        </w:rPr>
        <w:t xml:space="preserve">The great question at the heart of Tocqueville’s thought is the relationship between liberty and democracy. Tocqueville was certain that it was impossible to have liberty without democracy, but he worried that it was possible to have democracy without liberty. For example, democracy might transfer power from the old aristocracy to an all-powerful central state, thereby reducing individuals to helpless, isolated atoms. Or it might make a mockery of free discussion by manipulating everybody into bowing down before conventional wisdom.</w:t>
      </w:r>
    </w:p>
    <w:p w:rsidR="00000000" w:rsidDel="00000000" w:rsidP="00000000" w:rsidRDefault="00000000" w:rsidRPr="00000000" w14:paraId="0000005B">
      <w:pPr>
        <w:spacing w:after="220" w:line="420" w:lineRule="auto"/>
        <w:rPr>
          <w:rFonts w:ascii="Georgia" w:cs="Georgia" w:eastAsia="Georgia" w:hAnsi="Georgia"/>
          <w:color w:val="0d0d0d"/>
          <w:sz w:val="30"/>
          <w:szCs w:val="30"/>
        </w:rPr>
      </w:pPr>
      <w:r w:rsidDel="00000000" w:rsidR="00000000" w:rsidRPr="00000000">
        <w:rPr>
          <w:rFonts w:ascii="Georgia" w:cs="Georgia" w:eastAsia="Georgia" w:hAnsi="Georgia"/>
          <w:color w:val="0d0d0d"/>
          <w:sz w:val="30"/>
          <w:szCs w:val="30"/>
          <w:rtl w:val="0"/>
        </w:rPr>
        <w:t xml:space="preserve">Sir Larry Siedentop, an Oxford academic, points out that Tocqueville’s contribution was to identify a structural flaw in democratic societies. Liberals are so preoccupied by the “contract” between the individual on the one hand and the state on the other that they don’t make enough room for intermediate associations which acted as schools of local politics and buffers between the individual and the state. And, he was the first serious thinker to warn that liberalism could destroy itself. Tocqueville worried that states might use the principle of equality to accumulate power and ride roughshod over local traditions and local communities. Such centralisation might have all sorts of malign consequences. It might reduce the variety of institutions by obliging them to follow a central script. It might reduce individuals to a position of defencelessness before the mighty state, either by forcing them to obey the state’s edicts or making them dependent on the state’s largesse. And it might kill off traditions of self-government. Thus one liberal principle—equal treatment—might end up destroying three rival principles: self-government, pluralism and freedom from coercion.</w:t>
      </w:r>
    </w:p>
    <w:p w:rsidR="00000000" w:rsidDel="00000000" w:rsidP="00000000" w:rsidRDefault="00000000" w:rsidRPr="00000000" w14:paraId="0000005C">
      <w:pPr>
        <w:spacing w:after="220" w:line="420" w:lineRule="auto"/>
        <w:rPr>
          <w:rFonts w:ascii="Georgia" w:cs="Georgia" w:eastAsia="Georgia" w:hAnsi="Georgia"/>
          <w:color w:val="0d0d0d"/>
          <w:sz w:val="30"/>
          <w:szCs w:val="30"/>
        </w:rPr>
      </w:pPr>
      <w:r w:rsidDel="00000000" w:rsidR="00000000" w:rsidRPr="00000000">
        <w:rPr>
          <w:rFonts w:ascii="Georgia" w:cs="Georgia" w:eastAsia="Georgia" w:hAnsi="Georgia"/>
          <w:color w:val="0d0d0d"/>
          <w:sz w:val="30"/>
          <w:szCs w:val="30"/>
          <w:rtl w:val="0"/>
        </w:rPr>
        <w:t xml:space="preserve">Tocqueville feared his own country might fall into the grip of just such an illiberal democracy, as it had in the Terror, under Maximilien Robespierre in 1793. The French revolutionaries had been so blinded by their commitment to liberty, equality and fraternity that they crushed dissenters and slaughtered aristocrats, including many members of Tocqueville’s family. His parents were spared, but his father’s hair turned white at 24 and his mother was reduced to a nervous wreck.</w:t>
      </w:r>
    </w:p>
    <w:p w:rsidR="00000000" w:rsidDel="00000000" w:rsidP="00000000" w:rsidRDefault="00000000" w:rsidRPr="00000000" w14:paraId="0000005D">
      <w:pPr>
        <w:spacing w:after="220" w:line="420" w:lineRule="auto"/>
        <w:rPr>
          <w:rFonts w:ascii="Georgia" w:cs="Georgia" w:eastAsia="Georgia" w:hAnsi="Georgia"/>
          <w:color w:val="0d0d0d"/>
          <w:sz w:val="30"/>
          <w:szCs w:val="30"/>
        </w:rPr>
      </w:pPr>
      <w:r w:rsidDel="00000000" w:rsidR="00000000" w:rsidRPr="00000000">
        <w:rPr>
          <w:rFonts w:ascii="Georgia" w:cs="Georgia" w:eastAsia="Georgia" w:hAnsi="Georgia"/>
          <w:color w:val="0d0d0d"/>
          <w:sz w:val="30"/>
          <w:szCs w:val="30"/>
          <w:rtl w:val="0"/>
        </w:rPr>
        <w:t xml:space="preserve">He was worried about more than just the bloodshed, which proved to be a passing frenzy. The power of the state also posed a more subtle threat. The monarchy had nurtured an over-mighty state, as French kings sucked power from aristocrats towards the central government. The revolution completed the job, abolishing local autonomy along with aristocratic power and reducing individual citizens to equal servitude beneath the “immense tutelary power” of the state.</w:t>
      </w:r>
    </w:p>
    <w:p w:rsidR="00000000" w:rsidDel="00000000" w:rsidP="00000000" w:rsidRDefault="00000000" w:rsidRPr="00000000" w14:paraId="0000005E">
      <w:pPr>
        <w:spacing w:after="220" w:line="420" w:lineRule="auto"/>
        <w:rPr>
          <w:rFonts w:ascii="Georgia" w:cs="Georgia" w:eastAsia="Georgia" w:hAnsi="Georgia"/>
          <w:color w:val="0d0d0d"/>
          <w:sz w:val="30"/>
          <w:szCs w:val="30"/>
        </w:rPr>
      </w:pPr>
      <w:r w:rsidDel="00000000" w:rsidR="00000000" w:rsidRPr="00000000">
        <w:rPr>
          <w:rFonts w:ascii="Georgia" w:cs="Georgia" w:eastAsia="Georgia" w:hAnsi="Georgia"/>
          <w:color w:val="0d0d0d"/>
          <w:sz w:val="30"/>
          <w:szCs w:val="30"/>
          <w:rtl w:val="0"/>
        </w:rPr>
        <w:t xml:space="preserve">By contrast, the United States represented democracy at its finest. Tocqueville’s ostensible reason for crossing the Atlantic, in 1831, was to study the American penal system, then seen as one of the most enlightened in the world. His real wish was to understand how America had combined democracy with liberty so successfully. He was impressed by the New England townships, with their robust local governments, but he was equally taken by the raw egalitarianism of the frontier.</w:t>
      </w:r>
    </w:p>
    <w:p w:rsidR="00000000" w:rsidDel="00000000" w:rsidP="00000000" w:rsidRDefault="00000000" w:rsidRPr="00000000" w14:paraId="0000005F">
      <w:pPr>
        <w:spacing w:after="220" w:line="420" w:lineRule="auto"/>
        <w:rPr>
          <w:rFonts w:ascii="Georgia" w:cs="Georgia" w:eastAsia="Georgia" w:hAnsi="Georgia"/>
          <w:color w:val="0d0d0d"/>
          <w:sz w:val="30"/>
          <w:szCs w:val="30"/>
        </w:rPr>
      </w:pPr>
      <w:r w:rsidDel="00000000" w:rsidR="00000000" w:rsidRPr="00000000">
        <w:rPr>
          <w:rFonts w:ascii="Georgia" w:cs="Georgia" w:eastAsia="Georgia" w:hAnsi="Georgia"/>
          <w:color w:val="0d0d0d"/>
          <w:sz w:val="30"/>
          <w:szCs w:val="30"/>
          <w:rtl w:val="0"/>
        </w:rPr>
        <w:t xml:space="preserve">Why did the children of the American revolution achieve what the children of the French revolution could not? The most obvious factor was the dispersal of power. The government in Washington was disciplined by checks and balances. Power was exercised at the lowest possible level—not just the states but also cities, townships and voluntary organisations that flourished in America even as they declined in France. The second factor was what he called “manners”. Like most French liberals, Tocqueville was an Anglophile. He thought that America had inherited many of Britain’s best traditions, such as common law and a ruling class that was committed to running local institutions.</w:t>
      </w:r>
    </w:p>
    <w:p w:rsidR="00000000" w:rsidDel="00000000" w:rsidP="00000000" w:rsidRDefault="00000000" w:rsidRPr="00000000" w14:paraId="00000060">
      <w:pPr>
        <w:pStyle w:val="Heading2"/>
        <w:keepNext w:val="0"/>
        <w:keepLines w:val="0"/>
        <w:pBdr>
          <w:top w:color="auto" w:space="0" w:sz="0" w:val="none"/>
          <w:left w:color="auto" w:space="24" w:sz="0" w:val="none"/>
          <w:bottom w:color="auto" w:space="0" w:sz="0" w:val="none"/>
          <w:right w:color="auto" w:space="24" w:sz="0" w:val="none"/>
          <w:between w:color="auto" w:space="0" w:sz="0" w:val="none"/>
        </w:pBdr>
        <w:spacing w:after="0" w:before="0" w:line="280" w:lineRule="auto"/>
        <w:rPr>
          <w:rFonts w:ascii="Georgia" w:cs="Georgia" w:eastAsia="Georgia" w:hAnsi="Georgia"/>
          <w:b w:val="1"/>
          <w:color w:val="0d0d0d"/>
          <w:sz w:val="30"/>
          <w:szCs w:val="30"/>
        </w:rPr>
      </w:pPr>
      <w:bookmarkStart w:colFirst="0" w:colLast="0" w:name="_vpthf1hb1x97" w:id="5"/>
      <w:bookmarkEnd w:id="5"/>
      <w:r w:rsidDel="00000000" w:rsidR="00000000" w:rsidRPr="00000000">
        <w:rPr>
          <w:rFonts w:ascii="Georgia" w:cs="Georgia" w:eastAsia="Georgia" w:hAnsi="Georgia"/>
          <w:b w:val="1"/>
          <w:color w:val="0d0d0d"/>
          <w:sz w:val="30"/>
          <w:szCs w:val="30"/>
          <w:rtl w:val="0"/>
        </w:rPr>
        <w:t xml:space="preserve">Of liberty and religion</w:t>
      </w:r>
    </w:p>
    <w:p w:rsidR="00000000" w:rsidDel="00000000" w:rsidP="00000000" w:rsidRDefault="00000000" w:rsidRPr="00000000" w14:paraId="00000061">
      <w:pPr>
        <w:spacing w:after="220" w:line="420" w:lineRule="auto"/>
        <w:rPr>
          <w:rFonts w:ascii="Georgia" w:cs="Georgia" w:eastAsia="Georgia" w:hAnsi="Georgia"/>
          <w:color w:val="0d0d0d"/>
          <w:sz w:val="30"/>
          <w:szCs w:val="30"/>
        </w:rPr>
      </w:pPr>
      <w:r w:rsidDel="00000000" w:rsidR="00000000" w:rsidRPr="00000000">
        <w:rPr>
          <w:rFonts w:ascii="Georgia" w:cs="Georgia" w:eastAsia="Georgia" w:hAnsi="Georgia"/>
          <w:color w:val="0d0d0d"/>
          <w:sz w:val="30"/>
          <w:szCs w:val="30"/>
          <w:rtl w:val="0"/>
        </w:rPr>
        <w:t xml:space="preserve">America also had the invaluable advantage of freedom of religion. Tocqueville believed that a liberal society depended ultimately on Christian morality. Alone among the world’s religions, Christianity preached the equality of man and the infinite worth of the individual. But the </w:t>
      </w:r>
      <w:r w:rsidDel="00000000" w:rsidR="00000000" w:rsidRPr="00000000">
        <w:rPr>
          <w:rFonts w:ascii="Georgia" w:cs="Georgia" w:eastAsia="Georgia" w:hAnsi="Georgia"/>
          <w:i w:val="1"/>
          <w:color w:val="0d0d0d"/>
          <w:sz w:val="30"/>
          <w:szCs w:val="30"/>
          <w:rtl w:val="0"/>
        </w:rPr>
        <w:t xml:space="preserve">ancien régime</w:t>
      </w:r>
      <w:r w:rsidDel="00000000" w:rsidR="00000000" w:rsidRPr="00000000">
        <w:rPr>
          <w:rFonts w:ascii="Georgia" w:cs="Georgia" w:eastAsia="Georgia" w:hAnsi="Georgia"/>
          <w:color w:val="0d0d0d"/>
          <w:sz w:val="30"/>
          <w:szCs w:val="30"/>
          <w:rtl w:val="0"/>
        </w:rPr>
        <w:t xml:space="preserve"> had robbed Christianity of its true spirit by turning it into an adjunct of the state. America’s decision to make religion a matter of free conscience created a vital alliance between the “spirit of religion” and the “spirit of liberty”. America was a society that “goes along by itself”, as Tocqueville put it, not just because it dispersed power but because it produced self-confident, energetic citizens, capable of organising themselves rather than looking to the government to solve their problems.</w:t>
      </w:r>
    </w:p>
    <w:p w:rsidR="00000000" w:rsidDel="00000000" w:rsidP="00000000" w:rsidRDefault="00000000" w:rsidRPr="00000000" w14:paraId="00000062">
      <w:pPr>
        <w:pStyle w:val="Heading2"/>
        <w:keepNext w:val="0"/>
        <w:keepLines w:val="0"/>
        <w:pBdr>
          <w:top w:color="auto" w:space="0" w:sz="0" w:val="none"/>
          <w:left w:color="auto" w:space="24" w:sz="0" w:val="none"/>
          <w:bottom w:color="auto" w:space="0" w:sz="0" w:val="none"/>
          <w:right w:color="auto" w:space="24" w:sz="0" w:val="none"/>
          <w:between w:color="auto" w:space="0" w:sz="0" w:val="none"/>
        </w:pBdr>
        <w:spacing w:after="0" w:before="0" w:line="280" w:lineRule="auto"/>
        <w:rPr>
          <w:rFonts w:ascii="Georgia" w:cs="Georgia" w:eastAsia="Georgia" w:hAnsi="Georgia"/>
          <w:b w:val="1"/>
          <w:color w:val="0d0d0d"/>
          <w:sz w:val="30"/>
          <w:szCs w:val="30"/>
        </w:rPr>
      </w:pPr>
      <w:bookmarkStart w:colFirst="0" w:colLast="0" w:name="_624n0zejwx25" w:id="6"/>
      <w:bookmarkEnd w:id="6"/>
      <w:r w:rsidDel="00000000" w:rsidR="00000000" w:rsidRPr="00000000">
        <w:rPr>
          <w:rFonts w:ascii="Georgia" w:cs="Georgia" w:eastAsia="Georgia" w:hAnsi="Georgia"/>
          <w:b w:val="1"/>
          <w:color w:val="0d0d0d"/>
          <w:sz w:val="30"/>
          <w:szCs w:val="30"/>
          <w:rtl w:val="0"/>
        </w:rPr>
        <w:t xml:space="preserve">Sleeping on a volcano</w:t>
      </w:r>
    </w:p>
    <w:p w:rsidR="00000000" w:rsidDel="00000000" w:rsidP="00000000" w:rsidRDefault="00000000" w:rsidRPr="00000000" w14:paraId="00000063">
      <w:pPr>
        <w:spacing w:after="220" w:line="420" w:lineRule="auto"/>
        <w:rPr>
          <w:rFonts w:ascii="Georgia" w:cs="Georgia" w:eastAsia="Georgia" w:hAnsi="Georgia"/>
          <w:color w:val="0d0d0d"/>
          <w:sz w:val="30"/>
          <w:szCs w:val="30"/>
        </w:rPr>
      </w:pPr>
      <w:r w:rsidDel="00000000" w:rsidR="00000000" w:rsidRPr="00000000">
        <w:rPr>
          <w:rFonts w:ascii="Georgia" w:cs="Georgia" w:eastAsia="Georgia" w:hAnsi="Georgia"/>
          <w:color w:val="0d0d0d"/>
          <w:sz w:val="30"/>
          <w:szCs w:val="30"/>
          <w:rtl w:val="0"/>
        </w:rPr>
        <w:t xml:space="preserve">He was not blind to the faults of American democracy. He puzzled over the fact that the world’s most liberal society practised slavery, though, like most liberals, he comforted himself with the thought that it was sure to wither. He worried about the cult of the common man. Americans were so appalled by the idea that one person’s opinion might be better than another’s that they embraced dolts and persecuted gifted heretics. He worried that individualism might shade into egotism. Shorn of bonds with wider society, Americans risked being confined within the solitude of their own hearts. The combination of egalitarianism and individualism might do for Americans what centralisation had done for France—dissolve their defences against governmental power and reduce them to sheep, content to be fed and watered by benevolent bureaucrats.</w:t>
      </w:r>
    </w:p>
    <w:p w:rsidR="00000000" w:rsidDel="00000000" w:rsidP="00000000" w:rsidRDefault="00000000" w:rsidRPr="00000000" w14:paraId="00000064">
      <w:pPr>
        <w:spacing w:after="220" w:line="420" w:lineRule="auto"/>
        <w:rPr>
          <w:rFonts w:ascii="Georgia" w:cs="Georgia" w:eastAsia="Georgia" w:hAnsi="Georgia"/>
          <w:color w:val="0d0d0d"/>
          <w:sz w:val="30"/>
          <w:szCs w:val="30"/>
        </w:rPr>
      </w:pPr>
      <w:r w:rsidDel="00000000" w:rsidR="00000000" w:rsidRPr="00000000">
        <w:rPr>
          <w:rFonts w:ascii="Georgia" w:cs="Georgia" w:eastAsia="Georgia" w:hAnsi="Georgia"/>
          <w:color w:val="0d0d0d"/>
          <w:sz w:val="30"/>
          <w:szCs w:val="30"/>
          <w:rtl w:val="0"/>
        </w:rPr>
        <w:t xml:space="preserve">Tocqueville exercised a powerful influence on those who shared his fears. In his “Autobiography” John Stuart Mill thanked Tocqueville for sharpening his insight that government by the majority might hinder idiosyncratic intellectuals from influencing the debate. In 1867 Robert Lowe, a leading Liberal politician, argued for mass education on the Tocquevillian grounds that “we must educate our masters”. Other Liberal politicians argued against extending the franchise on the grounds that liberty could not survive a surfeit of democracy. In the 1950s and 1960s American intellectuals seized on Tocqueville’s insight that mass society might weaken liberty by narrowing society’s choices. In subsequent decades intellectuals began to worry about the rapid growth of the federal government, inaugurated by Lyndon Johnson’s Great Society programme. Transferring power from local to the federal government; empowering unaccountable bureaucrats to pursue abstract goods such as “equality of representation” (even if it meant riding roughshod over local institutions); and undermining the vitality of civil society tended, they feared, to destroy the building blocks of Tocqueville’s America. More recently American liberals have worried about an increased concentration of power in the presidency, particularly after the return to office of Donald Trump. In recent years the Tocqueville Society has begun hosting talks, dubbed “Tocqueville Conversations”, at the family’s French manor house to grapple with the various ways in which democracy is under assault. The 2025 edition was titled, “Europe’s moment: between the MAGA revolution and Russian revisionism”.</w:t>
      </w:r>
    </w:p>
    <w:p w:rsidR="00000000" w:rsidDel="00000000" w:rsidP="00000000" w:rsidRDefault="00000000" w:rsidRPr="00000000" w14:paraId="00000065">
      <w:pPr>
        <w:rPr>
          <w:color w:val="595959"/>
          <w:sz w:val="23"/>
          <w:szCs w:val="23"/>
        </w:rPr>
      </w:pPr>
      <w:r w:rsidDel="00000000" w:rsidR="00000000" w:rsidRPr="00000000">
        <w:rPr>
          <w:rFonts w:ascii="Georgia" w:cs="Georgia" w:eastAsia="Georgia" w:hAnsi="Georgia"/>
          <w:color w:val="0d0d0d"/>
          <w:sz w:val="30"/>
          <w:szCs w:val="30"/>
        </w:rPr>
        <w:drawing>
          <wp:inline distB="114300" distT="114300" distL="114300" distR="114300">
            <wp:extent cx="635000" cy="6350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35000" cy="635000"/>
                    </a:xfrm>
                    <a:prstGeom prst="rect"/>
                    <a:ln/>
                  </pic:spPr>
                </pic:pic>
              </a:graphicData>
            </a:graphic>
          </wp:inline>
        </w:drawing>
      </w:r>
      <w:r w:rsidDel="00000000" w:rsidR="00000000" w:rsidRPr="00000000">
        <w:rPr>
          <w:color w:val="595959"/>
          <w:sz w:val="23"/>
          <w:szCs w:val="23"/>
          <w:rtl w:val="0"/>
        </w:rPr>
        <w:t xml:space="preserve">Image: Pablo Amargo</w:t>
      </w:r>
    </w:p>
    <w:p w:rsidR="00000000" w:rsidDel="00000000" w:rsidP="00000000" w:rsidRDefault="00000000" w:rsidRPr="00000000" w14:paraId="00000066">
      <w:pPr>
        <w:shd w:fill="f5f4ef" w:val="clear"/>
        <w:rPr>
          <w:color w:val="e3120b"/>
          <w:sz w:val="26"/>
          <w:szCs w:val="26"/>
        </w:rPr>
      </w:pPr>
      <w:r w:rsidDel="00000000" w:rsidR="00000000" w:rsidRPr="00000000">
        <w:rPr>
          <w:color w:val="e3120b"/>
          <w:sz w:val="26"/>
          <w:szCs w:val="26"/>
          <w:rtl w:val="0"/>
        </w:rPr>
        <w:t xml:space="preserve">Test your knowledge</w:t>
      </w:r>
    </w:p>
    <w:p w:rsidR="00000000" w:rsidDel="00000000" w:rsidP="00000000" w:rsidRDefault="00000000" w:rsidRPr="00000000" w14:paraId="00000067">
      <w:pPr>
        <w:shd w:fill="f5f4ef" w:val="clear"/>
        <w:spacing w:line="360" w:lineRule="auto"/>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What made Tocqueville unusual among liberal thinkers of his era?</w:t>
      </w:r>
    </w:p>
    <w:p w:rsidR="00000000" w:rsidDel="00000000" w:rsidP="00000000" w:rsidRDefault="00000000" w:rsidRPr="00000000" w14:paraId="00000068">
      <w:pPr>
        <w:spacing w:after="220" w:line="420" w:lineRule="auto"/>
        <w:rPr>
          <w:rFonts w:ascii="Georgia" w:cs="Georgia" w:eastAsia="Georgia" w:hAnsi="Georgia"/>
          <w:color w:val="0d0d0d"/>
          <w:sz w:val="30"/>
          <w:szCs w:val="30"/>
        </w:rPr>
      </w:pPr>
      <w:r w:rsidDel="00000000" w:rsidR="00000000" w:rsidRPr="00000000">
        <w:rPr>
          <w:rFonts w:ascii="Georgia" w:cs="Georgia" w:eastAsia="Georgia" w:hAnsi="Georgia"/>
          <w:color w:val="0d0d0d"/>
          <w:sz w:val="30"/>
          <w:szCs w:val="30"/>
          <w:rtl w:val="0"/>
        </w:rPr>
        <w:t xml:space="preserve">It is worth adding that the threat to liberty today does not stem just from big government or from illiberal leaders of democracies. It also comes from big companies, particularly tech firms that trade in information, and from the nexus between the two. Gargantuan tech companies enjoy market shares unknown since the Gilded Age. They are intertwined with the government through lobbying and the revolving door that has government officials working for them when they leave office. By providing so much information “free” they are throttling media outfits that invest in gathering the news that informs citizens. By using algorithms based on previous preferences they provide people with information that suits their prejudices—right-wing rage for the right and left-wing rage for the left.</w:t>
      </w:r>
    </w:p>
    <w:p w:rsidR="00000000" w:rsidDel="00000000" w:rsidP="00000000" w:rsidRDefault="00000000" w:rsidRPr="00000000" w14:paraId="00000069">
      <w:pPr>
        <w:spacing w:after="220" w:line="420" w:lineRule="auto"/>
        <w:rPr>
          <w:rFonts w:ascii="Georgia" w:cs="Georgia" w:eastAsia="Georgia" w:hAnsi="Georgia"/>
          <w:color w:val="0d0d0d"/>
          <w:sz w:val="30"/>
          <w:szCs w:val="30"/>
        </w:rPr>
      </w:pPr>
      <w:r w:rsidDel="00000000" w:rsidR="00000000" w:rsidRPr="00000000">
        <w:rPr>
          <w:rFonts w:ascii="Georgia" w:cs="Georgia" w:eastAsia="Georgia" w:hAnsi="Georgia"/>
          <w:color w:val="0d0d0d"/>
          <w:sz w:val="30"/>
          <w:szCs w:val="30"/>
          <w:rtl w:val="0"/>
        </w:rPr>
        <w:t xml:space="preserve">Today’s great rising power is the very opposite of the United States, the great rising power of Tocqueville’s time. China is an example not of democracy allied to liberty but of centralisation allied to authoritarianism. Its state and its pliant tech firms can control the flow of information to an extent never dreamed of. Increasingly, China embodies everything that Tocqueville warned against: power centralised in the hands of the state; citizens reduced to atoms; a collective willingness to sacrifice liberty for a comfortable life.</w:t>
      </w:r>
    </w:p>
    <w:p w:rsidR="00000000" w:rsidDel="00000000" w:rsidP="00000000" w:rsidRDefault="00000000" w:rsidRPr="00000000" w14:paraId="0000006A">
      <w:pPr>
        <w:spacing w:after="220" w:line="420" w:lineRule="auto"/>
        <w:rPr>
          <w:rFonts w:ascii="Georgia" w:cs="Georgia" w:eastAsia="Georgia" w:hAnsi="Georgia"/>
          <w:color w:val="0d0d0d"/>
          <w:sz w:val="30"/>
          <w:szCs w:val="30"/>
        </w:rPr>
      </w:pPr>
      <w:r w:rsidDel="00000000" w:rsidR="00000000" w:rsidRPr="00000000">
        <w:rPr>
          <w:rFonts w:ascii="Georgia" w:cs="Georgia" w:eastAsia="Georgia" w:hAnsi="Georgia"/>
          <w:color w:val="0d0d0d"/>
          <w:sz w:val="30"/>
          <w:szCs w:val="30"/>
          <w:rtl w:val="0"/>
        </w:rPr>
        <w:t xml:space="preserve">Before the revolution in France in 1848, Tocqueville warned that the continent was “sleeping on a volcano…A wind of revolution blows, the storm is on the horizon.” Today democracy in America has taken a dangerous turn. Populists are advancing in Europe, Asia and Latin America. Authoritarians are consolidating power. The most pessimistic of great liberal thinkers may not have been pessimistic enough. </w:t>
      </w:r>
    </w:p>
    <w:p w:rsidR="00000000" w:rsidDel="00000000" w:rsidP="00000000" w:rsidRDefault="00000000" w:rsidRPr="00000000" w14:paraId="0000006B">
      <w:pPr>
        <w:spacing w:after="520" w:before="52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pacing w:line="300" w:lineRule="auto"/>
        <w:rPr>
          <w:rFonts w:ascii="Georgia" w:cs="Georgia" w:eastAsia="Georgia" w:hAnsi="Georgia"/>
          <w:b w:val="1"/>
          <w:color w:val="ffffff"/>
          <w:sz w:val="60"/>
          <w:szCs w:val="60"/>
        </w:rPr>
      </w:pPr>
      <w:r w:rsidDel="00000000" w:rsidR="00000000" w:rsidRPr="00000000">
        <w:rPr>
          <w:rFonts w:ascii="Georgia" w:cs="Georgia" w:eastAsia="Georgia" w:hAnsi="Georgia"/>
          <w:b w:val="1"/>
          <w:color w:val="ffffff"/>
          <w:sz w:val="60"/>
          <w:szCs w:val="60"/>
          <w:rtl w:val="0"/>
        </w:rPr>
        <w:t xml:space="preserve">ree</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hd w:fill="1f2e7a" w:val="clear"/>
        <w:spacing w:line="420" w:lineRule="auto"/>
        <w:rPr>
          <w:color w:val="ffffff"/>
          <w:sz w:val="30"/>
          <w:szCs w:val="30"/>
        </w:rPr>
      </w:pPr>
      <w:r w:rsidDel="00000000" w:rsidR="00000000" w:rsidRPr="00000000">
        <w:rPr>
          <w:color w:val="ffffff"/>
          <w:sz w:val="30"/>
          <w:szCs w:val="30"/>
          <w:rtl w:val="0"/>
        </w:rPr>
        <w:t xml:space="preserve">Explore all of our independent journalism with a free trial</w:t>
      </w:r>
    </w:p>
    <w:p w:rsidR="00000000" w:rsidDel="00000000" w:rsidP="00000000" w:rsidRDefault="00000000" w:rsidRPr="00000000" w14:paraId="0000006E">
      <w:pPr>
        <w:shd w:fill="1f2e7a" w:val="clear"/>
        <w:spacing w:line="360" w:lineRule="auto"/>
        <w:rPr>
          <w:color w:val="0d0d0d"/>
          <w:sz w:val="26"/>
          <w:szCs w:val="26"/>
          <w:highlight w:val="white"/>
        </w:rPr>
      </w:pPr>
      <w:hyperlink r:id="rId9">
        <w:r w:rsidDel="00000000" w:rsidR="00000000" w:rsidRPr="00000000">
          <w:rPr>
            <w:color w:val="0d0d0d"/>
            <w:sz w:val="26"/>
            <w:szCs w:val="26"/>
            <w:highlight w:val="white"/>
            <w:rtl w:val="0"/>
          </w:rPr>
          <w:t xml:space="preserve">Free trial</w:t>
        </w:r>
      </w:hyperlink>
      <w:r w:rsidDel="00000000" w:rsidR="00000000" w:rsidRPr="00000000">
        <w:rPr>
          <w:rtl w:val="0"/>
        </w:rPr>
      </w:r>
    </w:p>
    <w:p w:rsidR="00000000" w:rsidDel="00000000" w:rsidP="00000000" w:rsidRDefault="00000000" w:rsidRPr="00000000" w14:paraId="0000006F">
      <w:pPr>
        <w:pStyle w:val="Heading4"/>
        <w:keepNext w:val="0"/>
        <w:keepLines w:val="0"/>
        <w:pBdr>
          <w:top w:color="auto" w:space="12" w:sz="0" w:val="none"/>
          <w:left w:color="auto" w:space="12" w:sz="0" w:val="none"/>
          <w:bottom w:color="d9d9d9" w:space="12" w:sz="4" w:val="single"/>
          <w:right w:color="auto" w:space="12" w:sz="0" w:val="none"/>
        </w:pBdr>
        <w:shd w:fill="f5f4ef" w:val="clear"/>
        <w:spacing w:after="0" w:before="0" w:line="283.2" w:lineRule="auto"/>
        <w:ind w:right="240"/>
        <w:jc w:val="center"/>
        <w:rPr>
          <w:color w:val="0d0d0d"/>
        </w:rPr>
      </w:pPr>
      <w:bookmarkStart w:colFirst="0" w:colLast="0" w:name="_vu08c8zbp8hf" w:id="7"/>
      <w:bookmarkEnd w:id="7"/>
      <w:r w:rsidDel="00000000" w:rsidR="00000000" w:rsidRPr="00000000">
        <w:rPr>
          <w:color w:val="0d0d0d"/>
          <w:rtl w:val="0"/>
        </w:rPr>
        <w:t xml:space="preserve">Already have an account?</w:t>
      </w:r>
      <w:hyperlink r:id="rId10">
        <w:r w:rsidDel="00000000" w:rsidR="00000000" w:rsidRPr="00000000">
          <w:rPr>
            <w:color w:val="0d0d0d"/>
            <w:rtl w:val="0"/>
          </w:rPr>
          <w:t xml:space="preserve">Log in</w:t>
        </w:r>
      </w:hyperlink>
      <w:r w:rsidDel="00000000" w:rsidR="00000000" w:rsidRPr="00000000">
        <w:rPr>
          <w:rtl w:val="0"/>
        </w:rPr>
      </w:r>
    </w:p>
    <w:p w:rsidR="00000000" w:rsidDel="00000000" w:rsidP="00000000" w:rsidRDefault="00000000" w:rsidRPr="00000000" w14:paraId="0000007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5f4ef" w:val="clear"/>
        <w:spacing w:after="0" w:before="0" w:line="283.2" w:lineRule="auto"/>
        <w:ind w:right="240"/>
        <w:jc w:val="center"/>
        <w:rPr>
          <w:rFonts w:ascii="Georgia" w:cs="Georgia" w:eastAsia="Georgia" w:hAnsi="Georgia"/>
          <w:color w:val="0d0d0d"/>
          <w:sz w:val="36"/>
          <w:szCs w:val="36"/>
        </w:rPr>
      </w:pPr>
      <w:bookmarkStart w:colFirst="0" w:colLast="0" w:name="_ipewn18jncrt" w:id="8"/>
      <w:bookmarkEnd w:id="8"/>
      <w:r w:rsidDel="00000000" w:rsidR="00000000" w:rsidRPr="00000000">
        <w:rPr>
          <w:rFonts w:ascii="Georgia" w:cs="Georgia" w:eastAsia="Georgia" w:hAnsi="Georgia"/>
          <w:color w:val="0d0d0d"/>
          <w:sz w:val="36"/>
          <w:szCs w:val="36"/>
          <w:rtl w:val="0"/>
        </w:rPr>
        <w:t xml:space="preserve">Continue with a free trial</w:t>
      </w:r>
    </w:p>
    <w:p w:rsidR="00000000" w:rsidDel="00000000" w:rsidP="00000000" w:rsidRDefault="00000000" w:rsidRPr="00000000" w14:paraId="0000007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5f4ef" w:val="clear"/>
        <w:spacing w:after="0" w:before="0" w:line="335.99999999999994" w:lineRule="auto"/>
        <w:ind w:right="240"/>
        <w:jc w:val="center"/>
        <w:rPr>
          <w:rFonts w:ascii="Georgia" w:cs="Georgia" w:eastAsia="Georgia" w:hAnsi="Georgia"/>
          <w:color w:val="333333"/>
        </w:rPr>
      </w:pPr>
      <w:bookmarkStart w:colFirst="0" w:colLast="0" w:name="_kodqtqxdbdkm" w:id="9"/>
      <w:bookmarkEnd w:id="9"/>
      <w:r w:rsidDel="00000000" w:rsidR="00000000" w:rsidRPr="00000000">
        <w:rPr>
          <w:rFonts w:ascii="Georgia" w:cs="Georgia" w:eastAsia="Georgia" w:hAnsi="Georgia"/>
          <w:color w:val="333333"/>
          <w:rtl w:val="0"/>
        </w:rPr>
        <w:t xml:space="preserve">Get full access to our independent journalism for free</w:t>
      </w:r>
    </w:p>
    <w:p w:rsidR="00000000" w:rsidDel="00000000" w:rsidP="00000000" w:rsidRDefault="00000000" w:rsidRPr="00000000" w14:paraId="0000007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sz w:val="30"/>
        <w:szCs w:val="3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economist.com/api/auth/login?redirect=%2Finteractive%2Fprimers%2Fliberalism%2Fprimer-2" TargetMode="External"/><Relationship Id="rId9" Type="http://schemas.openxmlformats.org/officeDocument/2006/relationships/hyperlink" Target="https://www.economist.com/api/auth/subscribe/?subscribe_cta=%3Abanner" TargetMode="External"/><Relationship Id="rId5" Type="http://schemas.openxmlformats.org/officeDocument/2006/relationships/styles" Target="styles.xml"/><Relationship Id="rId6" Type="http://schemas.openxmlformats.org/officeDocument/2006/relationships/hyperlink" Target="https://plato.stanford.edu/entries/schmitt/" TargetMode="External"/><Relationship Id="rId7" Type="http://schemas.openxmlformats.org/officeDocument/2006/relationships/hyperlink" Target="https://grok.com/share/bGVnYWN5_f8ad58cb-97e7-431f-8faf-4d3b7505e77a"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