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rPr/>
      </w:pPr>
      <w:r>
        <w:rPr/>
        <w:t>Narrative Regrets in Truth and Fiction</w:t>
      </w:r>
    </w:p>
    <w:p>
      <w:pPr>
        <w:pStyle w:val="Normal1"/>
        <w:rPr/>
      </w:pPr>
      <w:r>
        <w:rPr/>
        <w:t>God as the Best Possible Epistemic Ground of Human Dignity</w:t>
      </w:r>
    </w:p>
    <w:p>
      <w:pPr>
        <w:pStyle w:val="Normal1"/>
        <w:rPr/>
      </w:pPr>
      <w:r>
        <w:rPr/>
        <w:t>Following Paul Goldman’s 2009 short paper titled “Narrative Thinking, Emotion, and Planning”, I consider the representation of emotional expressions of regret and narrative regret. I draw specific attention to the context of the representation of distinct special relationships in fiction. Important here are discourses on the fictional representation of such relationships as a special kind of human agency. I argue that a related concern are the assumptions about what is true and what is fiction in popular fiction regarding special relationships, where what is true are expressions of relational sanctification that are grounded in a divine union of love appropriate to friendship.</w:t>
      </w:r>
    </w:p>
    <w:p>
      <w:pPr>
        <w:pStyle w:val="Normal1"/>
        <w:rPr/>
      </w:pPr>
      <w:r>
        <w:rPr/>
        <w:t xml:space="preserve"> </w:t>
      </w:r>
    </w:p>
    <w:p>
      <w:pPr>
        <w:pStyle w:val="Normal1"/>
        <w:rPr/>
      </w:pPr>
      <w:r>
        <w:rPr/>
        <w:t xml:space="preserve"> </w:t>
      </w:r>
    </w:p>
    <w:p>
      <w:pPr>
        <w:pStyle w:val="Normal1"/>
        <w:rPr/>
      </w:pPr>
      <w:r>
        <w:rPr/>
        <w:t>Testimonial and Hermeneutic Injustice</w:t>
      </w:r>
    </w:p>
    <w:p>
      <w:pPr>
        <w:pStyle w:val="Normal1"/>
        <w:rPr/>
      </w:pPr>
      <w:r>
        <w:rPr/>
        <w:t>Wendy Laybourn (2018) draws a comparison between black authenticity and what she calls commodified realness. According to Laybourn, identity is sold to a broader public as black authenticity. This criticism is centered around the effects of what she calls controlling images in popular media. Of deep concern here, is that many of the members of the communities depicted by such images, consider aspects of these images to be authentic representations of themselves and the communities in which they live. Therefore, there is a public perception that such images are not harmful in themselves. If they are to some degree controlling, then they would be harmful, but there is strong disagreement regarding whether or not they are (20C History Project 2014; Collins 2006, 2009; Sartwell 1998).</w:t>
      </w:r>
    </w:p>
    <w:p>
      <w:pPr>
        <w:pStyle w:val="Normal1"/>
        <w:rPr/>
      </w:pPr>
      <w:r>
        <w:rPr/>
        <w:t>Research on black authenticity identifies “oppressive othering” and “white standards of beauty”, particularly lighter skin tone, as key components of commercial success in the entertainment industry.</w:t>
      </w:r>
    </w:p>
    <w:p>
      <w:pPr>
        <w:pStyle w:val="ListParagraph"/>
        <w:numPr>
          <w:ilvl w:val="0"/>
          <w:numId w:val="1"/>
        </w:numPr>
        <w:rPr/>
      </w:pPr>
      <w:r>
        <w:rPr/>
        <w:t>Oppressive Othering (commodified black authenticity, cba)</w:t>
      </w:r>
    </w:p>
    <w:p>
      <w:pPr>
        <w:pStyle w:val="ListParagraph"/>
        <w:numPr>
          <w:ilvl w:val="0"/>
          <w:numId w:val="2"/>
        </w:numPr>
        <w:rPr/>
      </w:pPr>
      <w:r>
        <w:rPr/>
        <w:t>White Standards of Beauty (wsb)</w:t>
      </w:r>
    </w:p>
    <w:p>
      <w:pPr>
        <w:pStyle w:val="Normal1"/>
        <w:rPr/>
      </w:pPr>
      <w:r>
        <w:rPr/>
        <w:t>Are rap lyrics a case of oppressive othering? By using rap lyrics, Laybourn argues that we can compare oppressive othering with white standards of beauty arguing that each are ways mass media disenfranchise individuals. However, the way she does so is by drawing attention to a positive correlation between lighter skin tone and higher Billboard chart ratings versus linking less dominant social classes with antisocial behavior.</w:t>
      </w:r>
    </w:p>
    <w:p>
      <w:pPr>
        <w:pStyle w:val="Normal1"/>
        <w:rPr/>
      </w:pPr>
      <w:r>
        <w:rPr/>
        <w:t>Laybourn follows Nguyen and Anthony (2014). According to Nguyen et al, the research on black authenticity reveals two trends. The first is commodification when cultural productions of authenticity affect how individuals or cultural products fare in the economic market [p. 771]. The second includes constructing expectations and self-identities. Here a similar relation can be seen between rap lyrics (oppressive othering) and higher chart ratings where higher chart ratings are predicated when an artist meets expectations. Though the center of this issue is that these expectations and identities justify or legitimate membership when they are fulfilled.</w:t>
      </w:r>
    </w:p>
    <w:p>
      <w:pPr>
        <w:pStyle w:val="Normal1"/>
        <w:rPr/>
      </w:pPr>
      <w:r>
        <w:rPr/>
        <w:t>Therefore, her suggestion seems to be that a harmful representation of blackness is sold to the public as “authentic blackness” by promoting artists with lighter skin tones. Importantly, this particular commodity then “shapes” what is accepted as authentic blackness, and what is commodified as authentic blackness. However, the implication here is that skin tone equates to one’s identity.</w:t>
      </w:r>
    </w:p>
    <w:p>
      <w:pPr>
        <w:pStyle w:val="Normal1"/>
        <w:rPr/>
      </w:pPr>
      <w:r>
        <w:rPr/>
        <w:t>Therefore, here identity is constructed as authentic when the successful signification of what is accepted as “real” or “true” for cultural products, music etc., and individual identities (a person as an authentic artist) is socially constructed. Therefore, Nguyen et al suggest that the research on “black authenticity” across contexts ought to include varying ideals and expectations which affect “what it means to be black” whether in personal, public, and cultural identities [p. 779].</w:t>
      </w:r>
    </w:p>
    <w:p>
      <w:pPr>
        <w:pStyle w:val="Normal1"/>
        <w:rPr/>
      </w:pPr>
      <w:r>
        <w:rPr/>
        <w:t>In addition to the “oppressive othering” of cba, “white standards” of beauty are also sold. But it isn’t clear what correlation there is between cba and wsb if any. Laybourn argues that both wsb and cba stem from attitudes which position blacks as an outgroup and whites as an in-group. I think the focus on beauty standards is distracting from what is truly important about her paper, which are those qualities that we should consider as the essential nature of a person. In other words, we should not think that the color of a person’s skin is an essential marker of who they are.</w:t>
      </w:r>
    </w:p>
    <w:p>
      <w:pPr>
        <w:pStyle w:val="Normal1"/>
        <w:rPr/>
      </w:pPr>
      <w:r>
        <w:rPr/>
        <w:t>This is the naive view:</w:t>
      </w:r>
    </w:p>
    <w:p>
      <w:pPr>
        <w:pStyle w:val="Normal1"/>
        <w:rPr/>
      </w:pPr>
      <w:r>
        <w:rPr/>
        <w:t>It can perhaps be with a bit of irony that one pursues the study of African American literary critiques. At once, these critiques are leveled against a system that is responsible for their own publishing. Frantz Fanon’s, we might naively say, is one such example. It is perhaps uncouth to look at a book’s publishers in an effort to more fully understand the semantic content of that book. Explanations of how the book came to exist are not thought to lend much support in assessing the validity of an author’s claims. Unfortunately, the temptation to do so can be quite overwhelming at times.</w:t>
      </w:r>
    </w:p>
    <w:p>
      <w:pPr>
        <w:pStyle w:val="Normal1"/>
        <w:rPr/>
      </w:pPr>
      <w:r>
        <w:rPr/>
        <w:t>Perhaps there are reasons why an understanding of the processes surrounding a book’s existence are an important part of the existence of that book, for instance the Western education of the author, the book’s distribution, the retail outlets, libraries, and classrooms, that represent the demand for the book.</w:t>
      </w:r>
    </w:p>
    <w:p>
      <w:pPr>
        <w:pStyle w:val="Normal1"/>
        <w:rPr/>
      </w:pPr>
      <w:r>
        <w:rPr/>
        <w:t>Naively, I might be led to think that without any of these artifacts of a culture, that a given book would not exist. More important, however, are those specific motivations that go into the book’s creation. The demands of the editor, positive reviews by reviewers, a public’s insistence that such a book needs to be written. Lastly, there is a worry that only certain authors can write a given book, such that if anyone else where to write it, it would not be received by publishers, editors, or the public.</w:t>
      </w:r>
    </w:p>
    <w:p>
      <w:pPr>
        <w:pStyle w:val="Normal1"/>
        <w:rPr/>
      </w:pPr>
      <w:r>
        <w:rPr/>
        <w:t>A similar critique here is Frantz Fanon’s exploration of the effects of colonialism in the psychology of Africans. Of concern both for Fanon’s work as well as Jackson (2020), it can be difficult to disentangle what might be considered a person’s culture in isolation from the effects of colonialism. I am skeptical that such a project could be successful.</w:t>
      </w:r>
    </w:p>
    <w:p>
      <w:pPr>
        <w:pStyle w:val="Normal1"/>
        <w:rPr/>
      </w:pPr>
      <w:r>
        <w:rPr/>
        <w:t>To read a work like Fanon’s Black Skin, White Masks, then, for someone as unsophisticated as myself, can be quite a daunting task. All I see are continuous contradictions between the ‘criticisms’ of ‘western imperialism’ and the words themselves which to my unsophisticated ears sound like the very words used by those ‘western imperialists’, at least the ones they themselves would use. In the foreword, written by Anthony Appiah, it is claimed Masks is confronting the psychological effects of racism.</w:t>
      </w:r>
    </w:p>
    <w:p>
      <w:pPr>
        <w:pStyle w:val="Normal1"/>
        <w:rPr/>
      </w:pPr>
      <w:r>
        <w:rPr/>
        <w:t>This is an important point, given that Fanon himself is trained as a psychologist. However, Fanon begins the introduction using colonial expressions of old-world notions of blackness as objects devoid of personhood. As such, he himself is depriving others of personhood, and I am not sure why he is doing so. These expressions prove to me to be quite difficult obstacles to surmount. The ‘educated elite’ who will undoubtedly be well-versed in this literature by the time my own children begin to sit in their classrooms to my unsophisticated mind will have their own heads filled with the most awful views and ideas about who my children are. How are they supposed to be able to draw from their bowels the ability to cognitively navigate around their tutors' words that undoubtedly will have been shaped by these horrendous views?</w:t>
      </w:r>
    </w:p>
    <w:p>
      <w:pPr>
        <w:pStyle w:val="Normal1"/>
        <w:rPr/>
      </w:pPr>
      <w:r>
        <w:rPr/>
        <w:t>As such, cbas are dangerous when they serve as an avenue for interaction with black culture and a proxy for interpersonal interaction, as evidenced not only by Fanon, but by an entire generation of scholarship around what it means to be black. This is true because they undermine true companionship in that a person is only becoming acquainted with a false image. This image is especially harmful because it is created within a framework “that” reifies anti-blackness, but it is not only blacks that are harmed, but rather the human person. In this way, cbas have no bearing on reality, but they take on many seemingly benign forms as well. There is a public perception that such images are not in themselves harmful, for instance as evidenced with the centrality of Fanon’s literature in academia, perhaps this explains the prevalence of cbas in popular culture, even among those who the images are harming most. An important consequence of this is that many of the members of the communities depicted by such images consider aspects of these images to be authentic representations of themselves and of the communities in which they live and of themselves. Therefore, there is strong disagreement regarding whether or not they are harmful (20C History Project 2014; Collins 2006, 2009; Sartwell 1998).</w:t>
      </w:r>
    </w:p>
    <w:p>
      <w:pPr>
        <w:pStyle w:val="Normal1"/>
        <w:rPr/>
      </w:pPr>
      <w:r>
        <w:rPr/>
        <w:t>In another paper, I highlighted some concerns raised by Wendy Laybourn (2018) regarding representation and authenticity. Here, I want to draw attention to some additional similar concerns. What is important here is that these criticisms unfairly focus too narrowly on the black experience and do not do a good enough job in recognizing that these experiences are universal. Given their universality, I argue that a best response is found in a Christian theodicy to evil as a form of suffering.</w:t>
      </w:r>
    </w:p>
    <w:p>
      <w:pPr>
        <w:pStyle w:val="Normal1"/>
        <w:rPr/>
      </w:pPr>
      <w:r>
        <w:rPr/>
        <w:t>Laybourn (2018)’s criticism of black authenticity and what she calls commodified realness is a commodified identity that is sold to a broader public as black authenticity. This criticism is centered around the effects of what she calls controlling images in popular media. Of deep concern here, is that many of the members of the communities depicted by such images consider aspects of these images to be authentic representations and not in themselves harmful. Yet too, this is also a common trope.</w:t>
      </w:r>
    </w:p>
    <w:p>
      <w:pPr>
        <w:pStyle w:val="Normal1"/>
        <w:rPr/>
      </w:pPr>
      <w:r>
        <w:rPr/>
        <w:t>I present this case as an example of a paradigmatic concept of hermeneutic injustice. It is not clear just what aspects of the member’s lives are represented, nor specifically which images are harmful if such images are accepted as representative. An important question here has to do with the relationship between popular narratives that contain these images, and personal identity. One approach argues that we are defined by the stories we accept about ourselves, but this is controversial and it is the point I will address.</w:t>
      </w:r>
    </w:p>
    <w:p>
      <w:pPr>
        <w:pStyle w:val="Normal1"/>
        <w:rPr/>
      </w:pPr>
      <w:r>
        <w:rPr/>
        <w:t>Unfortunately, I will not be able to give Professor Stump an article the treatment that it deserves. However, before we can even understand what psychic disintegration is like, it is first necessary to understand why we might think union with another is a mark of spiritual health. For this, we need a theory of identity. Towards the end of this paper, I will introduce such a theory. First, however, I will discuss a number of examples of what relational desire looks like.</w:t>
      </w:r>
    </w:p>
    <w:p>
      <w:pPr>
        <w:pStyle w:val="Normal1"/>
        <w:rPr/>
      </w:pPr>
      <w:r>
        <w:rPr/>
        <w:t>Robust and Generic Expressions of Regret and Other Popular Forms of Music</w:t>
      </w:r>
    </w:p>
    <w:p>
      <w:pPr>
        <w:pStyle w:val="Normal1"/>
        <w:rPr/>
      </w:pPr>
      <w:r>
        <w:rPr/>
        <w:t>The country music singer George Jones was born September 12, 1931, in Saratoga, Texas. He would die at the age of 81 which is considerable considering the storied life he lived. In the podcast; Cocaine and Rhinestones, and later the book of the same name, Tyler Mahan Coe (2024) dismantles common tropes associated with the singer. Of special importance was Jone’s popular marriage to the other country singer Tammy Wynette, which Coe accusses of being an industry publicity stunt, and his marriage to Nancy Pulvado which credits Jone’s recovery from drug and alcohol addiction.</w:t>
      </w:r>
    </w:p>
    <w:p>
      <w:pPr>
        <w:pStyle w:val="Normal1"/>
        <w:rPr/>
      </w:pPr>
      <w:r>
        <w:rPr/>
        <w:t>The song He Stopped Loving Her Today was completed in 1979 by Bobby Braddock and Curly Putnam, writers for Nashville’s Tree Publishing Company (now Sony Music Publishing) (Jones 1979). At least a year prior to its completion, however, George Jones would be told about it by his producer Billy Sherrill. It would go on to be iconic country music from that era. In it, the narrator speaks of a neighbor’s dissolution of their relationship. It is never made clear what kind of relationship it is, whether a legally recognized marriage, friendship, love affair etc. However, what is made manifest throughout the song is its intensity with the narrator expressing that the day his neighbor died, is the first expression of joy he’d seen from the neighbor since his lover left.</w:t>
      </w:r>
    </w:p>
    <w:p>
      <w:pPr>
        <w:pStyle w:val="Normal1"/>
        <w:rPr/>
      </w:pPr>
      <w:r>
        <w:rPr/>
        <w:t>Love songs may express regret for those moments prior to the narrator’s introduction to the beloved. It is possible that when a song expresses regret for not having met someone sooner, they are thinking about how their life might have gone had they married sooner. Marriage itself is not meaningful for the individual as a stand-alone event. Rather, the marriage only has causal influence on the subsequent events of that person’s life, and it is the person who defines the event in such a way to make it a meaningful marker of their own identity. It is where marriage sits in the overall context of the course of a given relationship, for instance. A marriage event in the context of a short and harmful relationship has a very different meaning than one in the context of a long and loving relationship. Most importantly, however, it is important in the context of the meaning that a person derives from the event.</w:t>
      </w:r>
    </w:p>
    <w:p>
      <w:pPr>
        <w:pStyle w:val="Normal1"/>
        <w:rPr/>
      </w:pPr>
      <w:r>
        <w:rPr/>
        <w:t>Many popular songs are saturated in the emotion of regret. In such contexts, the narrative expresses a negative emotion in response to something a character in the narration did, or that was done to them.</w:t>
      </w:r>
    </w:p>
    <w:p>
      <w:pPr>
        <w:pStyle w:val="Normal1"/>
        <w:rPr/>
      </w:pPr>
      <w:r>
        <w:rPr/>
        <w:t xml:space="preserve">In The Grand Tour (Jones 1974), the narrator as character expresses regrets at having lost a significant other while the song He Stopped Loving Her Today, the narrator, giving a narrative account of someone else also expresses the regret felt by the character when their relationship dissolves. The above are emblematic country songs in that regret is commonly expressed in country music. Different songs express regret in different contexts, however. </w:t>
      </w:r>
      <w:r>
        <w:rPr>
          <w:rStyle w:val="DefaultParagraphFont"/>
          <w:i/>
          <w:iCs/>
        </w:rPr>
        <w:t xml:space="preserve">Apologize </w:t>
      </w:r>
      <w:r>
        <w:rPr/>
        <w:t>by Timbaland is not a country song and expresses regret in a different context. Here the narrator expresses regret for the love that he, the narrator, had felt.</w:t>
      </w:r>
    </w:p>
    <w:p>
      <w:pPr>
        <w:pStyle w:val="Normal1"/>
        <w:rPr/>
      </w:pPr>
      <w:r>
        <w:rPr/>
        <w:t>Love songs often express regret when a relationship ends. In the song The Grand Tour, our attention is drawn to the daily use of items “where she used to . . .” which speak to the fact that they were once shared by people who experienced positive sentiments toward one another. Their current state however suggests that they are no longer used this way “. . . this old house will never be the same . . .”. In The Grand Tour, there is existing controversy over whether the end of the relationship is caused by the narrator, or someone else. In the podcast Cocaine and Rhinestones: The history of country music, Tyler Mahan Coe suggests that the change in the state of the lives of the individuals involved in The Grand Tour is the result of a tragic mishap citing these lines in the song; “There’s her rings, all her things, and her clothes are in the closet” and “as you leave you’ll see the nursery, . . . taking nothing but the baby and my heart”.</w:t>
      </w:r>
    </w:p>
    <w:p>
      <w:pPr>
        <w:pStyle w:val="Normal1"/>
        <w:rPr/>
      </w:pPr>
      <w:r>
        <w:rPr/>
        <w:t>The events in The Grand Tour may not have been caused by the involvement of any agent. For instance, if Coe is correct, then the dissolution of the relationship depicted in The Grand Tour has nothing to do with any actions committed to the part of the narrator or his lost love. In He Stopped Loving Her Today, the regret is more definitively caused by an action when the subject whom the song speaks about is left by their significant other effectively dissolving their relationship. “He said I’ll love you ‘till I die, she told him ’You’ll forget in time’”. Regret can be the result of either an action or an event and the regret in The Grand Tour is likely caused by an event, whereas in Jones’ other song, He Stopped Loving Her Today, it is likely caused by an action for instance if the protagonist pursued undisclosed intimate relationships with others.</w:t>
      </w:r>
    </w:p>
    <w:p>
      <w:pPr>
        <w:pStyle w:val="Normal1"/>
        <w:rPr/>
      </w:pPr>
      <w:r>
        <w:rPr/>
        <w:t>While in the two previous examples regret is expressed upon the end of a relationship or rather its dissolution, in other examples, more positive emotions, rather than regret, are expressed upon the end or dissolution of the relationship rather than of the relationship’s continuance. For instance, Kelly Clarkson’s Since U Been Gone does this: “Since you’ve been gone, I can breathe for the first time . . .”. There are also different reasons for the regret whether expressed for having suffered through the ordeal of that relationship, or for its end. Sometimes the regret is expressed as a longing for various qualities the loved possessed, for instance in the Grand Tour, “over there, sits the chair … and whisper ‘oh I love you’”. For these reasons, narratives can help us to feel closeness and union with the loved one even though they are fictional. Arguably, when a subject experiences this sort of disassociation identified with suffering as expressed above, they can no longer experience regret when losing the things most dear to them. Of important concern here is that to understand the nature of love, we must first understand appropriate expressions of regret.</w:t>
      </w:r>
    </w:p>
    <w:p>
      <w:pPr>
        <w:pStyle w:val="Normal1"/>
        <w:rPr/>
      </w:pPr>
      <w:r>
        <w:rPr/>
        <w:t xml:space="preserve">This correlates with expressions of emotion associated with love, where love has often been defined as the feeling of loving emotions provoked in one party by another. Upon the object’s absence, the subject no longer feels these emotions and experiences of regret on account of this absence (Taylor 1976). The lover can also experience regret in longing for the qualities not possessed by the loved, when someone whom they loved failed to reciprocate with those expressions of that emotion, or failed in some other way. For instance, in Timbaland’s Too Late to </w:t>
      </w:r>
      <w:r>
        <w:rPr>
          <w:rStyle w:val="DefaultParagraphFont"/>
          <w:i/>
          <w:iCs/>
        </w:rPr>
        <w:t xml:space="preserve">Apologize, </w:t>
      </w:r>
      <w:r>
        <w:rPr/>
        <w:t>the following line expresses this: “tell me that you need me then you go and cut me down”. The concern here is that there are other instances when the sufferer is no longer capable of desire for another. As such, they perhaps are then also no longer capable of experiencing or expressing regret.</w:t>
      </w:r>
    </w:p>
    <w:p>
      <w:pPr>
        <w:pStyle w:val="Normal1"/>
        <w:rPr/>
      </w:pPr>
      <w:r>
        <w:rPr/>
        <w:t>Eleonore Stump (2010) writes on the philosophical problem of evil, arguing that what is truly of concern is not the problem of evil, but rather the problem of suffering. To understand the problem that evil presents, we must first understand the nature of suffering. It is in suffering that evil is the most pronounced according to Stump.</w:t>
      </w:r>
    </w:p>
    <w:p>
      <w:pPr>
        <w:pStyle w:val="Normal1"/>
        <w:rPr/>
      </w:pPr>
      <w:r>
        <w:rPr/>
        <w:t>Here, an important component of suffering is psychological dissolution where one experiences a disintegration of the will. A result of this disintegration is that a person becomes divided from themselves and is no longer able to recognize the desires of their own heart. These desires are ultimately related. As such, the person who has become divided suffers in a state Professor Stump refers to as “willed loneliness”, which is a state of psychic disintegration.</w:t>
      </w:r>
    </w:p>
    <w:p>
      <w:pPr>
        <w:pStyle w:val="Normal1"/>
        <w:rPr/>
      </w:pPr>
      <w:r>
        <w:rPr/>
        <w:t xml:space="preserve">Regret is important for Professor Stump’s understanding of love. According to her account, love for another is governed by a desire for the good of the loved one, and for union with the loved one. Here, </w:t>
      </w:r>
      <w:r>
        <w:rPr>
          <w:rStyle w:val="DefaultParagraphFont"/>
          <w:i/>
          <w:iCs/>
        </w:rPr>
        <w:t xml:space="preserve">union </w:t>
      </w:r>
      <w:r>
        <w:rPr/>
        <w:t>is personal rather than physical presence. However, these desires can be undermined by when a person lacks internal psychic integration (Stump 2010, 130). When a person is divided against themselves, they are unable to experience desire for the good, or for the personal presence of others.</w:t>
      </w:r>
    </w:p>
    <w:p>
      <w:pPr>
        <w:pStyle w:val="Normal1"/>
        <w:rPr/>
      </w:pPr>
      <w:r>
        <w:rPr/>
        <w:t>Central to Professor Stump’s concern with love is an inability to appropriately express the emotion of regret. Because this lack is rooted in a disintegration of the will, it is also a psychological dissolution. To desire union with another, a person must first be in union with themselves; they ought to be able to identify with themselves. To understand what Professor Stump means by identity, it will be first helpful to look at some alternatives.</w:t>
      </w:r>
    </w:p>
    <w:p>
      <w:pPr>
        <w:pStyle w:val="Normal1"/>
        <w:rPr/>
      </w:pPr>
      <w:r>
        <w:rPr/>
        <w:t>Identity Reductionism</w:t>
      </w:r>
    </w:p>
    <w:p>
      <w:pPr>
        <w:pStyle w:val="Normal1"/>
        <w:rPr/>
      </w:pPr>
      <w:r>
        <w:rPr/>
        <w:t>Narrative accounts of identity attempt to use the way an individual responds to events in a person’s life to identify the agent through space and time. For instance, in the agency literature, reductionists explain the metaphysical continuity of an object across space and time in terms of personal identity. Derek Parfit (1987) argues that to understand what sort of object a person is, we need to understand two different qualities. These include the nature of a person and their criterion of identity, i.e., their continued existence over time. But when we consider these qualities in contrast to persons versus non-persons, we include not only physical states of matter, but also immaterial ones such as mental states, memories, beliefs, motivations, etc. A person can be identified just if continuity between subsequent immaterial mental states and physical states are achieved.</w:t>
      </w:r>
    </w:p>
    <w:p>
      <w:pPr>
        <w:pStyle w:val="Normal1"/>
        <w:rPr/>
      </w:pPr>
      <w:r>
        <w:rPr/>
        <w:t>Reductionists such as Parfit can define personal identity as the persistence of the human person over time and say that this is reducible to the binding of psychological states with physical matter. Causalism is the most popular account that explains the origin of psychological states, an object A at time T is identical to object B at time T if we can draw a continuous line from object A at time T to object B at time T. The continuous line here is most often mental states such as memory, passions, character traits and dispositions. But often it is the case that those memories we accept as definitive, have their origins in persons or events other than ourselves. There are certain dispositions I have because of persons other than myself signing various documents articulating what rights I recognize as belonging to me for instance.</w:t>
      </w:r>
    </w:p>
    <w:p>
      <w:pPr>
        <w:pStyle w:val="Normal1"/>
        <w:rPr/>
      </w:pPr>
      <w:r>
        <w:rPr/>
        <w:t>While Parfit’s account does show how persons are not mere matter, he and other causalists state that an action performed by an agent is an event caused by the mental state of that agent (Altshuler 2021). The difficulty arises in understanding how mental states are related to prior events. While a mental state may be the source of some event, another event may be the source of another mental state. Regardless of the relationship between mental states and the material universe, it is not clear where the causal chain originates.</w:t>
      </w:r>
    </w:p>
    <w:p>
      <w:pPr>
        <w:pStyle w:val="Normal1"/>
        <w:rPr/>
      </w:pPr>
      <w:r>
        <w:rPr/>
        <w:t>Korsgaard (1989) has argued that on Parfit (1987) ‘s account of identity, a person is primarily a locus of experience (Korsgaard 1989, 103). This means that the way to identify an object as existing through space and time as it correlates with a person, is by identifying a set of experiences between objects across space and time that are connected through a set of events or some other connecting factor. These events are psychological states and ’spatiotemporally continuous living bod[ies]’ (Korsgaard 1989, 104). In this way I might define myself as an American and defend such values as independence and freedom. It is plausible then to draw a line from events in 1776, America’s founding, to my present day. Therefore, I associate various values I hold with events that transpired in 1776 and as such, the psychological states I currently have, have their own origins centuries before. In other words, because a person’s psychological states have prior causes, the states themselves are merely some forms of event and experience.</w:t>
      </w:r>
    </w:p>
    <w:p>
      <w:pPr>
        <w:pStyle w:val="Normal1"/>
        <w:rPr/>
      </w:pPr>
      <w:r>
        <w:rPr/>
        <w:t>Narrative accounts are responses to impersonal accounts. According to narrative accounts, how we frame events such as these is what makes the event meaningful for a given individual (Schechtman 1996, 96). Without narratives, the agency and the identity of the subject is lost among a causal chain of events. This has been called ‘constitution’. In terms of the constitution model of identity, without the binding effect of narrative, the subject of a given event is vicisparate causal chain of cause and effect. Our identity then would merely be an impersonal metaphysical continuation of matter (Korsgaard 1996).</w:t>
      </w:r>
    </w:p>
    <w:p>
      <w:pPr>
        <w:pStyle w:val="Normal1"/>
        <w:rPr/>
      </w:pPr>
      <w:r>
        <w:rPr/>
        <w:t>Altshuler identifies a problem with the above account, namely that it does not account for those events that are not selected by the agent. He argues that such events do have a causal effect on what ultimately constitutes one’s identity. Following Peter Goldberg (2009), Altshuler instead identifies narrative with an agent’s ability to reconfigure their motivational and psychological past with respect to their own reactions to these events. In other words, Altshuler too, defends a self-constitution model of agency and identity, but one on which a person’s responses to his or her past, shape her future identity.</w:t>
      </w:r>
    </w:p>
    <w:p>
      <w:pPr>
        <w:pStyle w:val="Normal1"/>
        <w:rPr/>
      </w:pPr>
      <w:r>
        <w:rPr/>
        <w:t>At the center of the difference between popular narratives like those found in popular songs and narrative identity accounts is that popular narratives are merely ones we are prompted to imagine (Gilmore 2020, 132). But the source of narrative identities is not clear. The question then is what connection those narratives have to those that we are prompted to imagine. John Gilmore (2020) suggests that the relationship is weak and dependent on the function of the imagination for engaging with the work.</w:t>
      </w:r>
    </w:p>
    <w:p>
      <w:pPr>
        <w:pStyle w:val="Normal1"/>
        <w:rPr/>
      </w:pPr>
      <w:r>
        <w:rPr/>
        <w:t>One way narrative identity may relate to popular narratives, is if a response is required by the artist that maps onto what an audience perceives as normative. However, Gilmore (2020) rejects this arguing that different popular narratives have different responses. Further, these responses are not justified by normative expressions of emotion, where the emotion elicited by the context is one we would expect outside the popular narrative [p. 132]. Rather, Gilmore defends an intentionalist stance of normative discontinuity. According to this stance, an author’s intentions constrain and justify the emotional response of their audiences. Accordingly, laughter, which would otherwise be inappropriate, would be an apt response to some fiction. It is not clear whether this view can justify one’s identification with a racist trope of themselves, however.</w:t>
      </w:r>
    </w:p>
    <w:p>
      <w:pPr>
        <w:pStyle w:val="Normal1"/>
        <w:rPr/>
      </w:pPr>
      <w:r>
        <w:rPr/>
        <w:t>Patricia Hill Collins and Wendy Laybourn, on the other hand, suggest a strong relationship (Collins 2006, 2009; Laybourn 2018). The narratives in popular media are controlling images designed to justify racist and sexist attitudes.</w:t>
      </w:r>
    </w:p>
    <w:p>
      <w:pPr>
        <w:pStyle w:val="Normal1"/>
        <w:rPr/>
      </w:pPr>
      <w:r>
        <w:rPr/>
        <w:t>Controlling images “are designed to make racism, sexism, poverty, and other forms of social injustice appear to be natural, normal, and inevitable parts of everyday life” (Collins 2009, 77).</w:t>
      </w:r>
    </w:p>
    <w:p>
      <w:pPr>
        <w:pStyle w:val="Normal1"/>
        <w:rPr/>
      </w:pPr>
      <w:r>
        <w:rPr/>
        <w:t>Here I do not mean to ask about the purpose or the design of such prompted imaginings. Rather than focusing on Laybourn’s context of ‘authenticity’ and ‘realness’ highlights a popular implicit assumption regarding what is true and what is fiction in popular media. Peter Goldberg (2009) highlights our emotions as a form of reflection, especially that of regret. Sometimes as agents, the expression of regret enables one to better exercise their own agency. We can imagine someone being cheated through the purchase of a used car. Looking towards the future, that individual would exercise more caution consequently upon reflection of their mistake. In these moments, the ability to tell a story becomes important as we are enabled by the narrative to recognize the appropriate objects of our emotions in the story. Reflecting on the failed used car purchase, the subject experiences regret. This subsequent experience pushes them to exercise more caution in the future. Similarly, we can compare this to another example.</w:t>
      </w:r>
    </w:p>
    <w:p>
      <w:pPr>
        <w:pStyle w:val="Normal1"/>
        <w:rPr/>
      </w:pPr>
      <w:r>
        <w:rPr/>
        <w:t>Altshuler responds to the reductionistic identity problem by expanding Korsgaard’s analysis. On his account then, we are defined by the stories we accept about ourselves, which is determined by our reflective endorsements rather than reflective endorsements. This reflexive endorsement is determined by emotions we express upon our reflection on our narratives. Since on Altshuler’s account it is possible for the agent to give an accounting for all the experiences she has via reflexive endorsement or rejection, this account does not disregard important agent forming experiences. Therefore, his account is grounded in a more comprehensive description of how the agent goes about selecting events that self-prescribe their identity.</w:t>
      </w:r>
    </w:p>
    <w:p>
      <w:pPr>
        <w:pStyle w:val="Normal1"/>
        <w:rPr/>
      </w:pPr>
      <w:r>
        <w:rPr/>
        <w:t>The locus of the reduction is hard to pin down in the context of the kinds of desires expressed by an entity as complex as a human person. An analogous complexity can be found in many popular love songs. Although a murky concept, narratives offer a promising way to better understand causal and psychological reductionism. This is because they can incorporate and give shape to “a wide range of heterogeneous” mental states and events (Altshuler 2021). By giving shape to these factors, narrative theories explicate an agent’s motivations as a response to environmental effects.</w:t>
      </w:r>
    </w:p>
    <w:p>
      <w:pPr>
        <w:pStyle w:val="Normal1"/>
        <w:rPr/>
      </w:pPr>
      <w:r>
        <w:rPr/>
        <w:t>Narrative production in context</w:t>
      </w:r>
    </w:p>
    <w:p>
      <w:pPr>
        <w:pStyle w:val="Normal1"/>
        <w:rPr/>
      </w:pPr>
      <w:r>
        <w:rPr/>
        <w:t>It is important to point out that comparing narrative identity accounts and popular narratives conflates two different understandings of ‘narrative’. We might think that narratives are insufficient for the kinds of narrative portrayed by Altshuler and Korsgaard. Such narratives then are not controlling in the way Laybourn argues that they are.</w:t>
      </w:r>
    </w:p>
    <w:p>
      <w:pPr>
        <w:pStyle w:val="Normal1"/>
        <w:rPr/>
      </w:pPr>
      <w:r>
        <w:rPr/>
        <w:t>Although narrative offers promise, it is also not clear how we might recognize a narrative in the wild. What does a sample narrative look like? Focusing on expressions of regret in some popular songs may provide one answer. If some songs are narratives, the expressions of regret in them may provide a response to psychological and causal reductionism. As we saw earlier, love songs or anti-love songs can express regret for when the relationship ends, or regret for the relationship not ending sooner; which is another way of thinking about how the narrator’s life may have gone differently.</w:t>
      </w:r>
    </w:p>
    <w:p>
      <w:pPr>
        <w:pStyle w:val="Normal1"/>
        <w:rPr/>
      </w:pPr>
      <w:r>
        <w:rPr/>
        <w:t>What is important about the expression of the feeling of regret here, is what that experience does for the agent’s behavior going forward in the context of the meaning that the narrative gives to that event, or the agent derives from it. Love songs could be a form of narrative thinking in both the philosophical context and the popular one. Importantly here, however, love songs might be a process by which someone organizes their experience and creates their own identity (Schechtman 1996).</w:t>
      </w:r>
    </w:p>
    <w:p>
      <w:pPr>
        <w:pStyle w:val="Normal1"/>
        <w:rPr/>
      </w:pPr>
      <w:r>
        <w:rPr/>
        <w:t>As such, the second kind of question is a question about what we believe to be true about ourselves. Related to this then is a question about what extent do our environments contribute to our beliefs about what is true about ourselves, including our morals and other obligations. Here I suggest then that how we should understand such questions, who we are, is in the form of narrative regrets. How we should understand art then is as a way of exploring expressions of narrative regret.</w:t>
      </w:r>
    </w:p>
    <w:p>
      <w:pPr>
        <w:pStyle w:val="Normal1"/>
        <w:rPr/>
      </w:pPr>
      <w:r>
        <w:rPr/>
        <w:t>Even more important for our context of identity, this narrative thinking is always done in the context of self-other relationships. As such, the emotion of love is important, and regret is important for understanding the importance of love for self-identity. Without this particularly self-other relational thinking rooted in love, it is difficult for the victim to develop an authentic understanding of who she is.</w:t>
      </w:r>
    </w:p>
    <w:p>
      <w:pPr>
        <w:pStyle w:val="Normal1"/>
        <w:rPr/>
      </w:pPr>
      <w:r>
        <w:rPr/>
        <w:t>Here, regret is either appropriate to aspects of the story which bear no direct relation to the narrator, or ones that do. Being able to recognize and reflect on emotions enables one to express their agency going forward. What regret is afforded to the subject when reflecting decisions made by themselves?</w:t>
      </w:r>
    </w:p>
    <w:p>
      <w:pPr>
        <w:pStyle w:val="Normal1"/>
        <w:rPr/>
      </w:pPr>
      <w:r>
        <w:rPr/>
        <w:t>An important point here seems to be two differing concepts of regret. On the one hand, regret leads to more agency in an individual. Other times the regret does not represent such an expanded agency. It will be helpful to understand the two different senses of regret. Importantly, when a person lacks appropriate regret, they do so because of their inability to desire union with another which is caused by a lack of integration in themselves. Professor Stump here defends a Thomistic view which says that God could cooperate “with a person’s own higher-order desires” and give them the power to will “some particular good” (Stump 2010, 160).</w:t>
      </w:r>
    </w:p>
    <w:p>
      <w:pPr>
        <w:pStyle w:val="Normal1"/>
        <w:rPr/>
      </w:pPr>
      <w:r>
        <w:rPr/>
        <w:t>As such, Professor Stump defines sanctification as “a person is also loving God” in that in their God assisted desire to desire a good will, they are also desiring “internal integration” with God. In other words, a person can achieve integration within themselves when they ask for and accept God’s help to ask for help to have appropriate desires. As such, the appropriate kind of regret is bestowed on individuals as an act of God’s grace.</w:t>
      </w:r>
    </w:p>
    <w:p>
      <w:pPr>
        <w:pStyle w:val="Normal1"/>
        <w:rPr/>
      </w:pPr>
      <w:r>
        <w:rPr/>
        <w:t>In this context, narrative is substantial in our lives as it provides ways of thinking about how our lives may have gone differently, or may go differently and why; our plans for the future and how things might turn out.[1] Thinking in this way leads to regret if we are disappointed in a particular choice we have made. Our feelings of regret can cause us to behave differently in the future. Questions about narrative thinking just are questions about moral agency.</w:t>
      </w:r>
    </w:p>
    <w:p>
      <w:pPr>
        <w:pStyle w:val="Normal1"/>
        <w:rPr/>
      </w:pPr>
      <w:r>
        <w:rPr/>
        <w:t>Importantly, the possible prospect of being able to imagine today what a morally good life will look like for us tomorrow, is a question about how what we believe about ourselves today, including what desires we have, influence our ability to pursue these ways of being. These in turn determine our regrets. Imagining what kind of person our spouse will be can perhaps open up some romantic possibilities while closing others. Imagining where we will buy our first home may restrict our career choices, just like imagining how many children we will have may affect where we want to live. But more importantly, having various beliefs about us undergird all these other possibilities.</w:t>
      </w:r>
    </w:p>
    <w:p>
      <w:pPr>
        <w:pStyle w:val="Normal1"/>
        <w:rPr/>
      </w:pPr>
      <w:r>
        <w:rPr/>
        <w:t>More importantly, we can develop a sense of agency when we imagine ways in which our friendships, family ties, and other important relationships will go. These are preceded by beliefs in us about ways they could go. We can imagine the type of person we are to others and take the necessary steps for becoming that person, if we believe it is possible. As such, the person we will be and how we will relate to others is the goal that is formed by a narrative. Consider one particular narrative; we imagine ourselves as thoughtful, kind, considerate, loving, or compassionate. Imagining ourselves this way becomes the motivation we need to read up on the latest parenting methods. We might imagine ourselves being invited to witness the birth of a friend’s first child and scouring the internet for advice on how to be a better gift giver.</w:t>
      </w:r>
    </w:p>
    <w:p>
      <w:pPr>
        <w:pStyle w:val="Normal1"/>
        <w:rPr/>
      </w:pPr>
      <w:r>
        <w:rPr/>
        <w:t>While the argument that the way we imagine our lives going can have a positive causal effect on the kind of person we become, one may argue that this view is too optimistic. To what extent do the experiences we have shape the person we become? For instance, Eric J. Miller (2020) argues that victimhood imposes normative standards that ground the moral status of the victim. What he means is that social roles, such as victims, determine the values we are expected to live by.</w:t>
      </w:r>
    </w:p>
    <w:p>
      <w:pPr>
        <w:pStyle w:val="Normal1"/>
        <w:rPr/>
      </w:pPr>
      <w:r>
        <w:rPr/>
        <w:t>As a victim, there are various normative standards imposed on us that undermine our ability to imagine other parenting styles and values, such as those relating to how we protect and nourish our children. Libertarian values may be those we are less apt to promote in our homes. One reason is that when victims as parents, or the parents of victims, instruct a child, they must instruct them to act in self-subordinating ways “when confronted by the police” [221] rather than in ways that assert their autonomy.</w:t>
      </w:r>
    </w:p>
    <w:p>
      <w:pPr>
        <w:pStyle w:val="Normal1"/>
        <w:rPr/>
      </w:pPr>
      <w:r>
        <w:rPr/>
        <w:t>Consider the following example narratives:</w:t>
      </w:r>
    </w:p>
    <w:p>
      <w:pPr>
        <w:pStyle w:val="Normal1"/>
        <w:rPr/>
      </w:pPr>
      <w:r>
        <w:rPr/>
        <w:t></w:t>
      </w:r>
      <w:r>
        <w:rPr/>
        <w:t>Ty Dolla’s by Yourself: “Stacked your bread and bought your own Mercedes (Vroom, vroom). You your own boss, do it your way (Way)</w:t>
      </w:r>
    </w:p>
    <w:p>
      <w:pPr>
        <w:pStyle w:val="Normal1"/>
        <w:rPr/>
      </w:pPr>
      <w:r>
        <w:rPr/>
        <w:t>The song’s protagonist is faced with a given environment that forces her to exert her independence rather than her social bonds. As such, her lack of regret is a normative standard imposed on her. We can contrast this situation with the possibility that while material goods may or may not be a necessary condition for well-being, they are certainly not a sufficient one as expressed in other popular songs. The protagonist in the song Rich and Sad by Post Malone, looks back over other events, motives, and desires that resulted in the dissolution of his relationship and he feels sadness, as an expression of regret:</w:t>
      </w:r>
    </w:p>
    <w:p>
      <w:pPr>
        <w:pStyle w:val="Normal1"/>
        <w:rPr/>
      </w:pPr>
      <w:r>
        <w:rPr/>
        <w:t>“</w:t>
      </w:r>
      <w:r>
        <w:rPr/>
        <w:t>All this stuntin’ couldn’t satisfy my soul (–oul), Got a hundred big places, but I’m still alone (–one)”.</w:t>
      </w:r>
    </w:p>
    <w:p>
      <w:pPr>
        <w:pStyle w:val="Normal1"/>
        <w:rPr/>
      </w:pPr>
      <w:r>
        <w:rPr/>
        <w:t>First, each of the above narratives are constrained by beliefs the narrator may have about themselves. In the first, the narrator, believing they have no other choice but to cut themselves off from anyone who is unable to contribute financially. But it does lead to another criticism, the agency of the artist versus that of the audience. Some music criticisms will often point out that musical taste assumes a sense of moral autonomy not available to some. If an artist is accustomed to abject poverty, then that person might be seen as vulnerable to market forces, creating art that is in high demand for the purposes of financial gain (Laybourn 2018), or only capable of representing their immediate physical environment (Richardson and Scott 2002). Regrets within narratives is examples of such narrative agency. But if Eric Miller is correct, then some populations just do not possess agency in the requisite sense. But this view would thoroughly undermine decades of social justice movements in law and elsewhere.</w:t>
      </w:r>
    </w:p>
    <w:p>
      <w:pPr>
        <w:pStyle w:val="Normal1"/>
        <w:rPr/>
      </w:pPr>
      <w:r>
        <w:rPr/>
        <w:t>The common responses to such criticisms come in two forms. They typically make some causal claim about the effects of environment on both artistic performance (Richardson and Scott 2002), and audience music selection criteria, for instance, that artists are merely defining their personal experiences (Shusterman 2007, 419). These responses highlight unequal wealth opportunities imposing normative standards on their victims. The second kind of response makes a cultural claim derived from supposed traditional practices in pre-colonial Africa (Abrahams 2006).</w:t>
      </w:r>
    </w:p>
    <w:p>
      <w:pPr>
        <w:pStyle w:val="Normal1"/>
        <w:rPr/>
      </w:pPr>
      <w:r>
        <w:rPr/>
        <w:t>Importantly here, the responses that are grounded in assertions about the culture of pre-colonial Africa are not necessarily a response to the empirical claims about the representations of anti-social behavior in rap and hip-hop music, but rather to the metaphorical use of language exhibited by pre-colonial African tribal practices. What are commonly noted as anti-social themes in rap and hip-hop then are downplayed as wordplay underlying a cultural or political critique or something else entirely. Namely, the references to violence and misogyny are allegorical, not literal (Smitherman 1997; Gates 1989).</w:t>
      </w:r>
    </w:p>
    <w:p>
      <w:pPr>
        <w:pStyle w:val="Normal1"/>
        <w:rPr/>
      </w:pPr>
      <w:r>
        <w:rPr/>
        <w:t>Magnus and Malone (2023) give such an account by highlighting the criminal prosecutions that cite song lyrics as testimonial confessions. Malone argues that being too generous in treating artistic assertions as truth in songs, commits the harm of art-interpretive injustice. She argues that the listener, in this case the prosecution, extends the wrong degree of credibility to the artist. Instead of interpreting the song's lyrics as art, the listener interprets the lyrics as testimony.</w:t>
      </w:r>
    </w:p>
    <w:p>
      <w:pPr>
        <w:pStyle w:val="Normal1"/>
        <w:rPr/>
      </w:pPr>
      <w:r>
        <w:rPr/>
        <w:t>Importantly, a component of Malone’s argument is that prosecutions do not treat other genres of music based on the content of their art. However, there is another and more important issue at concern here. This worry is found in the dual character account of art Malone has previously defended. There, Malone argues that authentic country music is a dual character art-form that embodies “the core value commitments of the genre” (Malone 2023, 1). According to this view, country music, like punk rock and hip-hop (Liao, Meskin, and Knobe 2020) constitute core value commitments. As such, following the dual character account of art, it is not clear what level of credibility we should assign to the song lyrics in criminal prosecutions.</w:t>
      </w:r>
    </w:p>
    <w:p>
      <w:pPr>
        <w:pStyle w:val="Normal1"/>
        <w:rPr/>
      </w:pPr>
      <w:r>
        <w:rPr/>
        <w:t>Consider the following dialogue used by Liao, Meskin, and Knobe (2020), 7-8:</w:t>
      </w:r>
    </w:p>
    <w:p>
      <w:pPr>
        <w:pStyle w:val="Normal1"/>
        <w:rPr/>
      </w:pPr>
      <w:r>
        <w:rPr/>
        <w:t>The Scientist</w:t>
      </w:r>
    </w:p>
    <w:p>
      <w:pPr>
        <w:pStyle w:val="Normal1"/>
        <w:rPr/>
      </w:pPr>
      <w:r>
        <w:rPr/>
        <w:t>Alfie: She is not a scientist. I know many people think she is a scientist, but when you think about what scientists really are, you will realize that she is not a scientist at all.</w:t>
      </w:r>
    </w:p>
    <w:p>
      <w:pPr>
        <w:pStyle w:val="Normal1"/>
        <w:rPr/>
      </w:pPr>
      <w:r>
        <w:rPr/>
        <w:t>Betty: Of course she is a scientist. She is skilled at running experiments and publishing in scientific journals.</w:t>
      </w:r>
    </w:p>
    <w:p>
      <w:pPr>
        <w:pStyle w:val="Normal1"/>
        <w:rPr/>
      </w:pPr>
      <w:r>
        <w:rPr/>
        <w:t>Alfie: That is not what I meant! What I meant is that she does not possess a genuine willingness to revise her beliefs in light of empirical evidence.</w:t>
      </w:r>
    </w:p>
    <w:p>
      <w:pPr>
        <w:pStyle w:val="Normal1"/>
        <w:rPr/>
      </w:pPr>
      <w:r>
        <w:rPr/>
        <w:t>The Christian</w:t>
      </w:r>
    </w:p>
    <w:p>
      <w:pPr>
        <w:pStyle w:val="Normal1"/>
        <w:rPr/>
      </w:pPr>
      <w:r>
        <w:rPr/>
        <w:t>Alfie: She is not a Christian. I know many people think she is a Christian, but when you think about what it really means to be a Christian, you will realize that she is not a Christian at all.</w:t>
      </w:r>
    </w:p>
    <w:p>
      <w:pPr>
        <w:pStyle w:val="Normal1"/>
        <w:rPr/>
      </w:pPr>
      <w:r>
        <w:rPr/>
        <w:t>Betty: Of course she is a Christian. She goes to church every week and believes that Jesus is the son of God.</w:t>
      </w:r>
    </w:p>
    <w:p>
      <w:pPr>
        <w:pStyle w:val="Normal1"/>
        <w:rPr/>
      </w:pPr>
      <w:r>
        <w:rPr/>
        <w:t>Alfie: That is not what I meant! What I meant is that she does not show genuine compassion.</w:t>
      </w:r>
    </w:p>
    <w:p>
      <w:pPr>
        <w:pStyle w:val="Normal1"/>
        <w:rPr/>
      </w:pPr>
      <w:r>
        <w:rPr/>
        <w:t>Malone follows Liao, Meskin, and Knobe (2020) who argue that we can “pick out the concepts” for which people make various judgments as those above, by distinguishing them from the kinds of judgments “from concepts for which people would not make such judgments” (Liao, Meskin, and Knobe 2020, 6). Here, many things will both satisfy and at the same time fail to satisfy the criteria that allow one to make identity judgments. I argue that here, as a character attribution, these concepts enable one to judge whether someone truly belongs to a given category.</w:t>
      </w:r>
    </w:p>
    <w:p>
      <w:pPr>
        <w:pStyle w:val="Normal1"/>
        <w:rPr/>
      </w:pPr>
      <w:r>
        <w:rPr/>
        <w:t>What is important among these responses, however, is that they too undermine attributions of personal identity and human agency and go against the dual character concept of art. A question they force us to ask; is what songs belong in each category? Separately, some have held that we can determine the values an artist holds, by carefully listening to the song lyrics they write. Although this fact would suggest that an artist’s lyrics might qualify as a personal narrative defining an artist’s identity and agency, it is not clear whether such narratives would qualify on this account of narrative agency.</w:t>
      </w:r>
    </w:p>
    <w:p>
      <w:pPr>
        <w:pStyle w:val="Normal1"/>
        <w:rPr/>
      </w:pPr>
      <w:r>
        <w:rPr/>
        <w:t>Altshuler’s account could give more credence to music lyrics as an example narrative in the psychological sense; it is not clear how this may be the case. According to some accounts, an artist’s written lyrics and musical arrangement merely express plausible values someone might hold (Malone 2023), while others articulate them as more definitive (Meissner and Huebner 2022), still others argue that art is functional (Gilmore 2020), thereby leaving open the possibility they could count as narrative in the functional sense, but do not do so necessarily.</w:t>
      </w:r>
    </w:p>
    <w:p>
      <w:pPr>
        <w:pStyle w:val="Normal1"/>
        <w:rPr/>
      </w:pPr>
      <w:r>
        <w:rPr/>
        <w:t>For instance, Whyte (2018), Meissner and Huebner (2022) have argued that settler colonial imaginaries define what they call settler ecologies. These are narratives that replace existing narratives. They are pro-social concepts that are central for members of a given community and include beliefs that are central to a group’s flourishing. They can include songs that invoke tropes of indigenous identities. Tim McGraw’s song Indian Outlaw is an example of this sort of practice. In the song, he claims to be half Cherokee and half Choctaw. But it is ambiguous whether he is referring to the character, or if the song is loosely biographical. Either way, it offers a portrait about what it means to be indigenous American. Importantly, the song is not aiming at the truth of what it means to be indigenous American. As such, Meissner and Huebner (2022) argue that it fortifies the ignorance of the people and the land that they inhabit. Most importantly, it undermines relational networks between the people that would sustain their co-flourishing.</w:t>
      </w:r>
    </w:p>
    <w:p>
      <w:pPr>
        <w:pStyle w:val="Normal1"/>
        <w:rPr/>
      </w:pPr>
      <w:r>
        <w:rPr/>
        <w:t>It may be that rap and hip-hop are not good example narratives. But they show promises. Consider the question above, is some material good a necessary and sufficient condition for well-being as expressed in some popular songs? As narratives, the two examples above would better explain why some events happened. Why the protagonist in by yourself severed their relationship with their significant other, and why the protagonist in Rich and Sad is rich and sad.</w:t>
      </w:r>
    </w:p>
    <w:p>
      <w:pPr>
        <w:pStyle w:val="Normal1"/>
        <w:rPr/>
      </w:pPr>
      <w:r>
        <w:rPr/>
        <w:t>Here, we primarily contrast [money] as the material object expressing that it:</w:t>
      </w:r>
    </w:p>
    <w:p>
      <w:pPr>
        <w:pStyle w:val="Normal1"/>
        <w:rPr/>
      </w:pPr>
      <w:r>
        <w:rPr/>
        <w:t>“</w:t>
      </w:r>
      <w:r>
        <w:rPr/>
        <w:t>could satisfy my soul”</w:t>
      </w:r>
    </w:p>
    <w:p>
      <w:pPr>
        <w:pStyle w:val="Normal1"/>
        <w:rPr/>
      </w:pPr>
      <w:r>
        <w:rPr/>
        <w:t>And contrasting this with [money] as the material object expressing that it:</w:t>
      </w:r>
    </w:p>
    <w:p>
      <w:pPr>
        <w:pStyle w:val="Normal1"/>
        <w:rPr/>
      </w:pPr>
      <w:r>
        <w:rPr/>
        <w:t>“</w:t>
      </w:r>
      <w:r>
        <w:rPr/>
        <w:t>could not satisfy my soul”.</w:t>
      </w:r>
    </w:p>
    <w:p>
      <w:pPr>
        <w:pStyle w:val="Normal1"/>
        <w:rPr/>
      </w:pPr>
      <w:r>
        <w:rPr/>
        <w:t>One way that narratives are thought to explain agency then, is by synchronizing incongruous events, states, and motives. As such, a narrative can say yes; money is either a necessary and sufficient condition for well-being for some agent or not. As such, the expression of regret offer a plausible way to recognize the core of one’s agency.</w:t>
      </w:r>
    </w:p>
    <w:p>
      <w:pPr>
        <w:pStyle w:val="Normal1"/>
        <w:rPr/>
      </w:pPr>
      <w:r>
        <w:rPr/>
        <w:t>Recognizing the form of some plausible narratives may help to understand how to recognize a narrative if we say it. The various incidents and events have made it difficult for the agent to recognize value in non-material objects. We can, and often do, ask a meta-ethical question about what kinds of objects are truly of moral value and why. The narrative provides us with a plausible account of why. For instance, we can ask to what extent the quest for consumer goods ought to outweigh other pursuits such as time with one’s children or calling one’s mother on Sunday. What is probably missing from the above is the understanding that there is a difference between only some material possession being necessary for well-being, versus some non-material possession being necessary for well-being.</w:t>
      </w:r>
    </w:p>
    <w:p>
      <w:pPr>
        <w:pStyle w:val="Normal1"/>
        <w:rPr/>
      </w:pPr>
      <w:r>
        <w:rPr/>
        <w:t>But exactly how are material and non-material objects expressed over and against one another other? It may be the case that volunteering at an orphanage is of moral value, and it can be expressed in song in at least two ways. Lyrically, “I wish I had volunteered at the orphanage yesterday”. Or lyrically that expresses a negative outcome for not having volunteered at the orphanage yesterday. In constructing lyrics of the second form, the author chooses words that either have been historically encoded with the sentiment she is hoping to ascribe to a state of affairs, or is potentially encoded with that sentiment in such a way that the desired emotion is potentially ascribed to that state of affairs. However, if I neglect my children in volunteering at an orphanage, then my volunteering is of reduced moral value and we could imagine a lyrics saying “I wish I had spent time with my children instead of volunteering at the orphanage yesterday”, or that says “I spent so many hours at the orphanage that I do not know who my own children are anymore”; or “I spent hours at the orphanage, I do not know who my own children are anymore”.</w:t>
      </w:r>
    </w:p>
    <w:p>
      <w:pPr>
        <w:pStyle w:val="Normal1"/>
        <w:rPr/>
      </w:pPr>
      <w:r>
        <w:rPr/>
        <w:t>We can also express a normative question about what behaviors are appropriate, when we should be kind, or whether a given action is more kind than another using similar methods. But there are additional interesting questions. As inferred above, we ask about the context in which a given ethical question is of moral value, and we can express it as a value by inviting the audience to reflect on such expressions by coercing their emotions accordingly. Volunteering my time at an orphanage is of moral value, and so I would use music or poetry to evoke emotions in the audience that correspond with this value. Considering that context is a way to assess the rationality of a given question, emotional expression in art is a way to make sense of that question. Making sense of the question helps us to anticipate the answer in at least two ways. What does the artist suggest is valuable, we would then look at the emotional expressions in her art, and what is the agent potentially capable of valuing.</w:t>
      </w:r>
    </w:p>
    <w:p>
      <w:pPr>
        <w:pStyle w:val="Normal1"/>
        <w:rPr/>
      </w:pPr>
      <w:r>
        <w:rPr/>
        <w:t>For instance, assuming that Jill is the last sentient creature on a faraway planet, it may not make sense to ask what Jill’s ethical obligations are to those around her. But contexts regarding ethical questions are important. There are two important such contexts here; socio-economic or cultural environments, and psychological or social ones. Given questions about morality, our concerns are largely about how we should behave toward others. For many years, this was answered by referencing cultural and socio-economic conditions. More controversially, it has also been answered by referencing psychological or social conditions. But this is not the same as asking whether a given question about ethical obligation makes sense or not. It would not make sense to say a person with a medical condition that precludes the experience of empathy, has an ethical obligation to experience the emotions that align with empathy. There is a way in which our questions about moral behavior should make sense. This is in the context of our behavior toward others. Most humans will generally live in contexts wherein our behavior to others should have a kind of rationality about them, in valuing our relationships with others.</w:t>
      </w:r>
    </w:p>
    <w:p>
      <w:pPr>
        <w:pStyle w:val="Normal1"/>
        <w:rPr/>
      </w:pPr>
      <w:r>
        <w:rPr/>
        <w:t>The social version of this question is more opaque. It is a question about our social environments and to what extent our social environments can provide us with the resources necessary to fulfill our moral obligations. Once again, there are two categories of questions here. For instance, consider our choices as to what kind of careers would make fulfilling our moral obligations possible. If we recognize a moral obligation to give vast amounts of wealth to charity, then we could pursue a set of social connections (work hard in high school and get into a good university) that would make our ability to fulfill this obligation more likely. The other category of question is even more difficult, however. It begins as a question about us and the sources of our beliefs as to what is possible, and what is not. We would start with a question about what is true about ourselves. Related to this is a question about what extent do those around us contribute to our beliefs about what is true about ourselves and what is obligatory about our behavior. If we consider that we have a moral obligation to support national health, then there are some political parties we might campaign on behalf of and others we would not. Here I suggest that how we should understand such questions is in the form of a narrative.</w:t>
      </w:r>
    </w:p>
    <w:p>
      <w:pPr>
        <w:pStyle w:val="Normal1"/>
        <w:rPr/>
      </w:pPr>
      <w:r>
        <w:rPr/>
        <w:t>Works Cited</w:t>
      </w:r>
    </w:p>
    <w:p>
      <w:pPr>
        <w:pStyle w:val="Normal1"/>
        <w:rPr/>
      </w:pPr>
      <w:r>
        <w:rPr/>
        <w:t>20C History Project. 2014. “Video Music Box: Rap Debate with Ice-T and Calvin Butts.”</w:t>
      </w:r>
    </w:p>
    <w:p>
      <w:pPr>
        <w:pStyle w:val="Normal1"/>
        <w:rPr/>
      </w:pPr>
      <w:r>
        <w:rPr/>
        <w:t>Abrahams, Roger D. 2006. Deep down in the Jungle: Black American Folklore from the Streets of Philadelphia. New Brunswick, N.J.: Transaction Publishers.</w:t>
      </w:r>
    </w:p>
    <w:p>
      <w:pPr>
        <w:pStyle w:val="Normal1"/>
        <w:rPr/>
      </w:pPr>
      <w:r>
        <w:rPr/>
        <w:t xml:space="preserve">Altshuler, Roman. 2021. “Agency, Narrative, and Mortality.” In The Routledge Handbook of Philosophy of Agency, 1st ed., 385–93. London: Routledge. </w:t>
      </w:r>
      <w:hyperlink r:id="rId2" w:tgtFrame="_top">
        <w:r>
          <w:rPr>
            <w:rStyle w:val="InternetLink"/>
          </w:rPr>
          <w:t>https://doi.org/10.4324/9780429202131-43</w:t>
        </w:r>
      </w:hyperlink>
      <w:r>
        <w:rPr/>
        <w:t>.</w:t>
      </w:r>
    </w:p>
    <w:p>
      <w:pPr>
        <w:pStyle w:val="Normal1"/>
        <w:rPr/>
      </w:pPr>
      <w:r>
        <w:rPr/>
        <w:t xml:space="preserve">Bratman, Michael E. 2000. “Reflection, Planning, and Temporally Extended Agency.” The Philosophical Review 109 (1): 35–61. </w:t>
      </w:r>
      <w:hyperlink r:id="rId3" w:tgtFrame="_top">
        <w:r>
          <w:rPr>
            <w:rStyle w:val="InternetLink"/>
          </w:rPr>
          <w:t>https://doi.org/10.2307/2693554</w:t>
        </w:r>
      </w:hyperlink>
      <w:r>
        <w:rPr/>
        <w:t>.</w:t>
      </w:r>
    </w:p>
    <w:p>
      <w:pPr>
        <w:pStyle w:val="Normal1"/>
        <w:rPr/>
      </w:pPr>
      <w:r>
        <w:rPr/>
        <w:t>Coe, Tyler Mahan. 2024. Cocaine and Rhinestones: A History of George Jones and Tammy Wynette. 1st ed. New York: Simon &amp; Schuster.</w:t>
      </w:r>
    </w:p>
    <w:p>
      <w:pPr>
        <w:pStyle w:val="Normal1"/>
        <w:rPr/>
      </w:pPr>
      <w:r>
        <w:rPr/>
        <w:t>Collins, Patricia Hill. 2006. Black Sexual Politics: African Americans, Gender, and the New Racism. Sociology Race &amp; Ethnicity. New York: Routledge.</w:t>
      </w:r>
    </w:p>
    <w:p>
      <w:pPr>
        <w:pStyle w:val="Normal1"/>
        <w:rPr/>
      </w:pPr>
      <w:r>
        <w:rPr/>
        <w:t>———</w:t>
      </w:r>
      <w:r>
        <w:rPr/>
        <w:t xml:space="preserve">. 2009. Black Feminist Thought: Knowledge, Consciousness, and the Politics of Empowerment. 2nd ed. Routledge Classics. New York: Routledge. </w:t>
      </w:r>
      <w:hyperlink r:id="rId4" w:tgtFrame="_top">
        <w:r>
          <w:rPr>
            <w:rStyle w:val="InternetLink"/>
          </w:rPr>
          <w:t>https://doi.org/10.4324/9780203309506</w:t>
        </w:r>
      </w:hyperlink>
      <w:r>
        <w:rPr/>
        <w:t>.</w:t>
      </w:r>
    </w:p>
    <w:p>
      <w:pPr>
        <w:pStyle w:val="Normal1"/>
        <w:rPr/>
      </w:pPr>
      <w:r>
        <w:rPr/>
        <w:t>Gates, Henry Louis. 1989. The Signifying Monkey: A Theory of African American Literary Criticism. Oxford University Press, USA.</w:t>
      </w:r>
    </w:p>
    <w:p>
      <w:pPr>
        <w:pStyle w:val="Normal1"/>
        <w:rPr/>
      </w:pPr>
      <w:r>
        <w:rPr/>
        <w:t xml:space="preserve">Gilmore, Jonathan. 2020. Apt Imaginings: Feelings for Fictions and Other Creatures of the Mind. 1st ed. Oxford University Press. </w:t>
      </w:r>
      <w:hyperlink r:id="rId5" w:tgtFrame="_top">
        <w:r>
          <w:rPr>
            <w:rStyle w:val="InternetLink"/>
          </w:rPr>
          <w:t>https://doi.org/10.1093/oso/9780190096342.001.0001</w:t>
        </w:r>
      </w:hyperlink>
      <w:r>
        <w:rPr/>
        <w:t>.</w:t>
      </w:r>
    </w:p>
    <w:p>
      <w:pPr>
        <w:pStyle w:val="Normal1"/>
        <w:rPr/>
      </w:pPr>
      <w:r>
        <w:rPr/>
        <w:t xml:space="preserve">Goldberg, Sanford. 2009. “Experts, Semantic and Epistemic.” Nous 43 (4): 581–98. </w:t>
      </w:r>
      <w:hyperlink r:id="rId6" w:tgtFrame="_top">
        <w:r>
          <w:rPr>
            <w:rStyle w:val="InternetLink"/>
          </w:rPr>
          <w:t>https://doi.org/10.1111/j.1468-0068.2009.00720.x</w:t>
        </w:r>
      </w:hyperlink>
      <w:r>
        <w:rPr/>
        <w:t>.</w:t>
      </w:r>
    </w:p>
    <w:p>
      <w:pPr>
        <w:pStyle w:val="Normal1"/>
        <w:rPr/>
      </w:pPr>
      <w:r>
        <w:rPr/>
        <w:t xml:space="preserve">Jackson, Zakiyyah Iman. 2020. Becoming Human: Matter and Meaning in an Antiblack World. Vol. 53. NYU Press. </w:t>
      </w:r>
      <w:hyperlink r:id="rId7" w:tgtFrame="_top">
        <w:r>
          <w:rPr>
            <w:rStyle w:val="InternetLink"/>
          </w:rPr>
          <w:t>https://www.jstor.org/stable/j.ctv1n6ptnn</w:t>
        </w:r>
      </w:hyperlink>
      <w:r>
        <w:rPr/>
        <w:t>.</w:t>
      </w:r>
    </w:p>
    <w:p>
      <w:pPr>
        <w:pStyle w:val="Normal1"/>
        <w:rPr/>
      </w:pPr>
      <w:r>
        <w:rPr/>
        <w:t>Jones, George. 1974. “The Grand Tour.” Nashville, TN.</w:t>
      </w:r>
    </w:p>
    <w:p>
      <w:pPr>
        <w:pStyle w:val="Normal1"/>
        <w:rPr/>
      </w:pPr>
      <w:r>
        <w:rPr/>
        <w:t>———</w:t>
      </w:r>
      <w:r>
        <w:rPr/>
        <w:t>. 1979. “He Stopped Loving Her Today.” Nashville TN: Epic Records.</w:t>
      </w:r>
    </w:p>
    <w:p>
      <w:pPr>
        <w:pStyle w:val="Normal1"/>
        <w:rPr/>
      </w:pPr>
      <w:r>
        <w:rPr/>
        <w:t xml:space="preserve">Korsgaard, Christine M. 1989. “Personal Identity and the Unity of Agency: A Kantian Response to Parfit.” Philosophy &amp; Public Affairs 18 (2): 101–32. </w:t>
      </w:r>
      <w:hyperlink r:id="rId8" w:tgtFrame="_top">
        <w:r>
          <w:rPr>
            <w:rStyle w:val="InternetLink"/>
          </w:rPr>
          <w:t>https://www.jstor.org/stable/2265447</w:t>
        </w:r>
      </w:hyperlink>
      <w:r>
        <w:rPr/>
        <w:t>.</w:t>
      </w:r>
    </w:p>
    <w:p>
      <w:pPr>
        <w:pStyle w:val="Normal1"/>
        <w:rPr/>
      </w:pPr>
      <w:r>
        <w:rPr/>
        <w:t>———</w:t>
      </w:r>
      <w:r>
        <w:rPr/>
        <w:t>. 1996. The Sources of Normativity. Cambridge: Cambridge University Press.</w:t>
      </w:r>
    </w:p>
    <w:p>
      <w:pPr>
        <w:pStyle w:val="Normal1"/>
        <w:rPr/>
      </w:pPr>
      <w:r>
        <w:rPr/>
        <w:t xml:space="preserve">Laybourn, Wendy M. 2018. “The Cost of Being ‘Real’: Black Authenticity, Colourism, and Billboard Rap Chart Rankings.” Ethnic and Racial Studies 41 (11): 2085–2103. </w:t>
      </w:r>
      <w:hyperlink r:id="rId9" w:tgtFrame="_top">
        <w:r>
          <w:rPr>
            <w:rStyle w:val="InternetLink"/>
          </w:rPr>
          <w:t>https://doi.org/10.1080/01419870.2017.1343484</w:t>
        </w:r>
      </w:hyperlink>
      <w:r>
        <w:rPr/>
        <w:t>.</w:t>
      </w:r>
    </w:p>
    <w:p>
      <w:pPr>
        <w:pStyle w:val="Normal1"/>
        <w:rPr/>
      </w:pPr>
      <w:r>
        <w:rPr/>
        <w:t xml:space="preserve">Liao, Shen-yi, Aaron Meskin, and Joshua Knobe. 2020. “Dual Character Art Concepts.” Pacific Philosophical Quarterly 101 (1): 102–28. </w:t>
      </w:r>
      <w:hyperlink r:id="rId10" w:tgtFrame="_top">
        <w:r>
          <w:rPr>
            <w:rStyle w:val="InternetLink"/>
          </w:rPr>
          <w:t>https://doi.org/10.1111/papq.12301</w:t>
        </w:r>
      </w:hyperlink>
      <w:r>
        <w:rPr/>
        <w:t>.</w:t>
      </w:r>
    </w:p>
    <w:p>
      <w:pPr>
        <w:pStyle w:val="Normal1"/>
        <w:rPr/>
      </w:pPr>
      <w:r>
        <w:rPr/>
        <w:t xml:space="preserve">Magnus, P. D., and Evan Malone. 2023. “Popular Music and Art-Interpretive Injustice.” Inquiry: An Interdisciplinary Journal of Philosophy. </w:t>
      </w:r>
      <w:hyperlink r:id="rId11" w:tgtFrame="_top">
        <w:r>
          <w:rPr>
            <w:rStyle w:val="InternetLink"/>
          </w:rPr>
          <w:t>https://doi.org/10.1080/0020174x.2023.2213740</w:t>
        </w:r>
      </w:hyperlink>
      <w:r>
        <w:rPr/>
        <w:t>.</w:t>
      </w:r>
    </w:p>
    <w:p>
      <w:pPr>
        <w:pStyle w:val="Normal1"/>
        <w:rPr/>
      </w:pPr>
      <w:r>
        <w:rPr/>
        <w:t xml:space="preserve">Malone, Evan. 2023. “Country Music and the Problem of Authenticity.” Brit J Aesthetics 63 (1): 75–90. </w:t>
      </w:r>
      <w:hyperlink r:id="rId12" w:tgtFrame="_top">
        <w:r>
          <w:rPr>
            <w:rStyle w:val="InternetLink"/>
          </w:rPr>
          <w:t>https://doi.org/10.1093/aesthj/ayac020</w:t>
        </w:r>
      </w:hyperlink>
      <w:r>
        <w:rPr/>
        <w:t>.</w:t>
      </w:r>
    </w:p>
    <w:p>
      <w:pPr>
        <w:pStyle w:val="Normal1"/>
        <w:rPr/>
      </w:pPr>
      <w:r>
        <w:rPr/>
        <w:t xml:space="preserve">Meissner, Shelbi Nahwilet, and Bryce Huebner. 2022. “Outlaw Epistemologies: Resisting the Viciousness of Country Music’s Settler Ignorance.” Philosophical Issues 32 (1): 214–32. </w:t>
      </w:r>
      <w:hyperlink r:id="rId13" w:tgtFrame="_top">
        <w:r>
          <w:rPr>
            <w:rStyle w:val="InternetLink"/>
          </w:rPr>
          <w:t>https://doi.org/10.1111/phis.12229</w:t>
        </w:r>
      </w:hyperlink>
      <w:r>
        <w:rPr/>
        <w:t>.</w:t>
      </w:r>
    </w:p>
    <w:p>
      <w:pPr>
        <w:pStyle w:val="Normal1"/>
        <w:rPr/>
      </w:pPr>
      <w:r>
        <w:rPr/>
        <w:t xml:space="preserve">Miller, Eric J., 2020. “The Moral Burdens of Police Wrongdoing.” Res Phil. 97 (2): 219–69. </w:t>
      </w:r>
      <w:hyperlink r:id="rId14" w:tgtFrame="_top">
        <w:r>
          <w:rPr>
            <w:rStyle w:val="InternetLink"/>
          </w:rPr>
          <w:t>https://doi.org/10.11612/resphil.1901</w:t>
        </w:r>
      </w:hyperlink>
      <w:r>
        <w:rPr/>
        <w:t>.</w:t>
      </w:r>
    </w:p>
    <w:p>
      <w:pPr>
        <w:pStyle w:val="Normal1"/>
        <w:rPr/>
      </w:pPr>
      <w:r>
        <w:rPr/>
        <w:t xml:space="preserve">Nguyen, Jenny, and Amanda Koontz Anthony. 2014. “Black Authenticity: Defining the Ideals and Expectations in the Construction of ’Real’ Blackness.” Sociology Compass 8 (6): 770–79. </w:t>
      </w:r>
      <w:hyperlink r:id="rId15" w:tgtFrame="_top">
        <w:r>
          <w:rPr>
            <w:rStyle w:val="InternetLink"/>
          </w:rPr>
          <w:t>https://doi.org/10.1111/soc4.12171</w:t>
        </w:r>
      </w:hyperlink>
      <w:r>
        <w:rPr/>
        <w:t>.</w:t>
      </w:r>
    </w:p>
    <w:p>
      <w:pPr>
        <w:pStyle w:val="Normal1"/>
        <w:rPr/>
      </w:pPr>
      <w:r>
        <w:rPr/>
        <w:t>Parfit, Derek. 1987. Reasons and Persons. 1. issued in paperback (with corr.), reprinted with further corr. Oxford: Clarendon Press.</w:t>
      </w:r>
    </w:p>
    <w:p>
      <w:pPr>
        <w:pStyle w:val="Normal1"/>
        <w:rPr/>
      </w:pPr>
      <w:r>
        <w:rPr/>
        <w:t xml:space="preserve">Richardson, Jeanita W., and Kim A. Scott. 2002. “Rap Music and Its Violent Progeny: America’s Culture of Violence in Context.” The Journal of Negro Education 71 (3): 175. </w:t>
      </w:r>
      <w:hyperlink r:id="rId16" w:tgtFrame="_top">
        <w:r>
          <w:rPr>
            <w:rStyle w:val="InternetLink"/>
          </w:rPr>
          <w:t>https://doi.org/10.2307/3211235</w:t>
        </w:r>
      </w:hyperlink>
      <w:r>
        <w:rPr/>
        <w:t>.</w:t>
      </w:r>
    </w:p>
    <w:p>
      <w:pPr>
        <w:pStyle w:val="Normal1"/>
        <w:rPr/>
      </w:pPr>
      <w:r>
        <w:rPr/>
        <w:t>Sartwell, Crispin. 1998. Act Like You Know: African American Autobiography &amp; White Identity. Chicago, Ill.: Univ. of Chicago Press.</w:t>
      </w:r>
    </w:p>
    <w:p>
      <w:pPr>
        <w:pStyle w:val="Normal1"/>
        <w:rPr/>
      </w:pPr>
      <w:r>
        <w:rPr/>
        <w:t>Schechtman, Marya. 1996. The Constitution of Selves. Cornell University Press.</w:t>
      </w:r>
    </w:p>
    <w:p>
      <w:pPr>
        <w:pStyle w:val="Normal1"/>
        <w:rPr/>
      </w:pPr>
      <w:r>
        <w:rPr/>
        <w:t xml:space="preserve">Shusterman, Richard. 2007. “Rap as Art and Philosophy.” In, 419–28. </w:t>
      </w:r>
      <w:hyperlink r:id="rId17" w:tgtFrame="_top">
        <w:r>
          <w:rPr>
            <w:rStyle w:val="InternetLink"/>
          </w:rPr>
          <w:t>https://doi.org/10.1002/9780470751640.ch29</w:t>
        </w:r>
      </w:hyperlink>
      <w:r>
        <w:rPr/>
        <w:t>.</w:t>
      </w:r>
    </w:p>
    <w:p>
      <w:pPr>
        <w:pStyle w:val="Normal1"/>
        <w:rPr/>
      </w:pPr>
      <w:r>
        <w:rPr/>
        <w:t xml:space="preserve">Smitherman, Geneva. 1997. “"The Chain Remain the Same": Communicative Practices in the Hip Hop Nation.” Journal of Black Studies 28 (1): 3–25. </w:t>
      </w:r>
      <w:hyperlink r:id="rId18" w:tgtFrame="_top">
        <w:r>
          <w:rPr>
            <w:rStyle w:val="InternetLink"/>
          </w:rPr>
          <w:t>https://www.jstor.org/stable/2784891</w:t>
        </w:r>
      </w:hyperlink>
      <w:r>
        <w:rPr/>
        <w:t>.</w:t>
      </w:r>
    </w:p>
    <w:p>
      <w:pPr>
        <w:pStyle w:val="Normal1"/>
        <w:rPr/>
      </w:pPr>
      <w:r>
        <w:rPr/>
        <w:t>Stump, Eleonore. 2010. Wandering in Darkness: Narrative and the Problem of Suffering.</w:t>
      </w:r>
    </w:p>
    <w:p>
      <w:pPr>
        <w:pStyle w:val="Normal1"/>
        <w:rPr/>
      </w:pPr>
      <w:bookmarkStart w:id="0" w:name="_Int_QijJ41C6"/>
      <w:r>
        <w:rPr/>
        <w:t>Taylor,</w:t>
      </w:r>
      <w:bookmarkEnd w:id="0"/>
      <w:r>
        <w:rPr/>
        <w:t xml:space="preserve"> Gabriele. 1976. “VIII*—Love.” Proceedings of the Aristotelian Society 76 (1): 147–64. </w:t>
      </w:r>
      <w:hyperlink r:id="rId19" w:tgtFrame="_top">
        <w:r>
          <w:rPr>
            <w:rStyle w:val="InternetLink"/>
          </w:rPr>
          <w:t>https://doi.org/10.1093/aristotelian/76.1.147</w:t>
        </w:r>
      </w:hyperlink>
      <w:r>
        <w:rPr/>
        <w:t>.</w:t>
      </w:r>
    </w:p>
    <w:p>
      <w:pPr>
        <w:pStyle w:val="Normal1"/>
        <w:rPr/>
      </w:pPr>
      <w:r>
        <w:rPr/>
        <w:t xml:space="preserve">Whyte, Kyle. 2018. “Settler Colonialism, Ecology, and Environmental Injustice.” Environment and Society 9: 125–44. </w:t>
      </w:r>
      <w:hyperlink r:id="rId20" w:tgtFrame="_top">
        <w:r>
          <w:rPr>
            <w:rStyle w:val="InternetLink"/>
          </w:rPr>
          <w:t>https://www.jstor.org/stable/26879582</w:t>
        </w:r>
      </w:hyperlink>
      <w:r>
        <w:rPr/>
        <w:t>.</w:t>
      </w:r>
    </w:p>
    <w:p>
      <w:pPr>
        <w:pStyle w:val="Normal1"/>
        <w:rPr/>
      </w:pPr>
      <w:r>
        <w:rPr/>
        <w:t xml:space="preserve"> </w:t>
      </w:r>
    </w:p>
    <w:p>
      <w:pPr>
        <w:pStyle w:val="Normal1"/>
        <w:rPr/>
      </w:pPr>
      <w:r>
        <w:rPr/>
        <w:t xml:space="preserve"> </w:t>
      </w:r>
    </w:p>
    <w:p>
      <w:pPr>
        <w:pStyle w:val="Normal1"/>
        <w:rPr/>
      </w:pPr>
      <w:r>
        <w:rPr/>
        <w:t xml:space="preserve"> </w:t>
      </w:r>
    </w:p>
    <w:p>
      <w:pPr>
        <w:pStyle w:val="Normal1"/>
        <w:rPr/>
      </w:pPr>
      <w:r>
        <w:rPr/>
        <w:t xml:space="preserve"> </w:t>
      </w:r>
    </w:p>
    <w:p>
      <w:pPr>
        <w:pStyle w:val="Normal1"/>
        <w:rPr/>
      </w:pPr>
      <w:r>
        <w:rPr/>
        <w:t>------------------------------------------------------------</w:t>
      </w:r>
    </w:p>
    <w:p>
      <w:pPr>
        <w:pStyle w:val="Normal1"/>
        <w:rPr/>
      </w:pPr>
      <w:r>
        <w:rPr/>
        <w:t>[1]</w:t>
        <w:tab/>
        <w:t xml:space="preserve"> For contrast, see Michael Bratman (2000) argues that as agents, we are purposeful and reflective about our motivations, and capable of organizing our activity over and in-line with our purposes and motivations as we reflect on them. One method of reflection involves the expressions of various emotions upon the occurrence of some event</w:t>
      </w:r>
    </w:p>
    <w:sectPr>
      <w:type w:val="nextPage"/>
      <w:pgSz w:w="12240" w:h="15840"/>
      <w:pgMar w:left="1440" w:right="1440" w:header="0" w:top="1440" w:footer="0" w:bottom="1440"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ptos">
    <w:charset w:val="00"/>
    <w:family w:val="swiss"/>
    <w:pitch w:val="variable"/>
  </w:font>
  <w:font w:name="Courier New">
    <w:charset w:val="00"/>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MS Mincho" w:cs="Arial"/>
        <w:sz w:val="24"/>
        <w:szCs w:val="24"/>
        <w:lang w:val="en-US" w:eastAsia="ja-JP" w:bidi="ar-SA"/>
      </w:rPr>
    </w:rPrDefault>
    <w:pPrDefault>
      <w:pPr>
        <w:widowControl/>
        <w:suppressAutoHyphens w:val="false"/>
        <w:spacing w:lineRule="auto" w:line="278"/>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8" w:before="0" w:after="160"/>
      <w:jc w:val="left"/>
    </w:pPr>
    <w:rPr>
      <w:rFonts w:ascii="Aptos" w:hAnsi="Aptos" w:eastAsia="MS Mincho"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vertAlign w:val="baseline"/>
      <w:em w:val="none"/>
      <w:lang w:val="en-US" w:eastAsia="ja-JP" w:bidi="ar-SA"/>
    </w:rPr>
  </w:style>
  <w:style w:type="character" w:styleId="DefaultParagraphFont">
    <w:name w:val="Default Paragraph Font"/>
    <w:qFormat/>
    <w:rPr/>
  </w:style>
  <w:style w:type="character" w:styleId="Hyperlink">
    <w:name w:val="Hyperlink"/>
    <w:basedOn w:val="DefaultParagraphFont"/>
    <w:qFormat/>
    <w:rPr>
      <w:color w:val="467886"/>
      <w:u w:val="single"/>
    </w:rPr>
  </w:style>
  <w:style w:type="character" w:styleId="WWCharLFO1LVL1">
    <w:name w:val="WW_CharLFO1LVL1"/>
    <w:qFormat/>
    <w:rPr>
      <w:rFonts w:ascii="Symbol" w:hAnsi="Symbol"/>
    </w:rPr>
  </w:style>
  <w:style w:type="character" w:styleId="WWCharLFO1LVL2">
    <w:name w:val="WW_CharLFO1LVL2"/>
    <w:qFormat/>
    <w:rPr>
      <w:rFonts w:ascii="Courier New" w:hAnsi="Courier New"/>
    </w:rPr>
  </w:style>
  <w:style w:type="character" w:styleId="WWCharLFO1LVL3">
    <w:name w:val="WW_CharLFO1LVL3"/>
    <w:qFormat/>
    <w:rPr>
      <w:rFonts w:ascii="Wingdings" w:hAnsi="Wingdings"/>
    </w:rPr>
  </w:style>
  <w:style w:type="character" w:styleId="WWCharLFO1LVL4">
    <w:name w:val="WW_CharLFO1LVL4"/>
    <w:qFormat/>
    <w:rPr>
      <w:rFonts w:ascii="Symbol" w:hAnsi="Symbol"/>
    </w:rPr>
  </w:style>
  <w:style w:type="character" w:styleId="WWCharLFO1LVL5">
    <w:name w:val="WW_CharLFO1LVL5"/>
    <w:qFormat/>
    <w:rPr>
      <w:rFonts w:ascii="Courier New" w:hAnsi="Courier New"/>
    </w:rPr>
  </w:style>
  <w:style w:type="character" w:styleId="WWCharLFO1LVL6">
    <w:name w:val="WW_CharLFO1LVL6"/>
    <w:qFormat/>
    <w:rPr>
      <w:rFonts w:ascii="Wingdings" w:hAnsi="Wingdings"/>
    </w:rPr>
  </w:style>
  <w:style w:type="character" w:styleId="WWCharLFO1LVL7">
    <w:name w:val="WW_CharLFO1LVL7"/>
    <w:qFormat/>
    <w:rPr>
      <w:rFonts w:ascii="Symbol" w:hAnsi="Symbol"/>
    </w:rPr>
  </w:style>
  <w:style w:type="character" w:styleId="WWCharLFO1LVL8">
    <w:name w:val="WW_CharLFO1LVL8"/>
    <w:qFormat/>
    <w:rPr>
      <w:rFonts w:ascii="Courier New" w:hAnsi="Courier New"/>
    </w:rPr>
  </w:style>
  <w:style w:type="character" w:styleId="WWCharLFO1LVL9">
    <w:name w:val="WW_CharLFO1LVL9"/>
    <w:qFormat/>
    <w:rPr>
      <w:rFonts w:ascii="Wingdings" w:hAnsi="Wingdings"/>
    </w:rPr>
  </w:style>
  <w:style w:type="character" w:styleId="WWCharLFO2LVL1">
    <w:name w:val="WW_CharLFO2LVL1"/>
    <w:qFormat/>
    <w:rPr>
      <w:rFonts w:ascii="Symbol" w:hAnsi="Symbol"/>
    </w:rPr>
  </w:style>
  <w:style w:type="character" w:styleId="WWCharLFO2LVL2">
    <w:name w:val="WW_CharLFO2LVL2"/>
    <w:qFormat/>
    <w:rPr>
      <w:rFonts w:ascii="Courier New" w:hAnsi="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Courier New" w:hAnsi="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Courier New" w:hAnsi="Courier New"/>
    </w:rPr>
  </w:style>
  <w:style w:type="character" w:styleId="WWCharLFO2LVL9">
    <w:name w:val="WW_CharLFO2LVL9"/>
    <w:qFormat/>
    <w:rPr>
      <w:rFonts w:ascii="Wingdings" w:hAnsi="Wingdings"/>
    </w:rPr>
  </w:style>
  <w:style w:type="character" w:styleId="InternetLink">
    <w:name w:val="Internet Link"/>
    <w:rPr>
      <w:color w:val="000080"/>
      <w:u w:val="single"/>
      <w:lang w:val="zxx" w:eastAsia="zxx" w:bidi="zxx"/>
    </w:rPr>
  </w:style>
  <w:style w:type="paragraph" w:styleId="Normal1">
    <w:name w:val="LO-Normal"/>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8" w:before="0" w:after="160"/>
      <w:jc w:val="left"/>
    </w:pPr>
    <w:rPr>
      <w:rFonts w:ascii="Aptos" w:hAnsi="Aptos" w:eastAsia="MS Mincho"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vertAlign w:val="baseline"/>
      <w:em w:val="none"/>
      <w:lang w:val="en-US" w:eastAsia="ja-JP" w:bidi="ar-SA"/>
    </w:rPr>
  </w:style>
  <w:style w:type="paragraph" w:styleId="ListParagraph">
    <w:name w:val="List Paragraph"/>
    <w:basedOn w:val="Normal1"/>
    <w:qFormat/>
    <w:pPr>
      <w:tabs>
        <w:tab w:val="clear" w:pos="720"/>
      </w:tabs>
      <w:suppressAutoHyphens w:val="true"/>
      <w:ind w:left="720"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4324/9780429202131-43" TargetMode="External"/><Relationship Id="rId3" Type="http://schemas.openxmlformats.org/officeDocument/2006/relationships/hyperlink" Target="https://doi.org/10.2307/2693554" TargetMode="External"/><Relationship Id="rId4" Type="http://schemas.openxmlformats.org/officeDocument/2006/relationships/hyperlink" Target="https://doi.org/10.4324/9780203309506" TargetMode="External"/><Relationship Id="rId5" Type="http://schemas.openxmlformats.org/officeDocument/2006/relationships/hyperlink" Target="https://doi.org/10.1093/oso/9780190096342.001.0001" TargetMode="External"/><Relationship Id="rId6" Type="http://schemas.openxmlformats.org/officeDocument/2006/relationships/hyperlink" Target="https://doi.org/10.1111/j.1468-0068.2009.00720.x" TargetMode="External"/><Relationship Id="rId7" Type="http://schemas.openxmlformats.org/officeDocument/2006/relationships/hyperlink" Target="https://www.jstor.org/stable/j.ctv1n6ptnn" TargetMode="External"/><Relationship Id="rId8" Type="http://schemas.openxmlformats.org/officeDocument/2006/relationships/hyperlink" Target="https://www.jstor.org/stable/2265447" TargetMode="External"/><Relationship Id="rId9" Type="http://schemas.openxmlformats.org/officeDocument/2006/relationships/hyperlink" Target="https://doi.org/10.1080/01419870.2017.1343484" TargetMode="External"/><Relationship Id="rId10" Type="http://schemas.openxmlformats.org/officeDocument/2006/relationships/hyperlink" Target="https://doi.org/10.1111/papq.12301" TargetMode="External"/><Relationship Id="rId11" Type="http://schemas.openxmlformats.org/officeDocument/2006/relationships/hyperlink" Target="https://doi.org/10.1080/0020174x.2023.2213740" TargetMode="External"/><Relationship Id="rId12" Type="http://schemas.openxmlformats.org/officeDocument/2006/relationships/hyperlink" Target="https://doi.org/10.1093/aesthj/ayac020" TargetMode="External"/><Relationship Id="rId13" Type="http://schemas.openxmlformats.org/officeDocument/2006/relationships/hyperlink" Target="https://doi.org/10.1111/phis.12229" TargetMode="External"/><Relationship Id="rId14" Type="http://schemas.openxmlformats.org/officeDocument/2006/relationships/hyperlink" Target="https://doi.org/10.11612/resphil.1901" TargetMode="External"/><Relationship Id="rId15" Type="http://schemas.openxmlformats.org/officeDocument/2006/relationships/hyperlink" Target="https://doi.org/10.1111/soc4.12171" TargetMode="External"/><Relationship Id="rId16" Type="http://schemas.openxmlformats.org/officeDocument/2006/relationships/hyperlink" Target="https://doi.org/10.2307/3211235" TargetMode="External"/><Relationship Id="rId17" Type="http://schemas.openxmlformats.org/officeDocument/2006/relationships/hyperlink" Target="https://doi.org/10.1002/9780470751640.ch29" TargetMode="External"/><Relationship Id="rId18" Type="http://schemas.openxmlformats.org/officeDocument/2006/relationships/hyperlink" Target="https://www.jstor.org/stable/2784891" TargetMode="External"/><Relationship Id="rId19" Type="http://schemas.openxmlformats.org/officeDocument/2006/relationships/hyperlink" Target="https://doi.org/10.1093/aristotelian/76.1.147" TargetMode="External"/><Relationship Id="rId20" Type="http://schemas.openxmlformats.org/officeDocument/2006/relationships/hyperlink" Target="https://www.jstor.org/stable/26879582"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Trio_Office/6.2.8.2$Windows_x86 LibreOffice_project/</Application>
  <Pages>1</Pages>
  <Words>8298</Words>
  <CharactersWithSpaces>55489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2026-03-11T08:35:00Z</dcterms:created>
  <dc:creator>Montaque Reynolds</dc:creator>
  <dc:description/>
  <dc:language>en-US</dc:language>
  <cp:lastModifiedBy>Montaque Reynolds</cp:lastModifiedBy>
  <dcterms:modified xsi:type="dcterms:W3CDTF">2026-03-11T08:35:00Z</dcterms:modified>
  <cp:revision>1</cp:revision>
  <dc:subject/>
  <dc:title/>
</cp:coreProperties>
</file>