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(proposition d'extension)</w:t>
      </w:r>
    </w:p>
    <w:p>
      <w:r>
        <w:t>Diagnostic §24.8.7 : le smoothing actuel maximise l'étalement</w:t>
      </w:r>
    </w:p>
    <w:p>
      <w:r>
        <w:t>sans contrainte de deadline. Trois pistes correctives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Approche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Complexité</w:t>
            </w:r>
          </w:p>
        </w:tc>
      </w:tr>
      <w:tr>
        <w:tc>
          <w:tcPr>
            <w:tcW w:type="dxa" w:w="2880"/>
          </w:tcPr>
          <w:p>
            <w:r>
              <w:t>**V12.6.a Backward scheduling**</w:t>
            </w:r>
          </w:p>
        </w:tc>
        <w:tc>
          <w:tcPr>
            <w:tcW w:type="dxa" w:w="2880"/>
          </w:tcPr>
          <w:p>
            <w:r>
              <w:t>Calculer `latest_start = due_date − duration` pour chaque OF ; smoothing borné à `[earliest_start, latest_start]`</w:t>
            </w:r>
          </w:p>
        </w:tc>
        <w:tc>
          <w:tcPr>
            <w:tcW w:type="dxa" w:w="2880"/>
          </w:tcPr>
          <w:p>
            <w:r>
              <w:t>Faible (~½ j)</w:t>
            </w:r>
          </w:p>
        </w:tc>
      </w:tr>
      <w:tr>
        <w:tc>
          <w:tcPr>
            <w:tcW w:type="dxa" w:w="2880"/>
          </w:tcPr>
          <w:p>
            <w:r>
              <w:t>**V12.6.b Slack-priority + smoothing résiduel**</w:t>
            </w:r>
          </w:p>
        </w:tc>
        <w:tc>
          <w:tcPr>
            <w:tcW w:type="dxa" w:w="2880"/>
          </w:tcPr>
          <w:p>
            <w:r>
              <w:t>Ordonner les OFs par slack croissant (`due − duration`) puis smoothing uniquement sur l'horizon résiduel</w:t>
            </w:r>
          </w:p>
        </w:tc>
        <w:tc>
          <w:tcPr>
            <w:tcW w:type="dxa" w:w="2880"/>
          </w:tcPr>
          <w:p>
            <w:r>
              <w:t>Moyenne (~1 j)</w:t>
            </w:r>
          </w:p>
        </w:tc>
      </w:tr>
      <w:tr>
        <w:tc>
          <w:tcPr>
            <w:tcW w:type="dxa" w:w="2880"/>
          </w:tcPr>
          <w:p>
            <w:r>
              <w:t>**V12.6.c Optimisation due-date aware**</w:t>
            </w:r>
          </w:p>
        </w:tc>
        <w:tc>
          <w:tcPr>
            <w:tcW w:type="dxa" w:w="2880"/>
          </w:tcPr>
          <w:p>
            <w:r>
              <w:t>CP-SAT mixte : objectif = `α × congestion_goulot + β × Σ tardiveté`</w:t>
            </w:r>
          </w:p>
        </w:tc>
        <w:tc>
          <w:tcPr>
            <w:tcW w:type="dxa" w:w="2880"/>
          </w:tcPr>
          <w:p>
            <w:r>
              <w:t>Élevée (~2 j) — réutilise V12.2</w:t>
            </w:r>
          </w:p>
        </w:tc>
      </w:tr>
    </w:tbl>
    <w:p>
      <w:r>
        <w:t>Effet attendu : ramener FLUX/EVENT à 95-100 % de disponibilité</w:t>
      </w:r>
    </w:p>
    <w:p>
      <w:r>
        <w:t>SO-level même sur tolérance stricte (tol=0j), au prix d'une</w:t>
      </w:r>
    </w:p>
    <w:p>
      <w:r>
        <w:t>fraction de gain coût (estimation : −2 à −5 %).</w:t>
      </w:r>
    </w:p>
    <w:p>
      <w:r>
        <w:t>Cette extension est identifiée mais non livrée dans V12 actuel.</w:t>
      </w:r>
    </w:p>
    <w:p>
      <w:r>
        <w:t>Elle s'inscrit naturellement après V12.5 dans la roadmap.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