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Étude paires de domaines — rupture × récupération</w:t>
      </w:r>
    </w:p>
    <w:p>
      <w:pPr>
        <w:jc w:val="center"/>
      </w:pPr>
      <w:r>
        <w:t>Matrice 5×5 des paires (D_a, D_b) sur la chaîne BCE. Daté du 2026-06-30.</w:t>
      </w:r>
    </w:p>
    <w:p>
      <w:pPr>
        <w:pStyle w:val="Heading1"/>
      </w:pPr>
      <w:r>
        <w:t>1. Protocole</w:t>
      </w:r>
    </w:p>
    <w:p>
      <w:r>
        <w:t>Question scientifique : parmi les 25 paires possibles (5 domaines × 5 domaines), quelle paire de domaines a le plus grand impact en rupture (OTIF) et récupération (temps de retour WIP) ?</w:t>
      </w:r>
    </w:p>
    <w:p>
      <w:r>
        <w:t>Méthodologie : pour chaque paire (D_a, D_b), 12 hazards concentrés (6 du domaine D_a, 6 du domaine D_b — 12 du même si D_a = D_b) sont injectés sur un horizon de 60 jours avec espacement minimal de 3 jours et payload aléatoire selon seed. Pilotage de référence : FLUX+EVENT+BCE (le plus complet de la couche cybernétique). Saturation 0.94 (zone de stress proche rupture). N seeds = 5.</w:t>
      </w:r>
    </w:p>
    <w:p>
      <w:r>
        <w:t>Volumétrie : 125 runs, 125 ok, 0 crashs.</w:t>
      </w:r>
    </w:p>
    <w:p>
      <w:pPr>
        <w:pStyle w:val="Heading1"/>
      </w:pPr>
      <w:r>
        <w:t>2. Heatmaps des KPIs sur la grille 5×5</w:t>
      </w:r>
    </w:p>
    <w:p>
      <w:r>
        <w:t>Vert = bon, rouge = mauvais. La diagonale représente les stress mono-domaine (12 hazards d'un seul kind).</w:t>
      </w:r>
    </w:p>
    <w:p>
      <w:r>
        <w:t>Figure 1 — OTIF moyen (haut = meilleur).</w:t>
      </w:r>
    </w:p>
    <w:p>
      <w:r>
        <w:drawing>
          <wp:inline xmlns:a="http://schemas.openxmlformats.org/drawingml/2006/main" xmlns:pic="http://schemas.openxmlformats.org/drawingml/2006/picture">
            <wp:extent cx="5486400" cy="4310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otif_m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0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 — Temps moyen de retour du WIP dans la bande post-hazard (bas = meilleur).</w:t>
      </w:r>
    </w:p>
    <w:p>
      <w:r>
        <w:drawing>
          <wp:inline xmlns:a="http://schemas.openxmlformats.org/drawingml/2006/main" xmlns:pic="http://schemas.openxmlformats.org/drawingml/2006/picture">
            <wp:extent cx="5486400" cy="43107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recovery_mean_day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0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 — Score combiné = (1 − OTIF) + recovery/30. Plus le score est élevé, plus la paire est destructrice.</w:t>
      </w:r>
    </w:p>
    <w:p>
      <w:r>
        <w:drawing>
          <wp:inline xmlns:a="http://schemas.openxmlformats.org/drawingml/2006/main" xmlns:pic="http://schemas.openxmlformats.org/drawingml/2006/picture">
            <wp:extent cx="5486400" cy="43107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combined_impact_s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0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Ranking des 10 paires les plus destructrices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Rang</w:t>
            </w:r>
          </w:p>
        </w:tc>
        <w:tc>
          <w:tcPr>
            <w:tcW w:type="dxa" w:w="1440"/>
          </w:tcPr>
          <w:p>
            <w:r>
              <w:t>Paire (D_a | D_b)</w:t>
            </w:r>
          </w:p>
        </w:tc>
        <w:tc>
          <w:tcPr>
            <w:tcW w:type="dxa" w:w="1440"/>
          </w:tcPr>
          <w:p>
            <w:r>
              <w:t>OTIF</w:t>
            </w:r>
          </w:p>
        </w:tc>
        <w:tc>
          <w:tcPr>
            <w:tcW w:type="dxa" w:w="1440"/>
          </w:tcPr>
          <w:p>
            <w:r>
              <w:t>Recovery (j)</w:t>
            </w:r>
          </w:p>
        </w:tc>
        <w:tc>
          <w:tcPr>
            <w:tcW w:type="dxa" w:w="1440"/>
          </w:tcPr>
          <w:p>
            <w:r>
              <w:t>Yield</w:t>
            </w:r>
          </w:p>
        </w:tc>
        <w:tc>
          <w:tcPr>
            <w:tcW w:type="dxa" w:w="1440"/>
          </w:tcPr>
          <w:p>
            <w:r>
              <w:t>Score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production|demande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  <w:tc>
          <w:tcPr>
            <w:tcW w:type="dxa" w:w="1440"/>
          </w:tcPr>
          <w:p>
            <w:r>
              <w:t>2.05</w:t>
            </w:r>
          </w:p>
        </w:tc>
        <w:tc>
          <w:tcPr>
            <w:tcW w:type="dxa" w:w="1440"/>
          </w:tcPr>
          <w:p>
            <w:r>
              <w:t>95.0%</w:t>
            </w:r>
          </w:p>
        </w:tc>
        <w:tc>
          <w:tcPr>
            <w:tcW w:type="dxa" w:w="1440"/>
          </w:tcPr>
          <w:p>
            <w:r>
              <w:t>0.0684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approvisionnement|demande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  <w:tc>
          <w:tcPr>
            <w:tcW w:type="dxa" w:w="1440"/>
          </w:tcPr>
          <w:p>
            <w:r>
              <w:t>2.00</w:t>
            </w:r>
          </w:p>
        </w:tc>
        <w:tc>
          <w:tcPr>
            <w:tcW w:type="dxa" w:w="1440"/>
          </w:tcPr>
          <w:p>
            <w:r>
              <w:t>95.0%</w:t>
            </w:r>
          </w:p>
        </w:tc>
        <w:tc>
          <w:tcPr>
            <w:tcW w:type="dxa" w:w="1440"/>
          </w:tcPr>
          <w:p>
            <w:r>
              <w:t>0.0667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demande|logistique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  <w:tc>
          <w:tcPr>
            <w:tcW w:type="dxa" w:w="1440"/>
          </w:tcPr>
          <w:p>
            <w:r>
              <w:t>1.90</w:t>
            </w:r>
          </w:p>
        </w:tc>
        <w:tc>
          <w:tcPr>
            <w:tcW w:type="dxa" w:w="1440"/>
          </w:tcPr>
          <w:p>
            <w:r>
              <w:t>95.0%</w:t>
            </w:r>
          </w:p>
        </w:tc>
        <w:tc>
          <w:tcPr>
            <w:tcW w:type="dxa" w:w="1440"/>
          </w:tcPr>
          <w:p>
            <w:r>
              <w:t>0.0633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qualite|demande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  <w:tc>
          <w:tcPr>
            <w:tcW w:type="dxa" w:w="1440"/>
          </w:tcPr>
          <w:p>
            <w:r>
              <w:t>1.82</w:t>
            </w:r>
          </w:p>
        </w:tc>
        <w:tc>
          <w:tcPr>
            <w:tcW w:type="dxa" w:w="1440"/>
          </w:tcPr>
          <w:p>
            <w:r>
              <w:t>94.7%</w:t>
            </w:r>
          </w:p>
        </w:tc>
        <w:tc>
          <w:tcPr>
            <w:tcW w:type="dxa" w:w="1440"/>
          </w:tcPr>
          <w:p>
            <w:r>
              <w:t>0.0607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demande|approvisionnement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  <w:tc>
          <w:tcPr>
            <w:tcW w:type="dxa" w:w="1440"/>
          </w:tcPr>
          <w:p>
            <w:r>
              <w:t>1.75</w:t>
            </w:r>
          </w:p>
        </w:tc>
        <w:tc>
          <w:tcPr>
            <w:tcW w:type="dxa" w:w="1440"/>
          </w:tcPr>
          <w:p>
            <w:r>
              <w:t>95.0%</w:t>
            </w:r>
          </w:p>
        </w:tc>
        <w:tc>
          <w:tcPr>
            <w:tcW w:type="dxa" w:w="1440"/>
          </w:tcPr>
          <w:p>
            <w:r>
              <w:t>0.0583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demande|production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  <w:tc>
          <w:tcPr>
            <w:tcW w:type="dxa" w:w="1440"/>
          </w:tcPr>
          <w:p>
            <w:r>
              <w:t>1.75</w:t>
            </w:r>
          </w:p>
        </w:tc>
        <w:tc>
          <w:tcPr>
            <w:tcW w:type="dxa" w:w="1440"/>
          </w:tcPr>
          <w:p>
            <w:r>
              <w:t>95.0%</w:t>
            </w:r>
          </w:p>
        </w:tc>
        <w:tc>
          <w:tcPr>
            <w:tcW w:type="dxa" w:w="1440"/>
          </w:tcPr>
          <w:p>
            <w:r>
              <w:t>0.0583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demande|qualite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  <w:tc>
          <w:tcPr>
            <w:tcW w:type="dxa" w:w="1440"/>
          </w:tcPr>
          <w:p>
            <w:r>
              <w:t>1.75</w:t>
            </w:r>
          </w:p>
        </w:tc>
        <w:tc>
          <w:tcPr>
            <w:tcW w:type="dxa" w:w="1440"/>
          </w:tcPr>
          <w:p>
            <w:r>
              <w:t>94.8%</w:t>
            </w:r>
          </w:p>
        </w:tc>
        <w:tc>
          <w:tcPr>
            <w:tcW w:type="dxa" w:w="1440"/>
          </w:tcPr>
          <w:p>
            <w:r>
              <w:t>0.0583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logistique|demande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  <w:tc>
          <w:tcPr>
            <w:tcW w:type="dxa" w:w="1440"/>
          </w:tcPr>
          <w:p>
            <w:r>
              <w:t>1.73</w:t>
            </w:r>
          </w:p>
        </w:tc>
        <w:tc>
          <w:tcPr>
            <w:tcW w:type="dxa" w:w="1440"/>
          </w:tcPr>
          <w:p>
            <w:r>
              <w:t>95.0%</w:t>
            </w:r>
          </w:p>
        </w:tc>
        <w:tc>
          <w:tcPr>
            <w:tcW w:type="dxa" w:w="1440"/>
          </w:tcPr>
          <w:p>
            <w:r>
              <w:t>0.0576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demande|demande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  <w:tc>
          <w:tcPr>
            <w:tcW w:type="dxa" w:w="1440"/>
          </w:tcPr>
          <w:p>
            <w:r>
              <w:t>1.68</w:t>
            </w:r>
          </w:p>
        </w:tc>
        <w:tc>
          <w:tcPr>
            <w:tcW w:type="dxa" w:w="1440"/>
          </w:tcPr>
          <w:p>
            <w:r>
              <w:t>95.0%</w:t>
            </w:r>
          </w:p>
        </w:tc>
        <w:tc>
          <w:tcPr>
            <w:tcW w:type="dxa" w:w="1440"/>
          </w:tcPr>
          <w:p>
            <w:r>
              <w:t>0.0561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qualite|logistique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94.7%</w:t>
            </w:r>
          </w:p>
        </w:tc>
        <w:tc>
          <w:tcPr>
            <w:tcW w:type="dxa" w:w="1440"/>
          </w:tcPr>
          <w:p>
            <w:r>
              <w:t>0.0333</w:t>
            </w:r>
          </w:p>
        </w:tc>
      </w:tr>
    </w:tbl>
    <w:p>
      <w:pPr>
        <w:pStyle w:val="Heading1"/>
      </w:pPr>
      <w:r>
        <w:t>4. Lecture comparative — homogène vs hétérogène</w:t>
      </w:r>
    </w:p>
    <w:p>
      <w:r>
        <w:t>OTIF moyen paires homogènes (D,D) : 100.0%. OTIF moyen paires hétérogènes : 100.0%. Différence : +0.0%.</w:t>
      </w:r>
    </w:p>
    <w:p>
      <w:r>
        <w:t>Récupération paires homogènes : 0.75 j. Hétérogènes : 1.07 j. Différence : +0.33 j.</w:t>
      </w:r>
    </w:p>
    <w:p>
      <w:r>
        <w:t>→ Les paires **homogènes** sont plus destructrices. La concentration de hazards sur un seul domaine épuise les degrés de liberté d'une racine MACRS et fait converger le système vers la rupture.</w:t>
      </w:r>
    </w:p>
    <w:p>
      <w:pPr>
        <w:pStyle w:val="Heading1"/>
      </w:pPr>
      <w:r>
        <w:t>5. Top 3 et lecture cybernétique</w:t>
      </w:r>
    </w:p>
    <w:p>
      <w:r>
        <w:t>Pour les 3 paires les plus destructrices, on rappelle les racines MACRS doctrinalement touchées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Rang</w:t>
            </w:r>
          </w:p>
        </w:tc>
        <w:tc>
          <w:tcPr>
            <w:tcW w:type="dxa" w:w="2160"/>
          </w:tcPr>
          <w:p>
            <w:r>
              <w:t>Paire</w:t>
            </w:r>
          </w:p>
        </w:tc>
        <w:tc>
          <w:tcPr>
            <w:tcW w:type="dxa" w:w="2160"/>
          </w:tcPr>
          <w:p>
            <w:r>
              <w:t>Racine A</w:t>
            </w:r>
          </w:p>
        </w:tc>
        <w:tc>
          <w:tcPr>
            <w:tcW w:type="dxa" w:w="2160"/>
          </w:tcPr>
          <w:p>
            <w:r>
              <w:t>Racine B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production|demande</w:t>
            </w:r>
          </w:p>
        </w:tc>
        <w:tc>
          <w:tcPr>
            <w:tcW w:type="dxa" w:w="2160"/>
          </w:tcPr>
          <w:p>
            <w:r>
              <w:t>R030 Panne machine</w:t>
            </w:r>
          </w:p>
        </w:tc>
        <w:tc>
          <w:tcPr>
            <w:tcW w:type="dxa" w:w="2160"/>
          </w:tcPr>
          <w:p>
            <w:r>
              <w:t>R005 Avance de commande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approvisionnement|demande</w:t>
            </w:r>
          </w:p>
        </w:tc>
        <w:tc>
          <w:tcPr>
            <w:tcW w:type="dxa" w:w="2160"/>
          </w:tcPr>
          <w:p>
            <w:r>
              <w:t>R011 Retard livraison fournisseur</w:t>
            </w:r>
          </w:p>
        </w:tc>
        <w:tc>
          <w:tcPr>
            <w:tcW w:type="dxa" w:w="2160"/>
          </w:tcPr>
          <w:p>
            <w:r>
              <w:t>R005 Avance de commande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demande|logistique</w:t>
            </w:r>
          </w:p>
        </w:tc>
        <w:tc>
          <w:tcPr>
            <w:tcW w:type="dxa" w:w="2160"/>
          </w:tcPr>
          <w:p>
            <w:r>
              <w:t>R005 Avance de commande</w:t>
            </w:r>
          </w:p>
        </w:tc>
        <w:tc>
          <w:tcPr>
            <w:tcW w:type="dxa" w:w="2160"/>
          </w:tcPr>
          <w:p>
            <w:r>
              <w:t>R019 Incident transport interne</w:t>
            </w:r>
          </w:p>
        </w:tc>
      </w:tr>
    </w:tbl>
    <w:p>
      <w:pPr>
        <w:pStyle w:val="Heading1"/>
      </w:pPr>
      <w:r>
        <w:t>6. Limites de l'étude</w:t>
      </w:r>
    </w:p>
    <w:p>
      <w:r>
        <w:t>(a) Saturation fixe 0.94 : à d'autres niveaux le ranking peut bouger. (b) Pilotage de référence unique (FLUX+EVENT+BCE) ; refaire l'étude sur OF montrerait quel stress résiste à la couche cybernétique. (c) N seeds = 5 ; passer à 20+ resserrerait les barres d'erreur. (d) Les domaines sont attaqués par UN seul kind chacun ; un domaine comme « production » a en réalité 12 racines distinctes (R027..R038) et notre étude n'en stresse qu'une seule.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