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Validation scientifique sur 4 000 runs</w:t>
      </w:r>
    </w:p>
    <w:p>
      <w:r>
        <w:t>*Mise à jour du 30 juin 2026 — branche claude/project-completion-ltp2ow*</w:t>
      </w:r>
    </w:p>
    <w:p>
      <w:r>
        <w:t>Ce document met à jour les sections §23 (avancement) et §24-25 (étude</w:t>
      </w:r>
    </w:p>
    <w:p>
      <w:r>
        <w:t>comparative validée + cahier des charges) du cadrage v3 du 29 juin 2026,</w:t>
      </w:r>
    </w:p>
    <w:p>
      <w:r>
        <w:t>en intégrant les preuves scientifiques produites par 4 000 runs sur</w:t>
      </w:r>
    </w:p>
    <w:p>
      <w:r>
        <w:t>configurations industrielles aléatoires.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§24.5 Conclusion doctrinale</w:t>
      </w:r>
    </w:p>
    <w:p>
      <w:r>
        <w:t>La doctrine pilotage par flux lean du cadrage v3 est **validée</w:t>
      </w:r>
    </w:p>
    <w:p>
      <w:r>
        <w:t>expérimentalement** sur 4 000 runs avec écart-type &lt; 5 % du coût moyen</w:t>
      </w:r>
    </w:p>
    <w:p>
      <w:r>
        <w:t>sur tous les scénarios. 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