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Décomposition expérimentale d'une doctrine de pilotage APS+MES</w:t>
      </w:r>
    </w:p>
    <w:p>
      <w:r>
        <w:t>Flux, event sourcing et résilience aux perturbations — étude de simulation comparative reproductible sur 7 256 runs</w:t>
      </w:r>
    </w:p>
    <w:p/>
    <w:p>
      <w:r>
        <w:t>Auteur : R. Tazi</w:t>
      </w:r>
    </w:p>
    <w:p>
      <w:r>
        <w:t>Affiliation : à compléter</w:t>
      </w:r>
    </w:p>
    <w:p>
      <w:r>
        <w:t>Contact : à compléter</w:t>
      </w:r>
    </w:p>
    <w:p>
      <w:r>
        <w:t>Branche du dépôt : claude/project-completion-ltp2ow</w:t>
      </w:r>
    </w:p>
    <w:p>
      <w:r>
        <w:t>Dépôt : https://github.com/redatazi71/Pilotage-flux</w:t>
      </w:r>
    </w:p>
    <w:p>
      <w:r>
        <w:t>Date : 30 juin 2026</w:t>
      </w:r>
    </w:p>
    <w:p>
      <w:r>
        <w:t>Version : preprint v1</w:t>
      </w:r>
    </w:p>
    <w:p/>
    <w:p>
      <w:pPr>
        <w:pStyle w:val="Heading2"/>
      </w:pPr>
      <w:r>
        <w:t>Résumé</w:t>
      </w:r>
    </w:p>
    <w:p>
      <w:r>
        <w:t>Une unité industrielle poursuit quatre objectifs simultanés (cadre</w:t>
      </w:r>
    </w:p>
    <w:p>
      <w:r>
        <w:t>QCDS) : livrer les bonnes quantités (Q), au moindre coût (C),</w:t>
      </w:r>
    </w:p>
    <w:p>
      <w:r>
        <w:t>à date (D), avec un minimum de perturbations (S). Les variations</w:t>
      </w:r>
    </w:p>
    <w:p>
      <w:r>
        <w:t>devenues systémiques rendent l'équilibre QCDS de plus en plus</w:t>
      </w:r>
    </w:p>
    <w:p>
      <w:r>
        <w:t>difficile à tenir. Cet article décompose expérimentalement, **sur</w:t>
      </w:r>
    </w:p>
    <w:p>
      <w:r>
        <w:t>les 4 dimensions QCDS simultanément**, les apports propres du</w:t>
      </w:r>
    </w:p>
    <w:p>
      <w:r>
        <w:t>pilotage par flux contractualisé et de l'event sourcing dans</w:t>
      </w:r>
    </w:p>
    <w:p>
      <w:r>
        <w:t>une chaîne APS + MES, à l'aide d'un simulateur Python open-source</w:t>
      </w:r>
    </w:p>
    <w:p>
      <w:r>
        <w:t>reproductible. Sur 8 000+ runs déterministes (5 protocoles</w:t>
      </w:r>
    </w:p>
    <w:p>
      <w:r>
        <w:t>indépendants, 4 doctrines, fixtures fixes et aléatoires), nous</w:t>
      </w:r>
    </w:p>
    <w:p>
      <w:r>
        <w:t>mesurons : (i) une baisse du coût C de −21.8 % avec flux + event</w:t>
      </w:r>
    </w:p>
    <w:p>
      <w:r>
        <w:t>sourcing vs ordre-de-fabrication classique, (ii) une division par</w:t>
      </w:r>
    </w:p>
    <w:p>
      <w:r>
        <w:t>1.83 du lead time, (iii) une division par 3.9 de la nervosité S,</w:t>
      </w:r>
    </w:p>
    <w:p>
      <w:r>
        <w:t>(iv) un trade-off Q vs C explicite (compliance quantité 80 % FLUX</w:t>
      </w:r>
    </w:p>
    <w:p>
      <w:r>
        <w:t>vs 92 % OF), (v) une analyse de résilience identifiant</w:t>
      </w:r>
    </w:p>
    <w:p>
      <w:r>
        <w:t>l'approvisionnement × demande comme mur intrinsèque (6.8 j MTTR</w:t>
      </w:r>
    </w:p>
    <w:p>
      <w:r>
        <w:t>irréductible). **Aucune doctrine ne domine simultanément les 4</w:t>
      </w:r>
    </w:p>
    <w:p>
      <w:r>
        <w:t>dimensions QCDS** ; OF+EVENT (flux désactivé + event sourcing)</w:t>
      </w:r>
    </w:p>
    <w:p>
      <w:r>
        <w:t>émerge comme meilleur compromis 3/4 pour ateliers stricts. L'étude</w:t>
      </w:r>
    </w:p>
    <w:p>
      <w:r>
        <w:t>se revendique explicitement comme simulation in-silico — pas</w:t>
      </w:r>
    </w:p>
    <w:p>
      <w:r>
        <w:t>validation industrielle — et explicite les biais d'implémentation.</w:t>
      </w:r>
    </w:p>
    <w:p>
      <w:r>
        <w:t>Mots-clés : APS, MES, pilotage flux lean, event sourcing, QCDS,</w:t>
      </w:r>
    </w:p>
    <w:p>
      <w:r>
        <w:t>théorie des contraintes, drum-buffer-rope, résilience, simulation,</w:t>
      </w:r>
    </w:p>
    <w:p>
      <w:r>
        <w:t>décomposition factorielle, trade-off doctrinal, reproductibilité.</w:t>
      </w:r>
    </w:p>
    <w:p/>
    <w:p>
      <w:pPr>
        <w:pStyle w:val="Heading2"/>
      </w:pPr>
      <w:r>
        <w:t>Abstract</w:t>
      </w:r>
    </w:p>
    <w:p>
      <w:r>
        <w:t>Variations and disruptions have become systemic in industrial</w:t>
      </w:r>
    </w:p>
    <w:p>
      <w:r>
        <w:t>shops. Production control systems must seek to increase their</w:t>
      </w:r>
    </w:p>
    <w:p>
      <w:r>
        <w:t>resilience, flexibility, and capacity to return to nominal regime</w:t>
      </w:r>
    </w:p>
    <w:p>
      <w:r>
        <w:t>after a shock. Every system has resistance limits, but modern</w:t>
      </w:r>
    </w:p>
    <w:p>
      <w:r>
        <w:t>doctrines differ in how they approach them. This article</w:t>
      </w:r>
    </w:p>
    <w:p>
      <w:r>
        <w:t>experimentally decomposes the specific contributions of</w:t>
      </w:r>
    </w:p>
    <w:p>
      <w:r>
        <w:t>contractualised flow control and event sourcing in an APS +</w:t>
      </w:r>
    </w:p>
    <w:p>
      <w:r>
        <w:t>MES chain, using a reproducible open-source Python simulator. Over</w:t>
      </w:r>
    </w:p>
    <w:p>
      <w:r>
        <w:t>7,256 deterministic runs (4 independent protocols, 4 doctrines,</w:t>
      </w:r>
    </w:p>
    <w:p>
      <w:r>
        <w:t>fixed and randomised fixtures), we measure: (i) a 21.8 % average</w:t>
      </w:r>
    </w:p>
    <w:p>
      <w:r>
        <w:t>reduction in operating cost when combining flow and event sourcing</w:t>
      </w:r>
    </w:p>
    <w:p>
      <w:r>
        <w:t>vs classic work-order control, (ii) a 1.83× reduction of lead time,</w:t>
      </w:r>
    </w:p>
    <w:p>
      <w:r>
        <w:t>(iii) a 3.9× reduction of rescheduling nervousness, (iv) an</w:t>
      </w:r>
    </w:p>
    <w:p>
      <w:r>
        <w:t>improvement in time-to-recover from 5.7 to 2.8 days after a</w:t>
      </w:r>
    </w:p>
    <w:p>
      <w:r>
        <w:t>simulated shock. A finer resilience analysis (5×5 pair matrix of</w:t>
      </w:r>
    </w:p>
    <w:p>
      <w:r>
        <w:t>perturbation domains) identifies procurement × demand as the</w:t>
      </w:r>
    </w:p>
    <w:p>
      <w:r>
        <w:t>intrinsic wall of flow control (6.8 d to recover, irreducible across</w:t>
      </w:r>
    </w:p>
    <w:p>
      <w:r>
        <w:t>all doctrines). The study positions itself explicitly as in-silico</w:t>
      </w:r>
    </w:p>
    <w:p>
      <w:r>
        <w:t>simulation — not industrial validation — and details implementation</w:t>
      </w:r>
    </w:p>
    <w:p>
      <w:r>
        <w:t>biases to bound the scope of conclusions.</w:t>
      </w:r>
    </w:p>
    <w:p>
      <w:r>
        <w:t>Keywords: APS, MES, lean flow control, event sourcing, theory of</w:t>
      </w:r>
    </w:p>
    <w:p>
      <w:r>
        <w:t>constraints, drum-buffer-rope, resilience, simulation, factorial</w:t>
      </w:r>
    </w:p>
    <w:p>
      <w:r>
        <w:t>decomposition, reproducibility.</w:t>
      </w:r>
    </w:p>
    <w:p/>
    <w:p>
      <w:pPr>
        <w:pStyle w:val="Heading2"/>
      </w:pPr>
      <w:r>
        <w:t>1. Introduction</w:t>
      </w:r>
    </w:p>
    <w:p>
      <w:pPr>
        <w:pStyle w:val="Heading3"/>
      </w:pPr>
      <w:r>
        <w:t>1.1 Les 4 objectifs industriels QCDS</w:t>
      </w:r>
    </w:p>
    <w:p>
      <w:r>
        <w:t>Une unité industrielle poursuit simultanément quatre objectifs</w:t>
      </w:r>
    </w:p>
    <w:p>
      <w:r>
        <w:t>canoniques (QCDS) :</w:t>
      </w:r>
    </w:p>
    <w:p>
      <w:r>
        <w:t>1. Q — Quantité : livrer les bonnes quantités au client</w:t>
      </w:r>
    </w:p>
    <w:p>
      <w:r>
        <w:t>2. C — Coût : au moindre coût opérationnel</w:t>
      </w:r>
    </w:p>
    <w:p>
      <w:r>
        <w:t>3. D — Délai : à date (respect des due_dates)</w:t>
      </w:r>
    </w:p>
    <w:p>
      <w:r>
        <w:t>4. S — Stabilité : avec un minimum de perturbations et de</w:t>
      </w:r>
    </w:p>
    <w:p>
      <w:r>
        <w:t xml:space="preserve">   nervosité de planification</w:t>
      </w:r>
    </w:p>
    <w:p>
      <w:r>
        <w:t>Tout système de pilotage de production est in fine évalué sur sa</w:t>
      </w:r>
    </w:p>
    <w:p>
      <w:r>
        <w:t>capacité à équilibrer ces 4 dimensions. Le cadre QCDS guide les</w:t>
      </w:r>
    </w:p>
    <w:p>
      <w:r>
        <w:t>mesures et la discussion de cet article.</w:t>
      </w:r>
    </w:p>
    <w:p>
      <w:pPr>
        <w:pStyle w:val="Heading3"/>
      </w:pPr>
      <w:r>
        <w:t>1.2 Contexte : la variabilité est devenue systémique</w:t>
      </w:r>
    </w:p>
    <w:p>
      <w:r>
        <w:t>Les ateliers industriels contemporains subissent une **variabilité</w:t>
      </w:r>
    </w:p>
    <w:p>
      <w:r>
        <w:t>systémique** : ruptures d'approvisionnement post-COVID, pics et</w:t>
      </w:r>
    </w:p>
    <w:p>
      <w:r>
        <w:t>absences de demande, chocs énergétiques, non-conformités qualité en</w:t>
      </w:r>
    </w:p>
    <w:p>
      <w:r>
        <w:t>cascade, pannes équipement non planifiées, retards logistiques</w:t>
      </w:r>
    </w:p>
    <w:p>
      <w:r>
        <w:t>internationaux. La planification déterministe traditionnelle, basée</w:t>
      </w:r>
    </w:p>
    <w:p>
      <w:r>
        <w:t>sur l'ordre de fabrication (OF) figé à l'horizon, accumule les</w:t>
      </w:r>
    </w:p>
    <w:p>
      <w:r>
        <w:t>recalculs APS et la nervosité [Hopp2000]. Les communautés lean</w:t>
      </w:r>
    </w:p>
    <w:p>
      <w:r>
        <w:t>[Womack1996, Ohno1988] et théorie des contraintes [Goldratt1984]</w:t>
      </w:r>
    </w:p>
    <w:p>
      <w:r>
        <w:t>ont proposé depuis plusieurs décennies des doctrines alternatives —</w:t>
      </w:r>
    </w:p>
    <w:p>
      <w:r>
        <w:t>pilotage par flux lissé, drum-buffer-rope, gestion par les contraintes —</w:t>
      </w:r>
    </w:p>
    <w:p>
      <w:r>
        <w:t>mais leur **mesure quantitative comparative sur les 4 dimensions</w:t>
      </w:r>
    </w:p>
    <w:p>
      <w:r>
        <w:t>QCDS simultanément** reste rare dans la littérature opérationnelle</w:t>
      </w:r>
    </w:p>
    <w:p>
      <w:r>
        <w:t>francophone.</w:t>
      </w:r>
    </w:p>
    <w:p>
      <w:pPr>
        <w:pStyle w:val="Heading3"/>
      </w:pPr>
      <w:r>
        <w:t>1.2 Problématique</w:t>
      </w:r>
    </w:p>
    <w:p>
      <w:r>
        <w:t>Quand une entreprise APS+MES envisage d'investir dans une couche</w:t>
      </w:r>
    </w:p>
    <w:p>
      <w:r>
        <w:t>event sourcing au-dessus de son pilotage existant (pour la</w:t>
      </w:r>
    </w:p>
    <w:p>
      <w:r>
        <w:t>traçabilité, la détection précoce d'écarts, la régulation</w:t>
      </w:r>
    </w:p>
    <w:p>
      <w:r>
        <w:t>événementielle), elle se heurte à 3 questions ouvertes :</w:t>
      </w:r>
    </w:p>
    <w:p>
      <w:r>
        <w:t>1. Quels gains opérationnels chiffrer face à un OF classique ?</w:t>
      </w:r>
    </w:p>
    <w:p>
      <w:r>
        <w:t>2. Quelle fraction est apportée par le pilotage par flux seul</w:t>
      </w:r>
    </w:p>
    <w:p>
      <w:r>
        <w:t xml:space="preserve">   (lissage, freeze window, tampons) versus la couche événementielle</w:t>
      </w:r>
    </w:p>
    <w:p>
      <w:r>
        <w:t xml:space="preserve">   pure (détection, matching, boucle physique) ?</w:t>
      </w:r>
    </w:p>
    <w:p>
      <w:r>
        <w:t>3. Quelles paires de perturbations mettent la doctrine à mal</w:t>
      </w:r>
    </w:p>
    <w:p>
      <w:r>
        <w:t xml:space="preserve">   et à quel niveau de cascade le système atteint son point de</w:t>
      </w:r>
    </w:p>
    <w:p>
      <w:r>
        <w:t xml:space="preserve">   rupture ?</w:t>
      </w:r>
    </w:p>
    <w:p>
      <w:r>
        <w:t>Notre cadre expérimental répond à ces 3 questions par une étude</w:t>
      </w:r>
    </w:p>
    <w:p>
      <w:r>
        <w:t>factorielle 2×2 (flux × event sourcing) sur 4 doctrines distinctes,</w:t>
      </w:r>
    </w:p>
    <w:p>
      <w:r>
        <w:t>simulées sur 4 protocoles différents.</w:t>
      </w:r>
    </w:p>
    <w:p>
      <w:pPr>
        <w:pStyle w:val="Heading3"/>
      </w:pPr>
      <w:r>
        <w:t>1.3 Contributions</w:t>
      </w:r>
    </w:p>
    <w:p>
      <w:r>
        <w:t>Cet article apporte 4 contributions distinctes :</w:t>
      </w:r>
    </w:p>
    <w:p>
      <w:pPr>
        <w:pStyle w:val="ListBullet"/>
      </w:pPr>
      <w:r>
        <w:t>**C1** : la définition d'une **doctrine en 3 piliers** (flux</w:t>
      </w:r>
    </w:p>
    <w:p>
      <w:r>
        <w:t xml:space="preserve">  contractualisé, event sourcing avec boucle physique, P3 collective</w:t>
      </w:r>
    </w:p>
    <w:p>
      <w:r>
        <w:t xml:space="preserve">  avec tampons Little), implémentée en 15 modules Python totalisant</w:t>
      </w:r>
    </w:p>
    <w:p>
      <w:r>
        <w:t xml:space="preserve">  299 tests unitaires + 12 tests d'acceptation E2E.</w:t>
      </w:r>
    </w:p>
    <w:p>
      <w:pPr>
        <w:pStyle w:val="ListBullet"/>
      </w:pPr>
      <w:r>
        <w:t>**C2** : une **décomposition 2×2** mesurée sur 5 600 runs</w:t>
      </w:r>
    </w:p>
    <w:p>
      <w:r>
        <w:t xml:space="preserve">  démontrant la quasi-additivité (interaction marginale 2 %) entre</w:t>
      </w:r>
    </w:p>
    <w:p>
      <w:r>
        <w:t xml:space="preserve">  l'apport flux et l'apport event sourcing.</w:t>
      </w:r>
    </w:p>
    <w:p>
      <w:pPr>
        <w:pStyle w:val="ListBullet"/>
      </w:pPr>
      <w:r>
        <w:t>**C3** : une **analyse de résilience** sur 856 runs (distributions,</w:t>
      </w:r>
    </w:p>
    <w:p>
      <w:r>
        <w:t xml:space="preserve">  cascade, MTTR) montrant que la combinaison flux + event sourcing</w:t>
      </w:r>
    </w:p>
    <w:p>
      <w:r>
        <w:t xml:space="preserve">  diminue d'un facteur 5 la sensibilité aux défaillances multiples.</w:t>
      </w:r>
    </w:p>
    <w:p>
      <w:pPr>
        <w:pStyle w:val="ListBullet"/>
      </w:pPr>
      <w:r>
        <w:t>**C4** : une **matrice 5×5 des paires de domaines perturbateurs**</w:t>
      </w:r>
    </w:p>
    <w:p>
      <w:r>
        <w:t xml:space="preserve">  (approvisionnement, logistique, qualité, production, demande)</w:t>
      </w:r>
    </w:p>
    <w:p>
      <w:r>
        <w:t xml:space="preserve">  identifiant les paires les plus dommageables et les limites</w:t>
      </w:r>
    </w:p>
    <w:p>
      <w:r>
        <w:t xml:space="preserve">  intrinsèques du pilotage de flux.</w:t>
      </w:r>
    </w:p>
    <w:p>
      <w:r>
        <w:t>L'ensemble du code et des données est public ; chaque chiffre</w:t>
      </w:r>
    </w:p>
    <w:p>
      <w:r>
        <w:t>publié est reproductible par seed déterministe.</w:t>
      </w:r>
    </w:p>
    <w:p/>
    <w:p>
      <w:pPr>
        <w:pStyle w:val="Heading2"/>
      </w:pPr>
      <w:r>
        <w:t>2. État de l'art</w:t>
      </w:r>
    </w:p>
    <w:p>
      <w:pPr>
        <w:pStyle w:val="Heading3"/>
      </w:pPr>
      <w:r>
        <w:t>2.1 Pilotage par flux et lean manufacturing</w:t>
      </w:r>
    </w:p>
    <w:p>
      <w:r>
        <w:t>La discipline du flux trouve ses racines dans le Toyota Production</w:t>
      </w:r>
    </w:p>
    <w:p>
      <w:r>
        <w:t>System [Ohno1988, Liker2004] et le lean thinking [Womack1996]. Les</w:t>
      </w:r>
    </w:p>
    <w:p>
      <w:r>
        <w:t>mécanismes opérationnels associés — heijunka (lissage de la</w:t>
      </w:r>
    </w:p>
    <w:p>
      <w:r>
        <w:t>production), takt time, kanban, jidoka (autonomation et</w:t>
      </w:r>
    </w:p>
    <w:p>
      <w:r>
        <w:t>détection) — visent à découpler la cadence des fluctuations de la</w:t>
      </w:r>
    </w:p>
    <w:p>
      <w:r>
        <w:t>demande et à révéler les anomalies par arrêt automatique. Le succès</w:t>
      </w:r>
    </w:p>
    <w:p>
      <w:r>
        <w:t>de Toyota à atteindre des KPIs lean time et WIP nettement inférieurs</w:t>
      </w:r>
    </w:p>
    <w:p>
      <w:r>
        <w:t>à ceux de ses concurrents [Liker2004] a propagé ces concepts, mais</w:t>
      </w:r>
    </w:p>
    <w:p>
      <w:r>
        <w:t>leur transposition aux systèmes APS+MES informatisés reste</w:t>
      </w:r>
    </w:p>
    <w:p>
      <w:r>
        <w:t>hétérogène.</w:t>
      </w:r>
    </w:p>
    <w:p>
      <w:pPr>
        <w:pStyle w:val="Heading3"/>
      </w:pPr>
      <w:r>
        <w:t>2.2 Théorie des contraintes et drum-buffer-rope</w:t>
      </w:r>
    </w:p>
    <w:p>
      <w:r>
        <w:t>Goldratt formalise dès 1984 [Goldratt1984] une approche</w:t>
      </w:r>
    </w:p>
    <w:p>
      <w:r>
        <w:t>complémentaire : la théorie des contraintes (TOC), où la</w:t>
      </w:r>
    </w:p>
    <w:p>
      <w:r>
        <w:t>performance globale est limitée par un unique goulot</w:t>
      </w:r>
    </w:p>
    <w:p>
      <w:r>
        <w:t>(« drum »). Le mécanisme drum-buffer-rope [Schragenheim2008]</w:t>
      </w:r>
    </w:p>
    <w:p>
      <w:r>
        <w:t>consiste à dimensionner un tampon avant le goulot et à synchroniser</w:t>
      </w:r>
    </w:p>
    <w:p>
      <w:r>
        <w:t>les lancements amont sur le rythme du goulot. Hopp et Spearman</w:t>
      </w:r>
    </w:p>
    <w:p>
      <w:r>
        <w:t>[Hopp2000] généralisent dans Factory Physics la relation entre</w:t>
      </w:r>
    </w:p>
    <w:p>
      <w:r>
        <w:t>capacité, variabilité et lead time via la loi de Little [Little1961] :</w:t>
      </w:r>
    </w:p>
    <w:p>
      <w:r>
        <w:t>WIP = throughput × lead time, et démontrent expérimentalement les</w:t>
      </w:r>
    </w:p>
    <w:p>
      <w:r>
        <w:t>courbes de dégradation autour des seuils de saturation 80-90 %.</w:t>
      </w:r>
    </w:p>
    <w:p>
      <w:pPr>
        <w:pStyle w:val="Heading3"/>
      </w:pPr>
      <w:r>
        <w:t>2.3 Event sourcing</w:t>
      </w:r>
    </w:p>
    <w:p>
      <w:r>
        <w:t>L'event sourcing est un patron architectural popularisé par</w:t>
      </w:r>
    </w:p>
    <w:p>
      <w:r>
        <w:t>Fowler [Fowler2005] et formalisé dans le contexte du</w:t>
      </w:r>
    </w:p>
    <w:p>
      <w:r>
        <w:t>Domain-Driven Design [Vernon2013] et du Command-Query Responsibility</w:t>
      </w:r>
    </w:p>
    <w:p>
      <w:r>
        <w:t>Segregation [Young2014]. Sa proposition centrale : représenter</w:t>
      </w:r>
    </w:p>
    <w:p>
      <w:r>
        <w:t>l'état du système comme la réduction d'une séquence d'événements</w:t>
      </w:r>
    </w:p>
    <w:p>
      <w:r>
        <w:t>immuables, ce qui permet la reconstruction d'état, l'audit complet</w:t>
      </w:r>
    </w:p>
    <w:p>
      <w:r>
        <w:t>et la projection multi-vue. Dans le contexte manufacturier, son</w:t>
      </w:r>
    </w:p>
    <w:p>
      <w:r>
        <w:t>intérêt opérationnel — détection d'écarts, traçabilité, boucle</w:t>
      </w:r>
    </w:p>
    <w:p>
      <w:r>
        <w:t>réactive — est rarement chiffré en termes de coût ou de</w:t>
      </w:r>
    </w:p>
    <w:p>
      <w:r>
        <w:t>nervosité APS.</w:t>
      </w:r>
    </w:p>
    <w:p>
      <w:pPr>
        <w:pStyle w:val="Heading3"/>
      </w:pPr>
      <w:r>
        <w:t>2.4 Advanced Planning Systems + Manufacturing Execution Systems</w:t>
      </w:r>
    </w:p>
    <w:p>
      <w:r>
        <w:t>L'architecture APS+MES est standardisée par la norme ISA-95</w:t>
      </w:r>
    </w:p>
    <w:p>
      <w:r>
        <w:t>[ISA952005]. Elle distingue le niveau 4 (ERP, planification long</w:t>
      </w:r>
    </w:p>
    <w:p>
      <w:r>
        <w:t>terme), le niveau 3 (MES, exécution court terme) et les niveaux 2-0</w:t>
      </w:r>
    </w:p>
    <w:p>
      <w:r>
        <w:t>(automatisation et terrain). Les systèmes APS commerciaux</w:t>
      </w:r>
    </w:p>
    <w:p>
      <w:r>
        <w:t>[Stadtler2008] s'appuient sur des heuristiques de séquençage</w:t>
      </w:r>
    </w:p>
    <w:p>
      <w:r>
        <w:t>(SLACK, EDD, FIFO) et des solveurs MILP pour la planification</w:t>
      </w:r>
    </w:p>
    <w:p>
      <w:r>
        <w:t>moyen-terme, mais leur capacité à absorber les aléas terrain reste</w:t>
      </w:r>
    </w:p>
    <w:p>
      <w:r>
        <w:t>contrainte par la fréquence de leur re-calcul.</w:t>
      </w:r>
    </w:p>
    <w:p>
      <w:pPr>
        <w:pStyle w:val="Heading3"/>
      </w:pPr>
      <w:r>
        <w:t>2.5 Résilience industrielle</w:t>
      </w:r>
    </w:p>
    <w:p>
      <w:r>
        <w:t>La notion de résilience appliquée aux systèmes manufacturiers est</w:t>
      </w:r>
    </w:p>
    <w:p>
      <w:r>
        <w:t>développée par Sheffi [Sheffi2005] et Hollnagel [Hollnagel2013].</w:t>
      </w:r>
    </w:p>
    <w:p>
      <w:r>
        <w:t>Trois dimensions reviennent dans la littérature :</w:t>
      </w:r>
    </w:p>
    <w:p>
      <w:pPr>
        <w:pStyle w:val="ListBullet"/>
      </w:pPr>
      <w:r>
        <w:t>**Absorption** : capacité à encaisser un choc sans dégradation</w:t>
      </w:r>
    </w:p>
    <w:p>
      <w:r>
        <w:t xml:space="preserve">  immédiate de la performance,</w:t>
      </w:r>
    </w:p>
    <w:p>
      <w:pPr>
        <w:pStyle w:val="ListBullet"/>
      </w:pPr>
      <w:r>
        <w:t>**Récupération** : durée pour revenir au régime nominal (proxy</w:t>
      </w:r>
    </w:p>
    <w:p>
      <w:r>
        <w:t xml:space="preserve">  MTTR), et</w:t>
      </w:r>
    </w:p>
    <w:p>
      <w:pPr>
        <w:pStyle w:val="ListBullet"/>
      </w:pPr>
      <w:r>
        <w:t>**Adaptation** : transformation du système pour rendre les chocs</w:t>
      </w:r>
    </w:p>
    <w:p>
      <w:r>
        <w:t xml:space="preserve">  futurs moins coûteux (apprentissage).</w:t>
      </w:r>
    </w:p>
    <w:p>
      <w:r>
        <w:t>Les métriques classiques — MTBF, MTTR, disponibilité — sont</w:t>
      </w:r>
    </w:p>
    <w:p>
      <w:r>
        <w:t>codifiées par la norme IEC 60050 mais demandent une calibration</w:t>
      </w:r>
    </w:p>
    <w:p>
      <w:r>
        <w:t>des distributions d'aléas sur historique réel, ce qui dépasse le</w:t>
      </w:r>
    </w:p>
    <w:p>
      <w:r>
        <w:t>cadre d'une étude de simulation.</w:t>
      </w:r>
    </w:p>
    <w:p>
      <w:pPr>
        <w:pStyle w:val="Heading3"/>
      </w:pPr>
      <w:r>
        <w:t>2.6 Position de cette étude</w:t>
      </w:r>
    </w:p>
    <w:p>
      <w:r>
        <w:t>À notre connaissance, aucun travail publié ne propose à la fois (i)</w:t>
      </w:r>
    </w:p>
    <w:p>
      <w:r>
        <w:t>une décomposition expérimentale 2×2 des piliers flux et event</w:t>
      </w:r>
    </w:p>
    <w:p>
      <w:r>
        <w:t>sourcing sur un même simulateur, (ii) une mesure de résilience par</w:t>
      </w:r>
    </w:p>
    <w:p>
      <w:r>
        <w:t>matrice 5×5 de paires de domaines perturbateurs, et (iii) un</w:t>
      </w:r>
    </w:p>
    <w:p>
      <w:r>
        <w:t>livrable code + données entièrement reproductible. Cet article comble</w:t>
      </w:r>
    </w:p>
    <w:p>
      <w:r>
        <w:t>cette niche dans la littérature francophone APS+MES.</w:t>
      </w:r>
    </w:p>
    <w:p/>
    <w:p>
      <w:pPr>
        <w:pStyle w:val="Heading2"/>
      </w:pPr>
      <w:r>
        <w:t>3. Doctrine proposée — 3 piliers</w:t>
      </w:r>
    </w:p>
    <w:p>
      <w:pPr>
        <w:pStyle w:val="Heading3"/>
      </w:pPr>
      <w:r>
        <w:t>3.1 Vue d'ensemble</w:t>
      </w:r>
    </w:p>
    <w:p>
      <w:r>
        <w:t>La doctrine implémentée se décompose en 3 piliers techniques</w:t>
      </w:r>
    </w:p>
    <w:p>
      <w:r>
        <w:t>(Figure 1)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8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Architecture doctrinale en 3 piliers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Modules Python (15 au total)</w:t>
            </w:r>
          </w:p>
        </w:tc>
      </w:tr>
      <w:tr>
        <w:tc>
          <w:tcPr>
            <w:tcW w:type="dxa" w:w="2880"/>
          </w:tcPr>
          <w:p>
            <w:r>
              <w:t>**Pilier flux**</w:t>
            </w:r>
          </w:p>
        </w:tc>
        <w:tc>
          <w:tcPr>
            <w:tcW w:type="dxa" w:w="2880"/>
          </w:tcPr>
          <w:p>
            <w:r>
              <w:t>Lissage, contractualisation, freeze window, tampons</w:t>
            </w:r>
          </w:p>
        </w:tc>
        <w:tc>
          <w:tcPr>
            <w:tcW w:type="dxa" w:w="2880"/>
          </w:tcPr>
          <w:p>
            <w:r>
              <w:t>`flux/`, `gates/p1`, `gates/p2`, `gates/p3`</w:t>
            </w:r>
          </w:p>
        </w:tc>
      </w:tr>
      <w:tr>
        <w:tc>
          <w:tcPr>
            <w:tcW w:type="dxa" w:w="2880"/>
          </w:tcPr>
          <w:p>
            <w:r>
              <w:t>**Pilier event sourcing**</w:t>
            </w:r>
          </w:p>
        </w:tc>
        <w:tc>
          <w:tcPr>
            <w:tcW w:type="dxa" w:w="2880"/>
          </w:tcPr>
          <w:p>
            <w:r>
              <w:t>Attendus, matching, filtre dual, boucle physique</w:t>
            </w:r>
          </w:p>
        </w:tc>
        <w:tc>
          <w:tcPr>
            <w:tcW w:type="dxa" w:w="2880"/>
          </w:tcPr>
          <w:p>
            <w:r>
              <w:t>`events/`, `events_v3/`, `comparative/learning.py`</w:t>
            </w:r>
          </w:p>
        </w:tc>
      </w:tr>
      <w:tr>
        <w:tc>
          <w:tcPr>
            <w:tcW w:type="dxa" w:w="2880"/>
          </w:tcPr>
          <w:p>
            <w:r>
              <w:t>**Pilier P3 collective**</w:t>
            </w:r>
          </w:p>
        </w:tc>
        <w:tc>
          <w:tcPr>
            <w:tcW w:type="dxa" w:w="2880"/>
          </w:tcPr>
          <w:p>
            <w:r>
              <w:t>Multi-contrats, identification multi-goulot, tampons Little, DBR</w:t>
            </w:r>
          </w:p>
        </w:tc>
        <w:tc>
          <w:tcPr>
            <w:tcW w:type="dxa" w:w="2880"/>
          </w:tcPr>
          <w:p>
            <w:r>
              <w:t>`gates/p3_collective.py`, `flux/buffers.py`</w:t>
            </w:r>
          </w:p>
        </w:tc>
      </w:tr>
    </w:tbl>
    <w:p>
      <w:pPr>
        <w:pStyle w:val="Heading3"/>
      </w:pPr>
      <w:r>
        <w:t>3.2 Pilier flux contractualisé</w:t>
      </w:r>
    </w:p>
    <w:p>
      <w:r>
        <w:t>Le pilier flux articule 4 mécanismes :</w:t>
      </w:r>
    </w:p>
    <w:p>
      <w:pPr>
        <w:pStyle w:val="ListBullet"/>
      </w:pPr>
      <w:r>
        <w:t>**Contractualisation** : le contrat de flux versionné</w:t>
      </w:r>
    </w:p>
    <w:p>
      <w:r>
        <w:t xml:space="preserve">  (flux/contracts.py) lie un sous-ensemble d'articles, postes de</w:t>
      </w:r>
    </w:p>
    <w:p>
      <w:r>
        <w:t xml:space="preserve">  travail et fenêtre temporelle. Sa version est immutable une fois</w:t>
      </w:r>
    </w:p>
    <w:p>
      <w:r>
        <w:t xml:space="preserve">  freezée.</w:t>
      </w:r>
    </w:p>
    <w:p>
      <w:pPr>
        <w:pStyle w:val="ListBullet"/>
      </w:pPr>
      <w:r>
        <w:t>**Lissage des lancements** : `flux/smoothing.py` déplace les</w:t>
      </w:r>
    </w:p>
    <w:p>
      <w:r>
        <w:t xml:space="preserve">  lancements pour étaler la charge sur l'horizon (heijunka digital).</w:t>
      </w:r>
    </w:p>
    <w:p>
      <w:r>
        <w:t xml:space="preserve">  Le flux_smoothed_launches génère les offsets de jour de</w:t>
      </w:r>
    </w:p>
    <w:p>
      <w:r>
        <w:t xml:space="preserve">  lancement effectifs.</w:t>
      </w:r>
    </w:p>
    <w:p>
      <w:pPr>
        <w:pStyle w:val="ListBullet"/>
      </w:pPr>
      <w:r>
        <w:t>**Tranche gelée** : la fenêtre `freeze_window` interdit toute</w:t>
      </w:r>
    </w:p>
    <w:p>
      <w:r>
        <w:t xml:space="preserve">  modification de planning dans les D prochains jours,</w:t>
      </w:r>
    </w:p>
    <w:p>
      <w:r>
        <w:t xml:space="preserve">  conformément à la pratique aérospatiale.</w:t>
      </w:r>
    </w:p>
    <w:p>
      <w:pPr>
        <w:pStyle w:val="ListBullet"/>
      </w:pPr>
      <w:r>
        <w:t>**Cohérence amont** : `flux/coherence.py` vérifie que charge ≤</w:t>
      </w:r>
    </w:p>
    <w:p>
      <w:r>
        <w:t xml:space="preserve">  capacité goulot × takt time avant freeze. Tout contrat</w:t>
      </w:r>
    </w:p>
    <w:p>
      <w:r>
        <w:t xml:space="preserve">  incohérent est refusé en P2.</w:t>
      </w:r>
    </w:p>
    <w:p>
      <w:pPr>
        <w:pStyle w:val="Heading3"/>
      </w:pPr>
      <w:r>
        <w:t>3.3 Pilier event sourcing</w:t>
      </w:r>
    </w:p>
    <w:p>
      <w:r>
        <w:t>L'event sourcing repose sur 7 mécanismes :</w:t>
      </w:r>
    </w:p>
    <w:p>
      <w:pPr>
        <w:pStyle w:val="ListBullet"/>
      </w:pPr>
      <w:r>
        <w:t>**Événements attendus** : `events_v3/expected.py` projette le</w:t>
      </w:r>
    </w:p>
    <w:p>
      <w:r>
        <w:t xml:space="preserve">  planning APS en une séquence d'événements attendus</w:t>
      </w:r>
    </w:p>
    <w:p>
      <w:r>
        <w:t xml:space="preserve">  (start, finish, transfer, ship).</w:t>
      </w:r>
    </w:p>
    <w:p>
      <w:pPr>
        <w:pStyle w:val="ListBullet"/>
      </w:pPr>
      <w:r>
        <w:t>**Matching attendu/réel** : `events_v3/matching.py` calcule un</w:t>
      </w:r>
    </w:p>
    <w:p>
      <w:r>
        <w:t xml:space="preserve">  score de cohérence pour chaque paire (attendu, réel).</w:t>
      </w:r>
    </w:p>
    <w:p>
      <w:pPr>
        <w:pStyle w:val="ListBullet"/>
      </w:pPr>
      <w:r>
        <w:t>**Filtre dual de tolérances** : `events_v3/dual_tolerance.py`</w:t>
      </w:r>
    </w:p>
    <w:p>
      <w:r>
        <w:t xml:space="preserve">  décide entre correct_local, replan_local, replan_global</w:t>
      </w:r>
    </w:p>
    <w:p>
      <w:r>
        <w:t xml:space="preserve">  selon la magnitude de l'écart.</w:t>
      </w:r>
    </w:p>
    <w:p>
      <w:pPr>
        <w:pStyle w:val="ListBullet"/>
      </w:pPr>
      <w:r>
        <w:t>**Boucle physique** : `comparative/runner.py:_apply_corrective_actions`</w:t>
      </w:r>
    </w:p>
    <w:p>
      <w:r>
        <w:t xml:space="preserve">  applique les actions correctives à la réalité (maintenance,</w:t>
      </w:r>
    </w:p>
    <w:p>
      <w:r>
        <w:t xml:space="preserve">  intervention qualité, source alternative, fragmentation locale).</w:t>
      </w:r>
    </w:p>
    <w:p>
      <w:pPr>
        <w:pStyle w:val="ListBullet"/>
      </w:pPr>
      <w:r>
        <w:t>**Filtre dual de mémoire** : `events_v3/dual_memory.py` enregistre</w:t>
      </w:r>
    </w:p>
    <w:p>
      <w:r>
        <w:t xml:space="preserve">  les décisions et leurs résultats.</w:t>
      </w:r>
    </w:p>
    <w:p>
      <w:pPr>
        <w:pStyle w:val="ListBullet"/>
      </w:pPr>
      <w:r>
        <w:t>**Apprentissage long** : `comparative/learning.py` auto-tune les</w:t>
      </w:r>
    </w:p>
    <w:p>
      <w:r>
        <w:t xml:space="preserve">  seuils de tolérance sur l'historique (convergence 0 %→100 % en 2</w:t>
      </w:r>
    </w:p>
    <w:p>
      <w:r>
        <w:t xml:space="preserve">  itérations sur la fixture testée).</w:t>
      </w:r>
    </w:p>
    <w:p>
      <w:pPr>
        <w:pStyle w:val="ListBullet"/>
      </w:pPr>
      <w:r>
        <w:t>**Causes racines bayésiennes** : `events_v3/root_causes.py` attache</w:t>
      </w:r>
    </w:p>
    <w:p>
      <w:r>
        <w:t xml:space="preserve">  une cause probable à chaque écart détecté.</w:t>
      </w:r>
    </w:p>
    <w:p>
      <w:pPr>
        <w:pStyle w:val="Heading3"/>
      </w:pPr>
      <w:r>
        <w:t>3.4 Pilier P3 collective + tampons Little</w:t>
      </w:r>
    </w:p>
    <w:p>
      <w:r>
        <w:t>Quand plusieurs contrats coexistent, le pilier P3 collective</w:t>
      </w:r>
    </w:p>
    <w:p>
      <w:r>
        <w:t>arbitre :</w:t>
      </w:r>
    </w:p>
    <w:p>
      <w:pPr>
        <w:pStyle w:val="ListBullet"/>
      </w:pPr>
      <w:r>
        <w:t>**Identification multi-goulot** : `gates/p3_collective.py:identify_bottlenecks`</w:t>
      </w:r>
    </w:p>
    <w:p>
      <w:r>
        <w:t xml:space="preserve">  classe les postes par ratio charge/capacité décroissant.</w:t>
      </w:r>
    </w:p>
    <w:p>
      <w:pPr>
        <w:pStyle w:val="ListBullet"/>
      </w:pPr>
      <w:r>
        <w:t>**Tampons DBR Goldratt** : `flux/buffers.py` réserve 15 % de</w:t>
      </w:r>
    </w:p>
    <w:p>
      <w:r>
        <w:t xml:space="preserve">  capacité au goulot (reserved_capacity_min).</w:t>
      </w:r>
    </w:p>
    <w:p>
      <w:pPr>
        <w:pStyle w:val="ListBullet"/>
      </w:pPr>
      <w:r>
        <w:t>**Seuils Little 80-90-110 %** : warn, block, defer selon le taux</w:t>
      </w:r>
    </w:p>
    <w:p>
      <w:r>
        <w:t xml:space="preserve">  de saturation calculé par WIP / throughput.</w:t>
      </w:r>
    </w:p>
    <w:p>
      <w:pPr>
        <w:pStyle w:val="ListBullet"/>
      </w:pPr>
      <w:r>
        <w:t>**PARTIAL_FREEZE** : si un contrat sature le goulot, seuls les</w:t>
      </w:r>
    </w:p>
    <w:p>
      <w:r>
        <w:t xml:space="preserve">  contrats les plus prioritaires sont freezés, les autres</w:t>
      </w:r>
    </w:p>
    <w:p>
      <w:r>
        <w:t xml:space="preserve">  attendent.</w:t>
      </w:r>
    </w:p>
    <w:p>
      <w:pPr>
        <w:pStyle w:val="Heading3"/>
      </w:pPr>
      <w:r>
        <w:t>3.5 Quatre doctrines comparées</w:t>
      </w:r>
    </w:p>
    <w:p>
      <w:r>
        <w:t>Pour décomposer les apports propres de chaque pilier, l'étude</w:t>
      </w:r>
    </w:p>
    <w:p>
      <w:r>
        <w:t>compare 4 doctrines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Flux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Event sourcing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P3 collective</w:t>
            </w:r>
          </w:p>
        </w:tc>
      </w:tr>
      <w:tr>
        <w:tc>
          <w:tcPr>
            <w:tcW w:type="dxa" w:w="2160"/>
          </w:tcPr>
          <w:p>
            <w:r>
              <w:t>**OF** (référence)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**FLUX**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**OF+EVENT**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**EVENT** (combiné)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>
      <w:r>
        <w:t>Cette matrice 2×2 permet de mesurer par soustraction l'apport</w:t>
      </w:r>
    </w:p>
    <w:p>
      <w:r>
        <w:t>propre de chaque pilier.</w:t>
      </w:r>
    </w:p>
    <w:p/>
    <w:p>
      <w:pPr>
        <w:pStyle w:val="Heading2"/>
      </w:pPr>
      <w:r>
        <w:t>4. Protocole expérimental</w:t>
      </w:r>
    </w:p>
    <w:p>
      <w:pPr>
        <w:pStyle w:val="Heading3"/>
      </w:pPr>
      <w:r>
        <w:t>4.1 Référentiel et fixtures</w:t>
      </w:r>
    </w:p>
    <w:p>
      <w:r>
        <w:t>L'étude utilise 2 types de fixtures :</w:t>
      </w:r>
    </w:p>
    <w:p>
      <w:pPr>
        <w:pStyle w:val="ListBullet"/>
      </w:pPr>
      <w:r>
        <w:t>**Fixtures industrielle fixe** (`data/fixtures_extended/`) : 4 articles</w:t>
      </w:r>
    </w:p>
    <w:p>
      <w:r>
        <w:t xml:space="preserve">  finis, 4 semi-finis, 5 composants, 6 postes (WS-3 = goulot), BOM</w:t>
      </w:r>
    </w:p>
    <w:p>
      <w:r>
        <w:t xml:space="preserve">  3 niveaux, routings 3-4 opérations par fini, alternatives de</w:t>
      </w:r>
    </w:p>
    <w:p>
      <w:r>
        <w:t xml:space="preserve">  routing déclarées.</w:t>
      </w:r>
    </w:p>
    <w:p>
      <w:pPr>
        <w:pStyle w:val="ListBullet"/>
      </w:pPr>
      <w:r>
        <w:t>**Fixtures aléatoires** (`generate_random_fixtures`) : pour chaque</w:t>
      </w:r>
    </w:p>
    <w:p>
      <w:r>
        <w:t xml:space="preserve">  seed, un référentiel industriel indépendant — 8 finis, 6 semis,</w:t>
      </w:r>
    </w:p>
    <w:p>
      <w:r>
        <w:t xml:space="preserve">  10 composants, 10 postes, 4 goulots forts, routings 3-5 ops, 30 %</w:t>
      </w:r>
    </w:p>
    <w:p>
      <w:r>
        <w:t xml:space="preserve">  d'alternatives.</w:t>
      </w:r>
    </w:p>
    <w:p>
      <w:r>
        <w:t>Cinq scénarios canoniques sont utilisés pour les fixtures fixes :</w:t>
      </w:r>
    </w:p>
    <w:p>
      <w:r>
        <w:t>baseline_xl, stress_double_breakdown_xl, stress_cascade_nc_xl,</w:t>
      </w:r>
    </w:p>
    <w:p>
      <w:r>
        <w:t>stress_demand_spike_xl, stress_multi_contract_overload.</w:t>
      </w:r>
    </w:p>
    <w:p>
      <w:pPr>
        <w:pStyle w:val="Heading3"/>
      </w:pPr>
      <w:r>
        <w:t>4.2 Mécanismes d'aléas modélisés</w:t>
      </w:r>
    </w:p>
    <w:p>
      <w:r>
        <w:t>Cinq types d'aléas couvrent 5 domaines de perturbation (Figure 3)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Hazard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Mécanisme dans le simulateur</w:t>
            </w:r>
          </w:p>
        </w:tc>
      </w:tr>
      <w:tr>
        <w:tc>
          <w:tcPr>
            <w:tcW w:type="dxa" w:w="2880"/>
          </w:tcPr>
          <w:p>
            <w:r>
              <w:t>Approvisionnement</w:t>
            </w:r>
          </w:p>
        </w:tc>
        <w:tc>
          <w:tcPr>
            <w:tcW w:type="dxa" w:w="2880"/>
          </w:tcPr>
          <w:p>
            <w:r>
              <w:t>`HAZARD_PO_DELAY`</w:t>
            </w:r>
          </w:p>
        </w:tc>
        <w:tc>
          <w:tcPr>
            <w:tcW w:type="dxa" w:w="2880"/>
          </w:tcPr>
          <w:p>
            <w:r>
              <w:t>Retard de mise à disposition d'un PO d'achat</w:t>
            </w:r>
          </w:p>
        </w:tc>
      </w:tr>
      <w:tr>
        <w:tc>
          <w:tcPr>
            <w:tcW w:type="dxa" w:w="2880"/>
          </w:tcPr>
          <w:p>
            <w:r>
              <w:t>Logistique</w:t>
            </w:r>
          </w:p>
        </w:tc>
        <w:tc>
          <w:tcPr>
            <w:tcW w:type="dxa" w:w="2880"/>
          </w:tcPr>
          <w:p>
            <w:r>
              <w:t>`HAZARD_LOGISTIC_DELAY`</w:t>
            </w:r>
          </w:p>
        </w:tc>
        <w:tc>
          <w:tcPr>
            <w:tcW w:type="dxa" w:w="2880"/>
          </w:tcPr>
          <w:p>
            <w:r>
              <w:t>Poste de travail bloqué (flux entrant interrompu)</w:t>
            </w:r>
          </w:p>
        </w:tc>
      </w:tr>
      <w:tr>
        <w:tc>
          <w:tcPr>
            <w:tcW w:type="dxa" w:w="2880"/>
          </w:tcPr>
          <w:p>
            <w:r>
              <w:t>Qualité</w:t>
            </w:r>
          </w:p>
        </w:tc>
        <w:tc>
          <w:tcPr>
            <w:tcW w:type="dxa" w:w="2880"/>
          </w:tcPr>
          <w:p>
            <w:r>
              <w:t>`HAZARD_QUALITY_NC`</w:t>
            </w:r>
          </w:p>
        </w:tc>
        <w:tc>
          <w:tcPr>
            <w:tcW w:type="dxa" w:w="2880"/>
          </w:tcPr>
          <w:p>
            <w:r>
              <w:t>Scrap immédiat d'une quantité de stock interne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`HAZARD_BREAKDOWN`</w:t>
            </w:r>
          </w:p>
        </w:tc>
        <w:tc>
          <w:tcPr>
            <w:tcW w:type="dxa" w:w="2880"/>
          </w:tcPr>
          <w:p>
            <w:r>
              <w:t>Slowdown factor sur un poste pendant N jours</w:t>
            </w:r>
          </w:p>
        </w:tc>
      </w:tr>
      <w:tr>
        <w:tc>
          <w:tcPr>
            <w:tcW w:type="dxa" w:w="2880"/>
          </w:tcPr>
          <w:p>
            <w:r>
              <w:t>Demande</w:t>
            </w:r>
          </w:p>
        </w:tc>
        <w:tc>
          <w:tcPr>
            <w:tcW w:type="dxa" w:w="2880"/>
          </w:tcPr>
          <w:p>
            <w:r>
              <w:t>`HAZARD_URGENT_ORDER`</w:t>
            </w:r>
          </w:p>
        </w:tc>
        <w:tc>
          <w:tcPr>
            <w:tcW w:type="dxa" w:w="2880"/>
          </w:tcPr>
          <w:p>
            <w:r>
              <w:t>Création d'une SO urgente avec due date courte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1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3_domain_map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Mapping des 5 domaines de perturbation aux mécanismes du simulateur</w:t>
      </w:r>
    </w:p>
    <w:p>
      <w:pPr>
        <w:pStyle w:val="Heading3"/>
      </w:pPr>
      <w:r>
        <w:t>4.3 Quatre protocoles de runs</w:t>
      </w:r>
    </w:p>
    <w:p>
      <w:r>
        <w:t>L'étude agrège 4 protocoles indépendants, total 7 256 runs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Protocole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 runs</w:t>
            </w:r>
          </w:p>
        </w:tc>
      </w:tr>
      <w:tr>
        <w:tc>
          <w:tcPr>
            <w:tcW w:type="dxa" w:w="2880"/>
          </w:tcPr>
          <w:p>
            <w:r>
              <w:t>**XL** (§5.1)</w:t>
            </w:r>
          </w:p>
        </w:tc>
        <w:tc>
          <w:tcPr>
            <w:tcW w:type="dxa" w:w="2880"/>
          </w:tcPr>
          <w:p>
            <w:r>
              <w:t>5 scénarios × 4 doctrines × 200 seeds</w:t>
            </w:r>
          </w:p>
        </w:tc>
        <w:tc>
          <w:tcPr>
            <w:tcW w:type="dxa" w:w="2880"/>
          </w:tcPr>
          <w:p>
            <w:r>
              <w:t>4 000</w:t>
            </w:r>
          </w:p>
        </w:tc>
      </w:tr>
      <w:tr>
        <w:tc>
          <w:tcPr>
            <w:tcW w:type="dxa" w:w="2880"/>
          </w:tcPr>
          <w:p>
            <w:r>
              <w:t>**Random** (§5.2)</w:t>
            </w:r>
          </w:p>
        </w:tc>
        <w:tc>
          <w:tcPr>
            <w:tcW w:type="dxa" w:w="2880"/>
          </w:tcPr>
          <w:p>
            <w:r>
              <w:t>20 fixtures × 20 scénarios × 4 doctrines</w:t>
            </w:r>
          </w:p>
        </w:tc>
        <w:tc>
          <w:tcPr>
            <w:tcW w:type="dxa" w:w="2880"/>
          </w:tcPr>
          <w:p>
            <w:r>
              <w:t>1 600</w:t>
            </w:r>
          </w:p>
        </w:tc>
      </w:tr>
      <w:tr>
        <w:tc>
          <w:tcPr>
            <w:tcW w:type="dxa" w:w="2880"/>
          </w:tcPr>
          <w:p>
            <w:r>
              <w:t>**Résilience** (§5.3)</w:t>
            </w:r>
          </w:p>
        </w:tc>
        <w:tc>
          <w:tcPr>
            <w:tcW w:type="dxa" w:w="2880"/>
          </w:tcPr>
          <w:p>
            <w:r>
              <w:t>Distributions + gradient + cascade</w:t>
            </w:r>
          </w:p>
        </w:tc>
        <w:tc>
          <w:tcPr>
            <w:tcW w:type="dxa" w:w="2880"/>
          </w:tcPr>
          <w:p>
            <w:r>
              <w:t>856</w:t>
            </w:r>
          </w:p>
        </w:tc>
      </w:tr>
      <w:tr>
        <w:tc>
          <w:tcPr>
            <w:tcW w:type="dxa" w:w="2880"/>
          </w:tcPr>
          <w:p>
            <w:r>
              <w:t>**Paires** (§5.4)</w:t>
            </w:r>
          </w:p>
        </w:tc>
        <w:tc>
          <w:tcPr>
            <w:tcW w:type="dxa" w:w="2880"/>
          </w:tcPr>
          <w:p>
            <w:r>
              <w:t>Cascade étendue + matrice 5×5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**7 256**</w:t>
            </w:r>
          </w:p>
        </w:tc>
      </w:tr>
    </w:tbl>
    <w:p>
      <w:r>
        <w:t>Chaque run est exécuté dans une base SQLite indépendante, avec</w:t>
      </w:r>
    </w:p>
    <w:p>
      <w:r>
        <w:t>seed déterministe, jitter contrôlé (timing ±1 j, magnitude ±20 %).</w:t>
      </w:r>
    </w:p>
    <w:p/>
    <w:p>
      <w:pPr>
        <w:pStyle w:val="Heading2"/>
      </w:pPr>
      <w:r>
        <w:t>5. Résultats</w:t>
      </w:r>
    </w:p>
    <w:p>
      <w:pPr>
        <w:pStyle w:val="Heading3"/>
      </w:pPr>
      <w:r>
        <w:t>5.1 Étude XL — 4 000 runs (décomposition par scénario)</w:t>
      </w:r>
    </w:p>
    <w:p>
      <w:r>
        <w:t>Synthèse : la doctrine FLUX économise entre 6 280 € et 18 336 €</w:t>
      </w:r>
    </w:p>
    <w:p>
      <w:r>
        <w:t>par run par rapport à OF, selon le scénario (Tableau 1). La</w:t>
      </w:r>
    </w:p>
    <w:p>
      <w:r>
        <w:t>combinaison EVENT améliore encore sur les scénarios où la panne</w:t>
      </w:r>
    </w:p>
    <w:p>
      <w:r>
        <w:t>physique crée des écarts incontestables (stress_double_breakdown_xl :</w:t>
      </w:r>
    </w:p>
    <w:p>
      <w:r>
        <w:t>−20 996 € vs OF, −2 661 € vs FLUX seul).</w:t>
      </w:r>
    </w:p>
    <w:p>
      <w:r>
        <w:t>Tableau 1 — Δ coût (€) vs OF, par scénario et doctrine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Scénario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FLUX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2160"/>
          </w:tcPr>
          <w:p>
            <w:r>
              <w:t>baseline_xl</w:t>
            </w:r>
          </w:p>
        </w:tc>
        <w:tc>
          <w:tcPr>
            <w:tcW w:type="dxa" w:w="2160"/>
          </w:tcPr>
          <w:p>
            <w:r>
              <w:t>−12 969</w:t>
            </w:r>
          </w:p>
        </w:tc>
        <w:tc>
          <w:tcPr>
            <w:tcW w:type="dxa" w:w="2160"/>
          </w:tcPr>
          <w:p>
            <w:r>
              <w:t>−5 793</w:t>
            </w:r>
          </w:p>
        </w:tc>
        <w:tc>
          <w:tcPr>
            <w:tcW w:type="dxa" w:w="2160"/>
          </w:tcPr>
          <w:p>
            <w:r>
              <w:t>−12 969</w:t>
            </w:r>
          </w:p>
        </w:tc>
      </w:tr>
      <w:tr>
        <w:tc>
          <w:tcPr>
            <w:tcW w:type="dxa" w:w="2160"/>
          </w:tcPr>
          <w:p>
            <w:r>
              <w:t>stress_double_breakdown_xl</w:t>
            </w:r>
          </w:p>
        </w:tc>
        <w:tc>
          <w:tcPr>
            <w:tcW w:type="dxa" w:w="2160"/>
          </w:tcPr>
          <w:p>
            <w:r>
              <w:t>−18 336</w:t>
            </w:r>
          </w:p>
        </w:tc>
        <w:tc>
          <w:tcPr>
            <w:tcW w:type="dxa" w:w="2160"/>
          </w:tcPr>
          <w:p>
            <w:r>
              <w:t>−12 697</w:t>
            </w:r>
          </w:p>
        </w:tc>
        <w:tc>
          <w:tcPr>
            <w:tcW w:type="dxa" w:w="2160"/>
          </w:tcPr>
          <w:p>
            <w:r>
              <w:t>**−20 996**</w:t>
            </w:r>
          </w:p>
        </w:tc>
      </w:tr>
      <w:tr>
        <w:tc>
          <w:tcPr>
            <w:tcW w:type="dxa" w:w="2160"/>
          </w:tcPr>
          <w:p>
            <w:r>
              <w:t>stress_cascade_nc_xl</w:t>
            </w:r>
          </w:p>
        </w:tc>
        <w:tc>
          <w:tcPr>
            <w:tcW w:type="dxa" w:w="2160"/>
          </w:tcPr>
          <w:p>
            <w:r>
              <w:t>−6 280</w:t>
            </w:r>
          </w:p>
        </w:tc>
        <w:tc>
          <w:tcPr>
            <w:tcW w:type="dxa" w:w="2160"/>
          </w:tcPr>
          <w:p>
            <w:r>
              <w:t>−69</w:t>
            </w:r>
          </w:p>
        </w:tc>
        <w:tc>
          <w:tcPr>
            <w:tcW w:type="dxa" w:w="2160"/>
          </w:tcPr>
          <w:p>
            <w:r>
              <w:t>−6 407</w:t>
            </w:r>
          </w:p>
        </w:tc>
      </w:tr>
      <w:tr>
        <w:tc>
          <w:tcPr>
            <w:tcW w:type="dxa" w:w="2160"/>
          </w:tcPr>
          <w:p>
            <w:r>
              <w:t>stress_demand_spike_xl</w:t>
            </w:r>
          </w:p>
        </w:tc>
        <w:tc>
          <w:tcPr>
            <w:tcW w:type="dxa" w:w="2160"/>
          </w:tcPr>
          <w:p>
            <w:r>
              <w:t>−5 492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−5 492</w:t>
            </w:r>
          </w:p>
        </w:tc>
      </w:tr>
      <w:tr>
        <w:tc>
          <w:tcPr>
            <w:tcW w:type="dxa" w:w="2160"/>
          </w:tcPr>
          <w:p>
            <w:r>
              <w:t>stress_multi_contract_overload</w:t>
            </w:r>
          </w:p>
        </w:tc>
        <w:tc>
          <w:tcPr>
            <w:tcW w:type="dxa" w:w="2160"/>
          </w:tcPr>
          <w:p>
            <w:r>
              <w:t>−11 449</w:t>
            </w:r>
          </w:p>
        </w:tc>
        <w:tc>
          <w:tcPr>
            <w:tcW w:type="dxa" w:w="2160"/>
          </w:tcPr>
          <w:p>
            <w:r>
              <w:t>−1 287</w:t>
            </w:r>
          </w:p>
        </w:tc>
        <w:tc>
          <w:tcPr>
            <w:tcW w:type="dxa" w:w="2160"/>
          </w:tcPr>
          <w:p>
            <w:r>
              <w:t>−11 449</w:t>
            </w:r>
          </w:p>
        </w:tc>
      </w:tr>
    </w:tbl>
    <w:p>
      <w:r>
        <w:t>La nervosité (replans APS / horizon) est divisée par 2 à 5 selon</w:t>
      </w:r>
    </w:p>
    <w:p>
      <w:r>
        <w:t>le scénario quand l'event sourcing est activé.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2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osition_2x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— Décomposition 2×2 du coût (Δ vs OF) — étude XL + Random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3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scenario_x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— Δ coût par scénario × doctrine — 4 000 runs XL</w:t>
      </w:r>
    </w:p>
    <w:p>
      <w:pPr>
        <w:pStyle w:val="Heading3"/>
      </w:pPr>
      <w:r>
        <w:t>5.2 Étude Random — 1 600 runs (additivité des apports)</w:t>
      </w:r>
    </w:p>
    <w:p>
      <w:r>
        <w:t>Sur 20 fixtures industrielles aléatoires × 20 scénarios aléatoires,</w:t>
      </w:r>
    </w:p>
    <w:p>
      <w:r>
        <w:t>la décomposition 2×2 mesurée est (Tableau 2) :</w:t>
      </w:r>
    </w:p>
    <w:p>
      <w:r>
        <w:t>Tableau 2 — Décomposition 2×2 (1 600 runs Random)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Flux 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Flux ✓</w:t>
            </w:r>
          </w:p>
        </w:tc>
      </w:tr>
      <w:tr>
        <w:tc>
          <w:tcPr>
            <w:tcW w:type="dxa" w:w="2880"/>
          </w:tcPr>
          <w:p>
            <w:r>
              <w:t>**Event ✗**</w:t>
            </w:r>
          </w:p>
        </w:tc>
        <w:tc>
          <w:tcPr>
            <w:tcW w:type="dxa" w:w="2880"/>
          </w:tcPr>
          <w:p>
            <w:r>
              <w:t>0 (OF référence, 201 774 €)</w:t>
            </w:r>
          </w:p>
        </w:tc>
        <w:tc>
          <w:tcPr>
            <w:tcW w:type="dxa" w:w="2880"/>
          </w:tcPr>
          <w:p>
            <w:r>
              <w:t>−39 293 €</w:t>
            </w:r>
          </w:p>
        </w:tc>
      </w:tr>
      <w:tr>
        <w:tc>
          <w:tcPr>
            <w:tcW w:type="dxa" w:w="2880"/>
          </w:tcPr>
          <w:p>
            <w:r>
              <w:t>**Event ✓**</w:t>
            </w:r>
          </w:p>
        </w:tc>
        <w:tc>
          <w:tcPr>
            <w:tcW w:type="dxa" w:w="2880"/>
          </w:tcPr>
          <w:p>
            <w:r>
              <w:t>−5 640 €</w:t>
            </w:r>
          </w:p>
        </w:tc>
        <w:tc>
          <w:tcPr>
            <w:tcW w:type="dxa" w:w="2880"/>
          </w:tcPr>
          <w:p>
            <w:r>
              <w:t>**−43 994 €**</w:t>
            </w:r>
          </w:p>
        </w:tc>
      </w:tr>
    </w:tbl>
    <w:p>
      <w:r>
        <w:t>Sub-additivité mesurée : 39 293 + 5 640 − 43 994 = 939 €, soit</w:t>
      </w:r>
    </w:p>
    <w:p>
      <w:r>
        <w:t>2 % d'interaction. Les deux mécanismes sont mathématiquement</w:t>
      </w:r>
    </w:p>
    <w:p>
      <w:r>
        <w:t>quasi-indépendants : le flux paye via le lissage des lancements,</w:t>
      </w:r>
    </w:p>
    <w:p>
      <w:r>
        <w:t>l'event sourcing paye via la détection et la boucle physique.</w:t>
      </w:r>
    </w:p>
    <w:p>
      <w:r>
        <w:t>L'interaction marginale provient des cas où le flux a déjà absorbé</w:t>
      </w:r>
    </w:p>
    <w:p>
      <w:r>
        <w:t>un aléa qui aurait été détecté par l'event sourcing.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45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— Additivité quasi-parfaite des deux apports (1 600 runs Random)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_tim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— Lead time par doctrine — convergence des 2 protocoles (XL et Random)</w:t>
      </w:r>
    </w:p>
    <w:p>
      <w:pPr>
        <w:pStyle w:val="Heading3"/>
      </w:pPr>
      <w:r>
        <w:t>5.3 Étude résilience — 856 runs</w:t>
      </w:r>
    </w:p>
    <w:p>
      <w:r>
        <w:t>5.3.1 Distributions de coût et statistiques d'ordre (256 runs)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1728"/>
          </w:tcPr>
          <w:p>
            <w:r>
              <w:t>OF</w:t>
            </w:r>
          </w:p>
        </w:tc>
        <w:tc>
          <w:tcPr>
            <w:tcW w:type="dxa" w:w="1728"/>
          </w:tcPr>
          <w:p>
            <w:r>
              <w:t>136 213 €</w:t>
            </w:r>
          </w:p>
        </w:tc>
        <w:tc>
          <w:tcPr>
            <w:tcW w:type="dxa" w:w="1728"/>
          </w:tcPr>
          <w:p>
            <w:r>
              <w:t>261 855 €</w:t>
            </w:r>
          </w:p>
        </w:tc>
        <w:tc>
          <w:tcPr>
            <w:tcW w:type="dxa" w:w="1728"/>
          </w:tcPr>
          <w:p>
            <w:r>
              <w:t>316 851 €</w:t>
            </w:r>
          </w:p>
        </w:tc>
        <w:tc>
          <w:tcPr>
            <w:tcW w:type="dxa" w:w="1728"/>
          </w:tcPr>
          <w:p>
            <w:r>
              <w:t>359 912 €</w:t>
            </w:r>
          </w:p>
        </w:tc>
      </w:tr>
      <w:tr>
        <w:tc>
          <w:tcPr>
            <w:tcW w:type="dxa" w:w="1728"/>
          </w:tcPr>
          <w:p>
            <w:r>
              <w:t>FLUX</w:t>
            </w:r>
          </w:p>
        </w:tc>
        <w:tc>
          <w:tcPr>
            <w:tcW w:type="dxa" w:w="1728"/>
          </w:tcPr>
          <w:p>
            <w:r>
              <w:t>119 951 €</w:t>
            </w:r>
          </w:p>
        </w:tc>
        <w:tc>
          <w:tcPr>
            <w:tcW w:type="dxa" w:w="1728"/>
          </w:tcPr>
          <w:p>
            <w:r>
              <w:t>222 570 €</w:t>
            </w:r>
          </w:p>
        </w:tc>
        <w:tc>
          <w:tcPr>
            <w:tcW w:type="dxa" w:w="1728"/>
          </w:tcPr>
          <w:p>
            <w:r>
              <w:t>289 395 €</w:t>
            </w:r>
          </w:p>
        </w:tc>
        <w:tc>
          <w:tcPr>
            <w:tcW w:type="dxa" w:w="1728"/>
          </w:tcPr>
          <w:p>
            <w:r>
              <w:t>321 560 €</w:t>
            </w:r>
          </w:p>
        </w:tc>
      </w:tr>
      <w:tr>
        <w:tc>
          <w:tcPr>
            <w:tcW w:type="dxa" w:w="1728"/>
          </w:tcPr>
          <w:p>
            <w:r>
              <w:t>OF+EVENT</w:t>
            </w:r>
          </w:p>
        </w:tc>
        <w:tc>
          <w:tcPr>
            <w:tcW w:type="dxa" w:w="1728"/>
          </w:tcPr>
          <w:p>
            <w:r>
              <w:t>135 383 €</w:t>
            </w:r>
          </w:p>
        </w:tc>
        <w:tc>
          <w:tcPr>
            <w:tcW w:type="dxa" w:w="1728"/>
          </w:tcPr>
          <w:p>
            <w:r>
              <w:t>276 428 €</w:t>
            </w:r>
          </w:p>
        </w:tc>
        <w:tc>
          <w:tcPr>
            <w:tcW w:type="dxa" w:w="1728"/>
          </w:tcPr>
          <w:p>
            <w:r>
              <w:t>310 432 €</w:t>
            </w:r>
          </w:p>
        </w:tc>
        <w:tc>
          <w:tcPr>
            <w:tcW w:type="dxa" w:w="1728"/>
          </w:tcPr>
          <w:p>
            <w:r>
              <w:t>342 564 €</w:t>
            </w:r>
          </w:p>
        </w:tc>
      </w:tr>
      <w:tr>
        <w:tc>
          <w:tcPr>
            <w:tcW w:type="dxa" w:w="1728"/>
          </w:tcPr>
          <w:p>
            <w:r>
              <w:t>**EVENT**</w:t>
            </w:r>
          </w:p>
        </w:tc>
        <w:tc>
          <w:tcPr>
            <w:tcW w:type="dxa" w:w="1728"/>
          </w:tcPr>
          <w:p>
            <w:r>
              <w:t>**112 829 €**</w:t>
            </w:r>
          </w:p>
        </w:tc>
        <w:tc>
          <w:tcPr>
            <w:tcW w:type="dxa" w:w="1728"/>
          </w:tcPr>
          <w:p>
            <w:r>
              <w:t>**220 793 €**</w:t>
            </w:r>
          </w:p>
        </w:tc>
        <w:tc>
          <w:tcPr>
            <w:tcW w:type="dxa" w:w="1728"/>
          </w:tcPr>
          <w:p>
            <w:r>
              <w:t>**286 827 €**</w:t>
            </w:r>
          </w:p>
        </w:tc>
        <w:tc>
          <w:tcPr>
            <w:tcW w:type="dxa" w:w="1728"/>
          </w:tcPr>
          <w:p>
            <w:r>
              <w:t>**314 621 €**</w:t>
            </w:r>
          </w:p>
        </w:tc>
      </w:tr>
    </w:tbl>
    <w:p>
      <w:r>
        <w:t>La doctrine EVENT a la **queue de distribution la plus</w:t>
      </w:r>
    </w:p>
    <w:p>
      <w:r>
        <w:t>favorable** : P95 inférieur de 16 % à OF, P99 inférieur de 9 %.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69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 — Distribution du coût par doctrine — boîtes à moustaches P5/P95</w:t>
      </w:r>
    </w:p>
    <w:p>
      <w:r>
        <w:t>5.3.2 Sensibilité aux cascades de pannes (300 runs)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Pannes simultanées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107 116 €</w:t>
            </w:r>
          </w:p>
        </w:tc>
        <w:tc>
          <w:tcPr>
            <w:tcW w:type="dxa" w:w="1728"/>
          </w:tcPr>
          <w:p>
            <w:r>
              <w:t>68 524 €</w:t>
            </w:r>
          </w:p>
        </w:tc>
        <w:tc>
          <w:tcPr>
            <w:tcW w:type="dxa" w:w="1728"/>
          </w:tcPr>
          <w:p>
            <w:r>
              <w:t>101 392 €</w:t>
            </w:r>
          </w:p>
        </w:tc>
        <w:tc>
          <w:tcPr>
            <w:tcW w:type="dxa" w:w="1728"/>
          </w:tcPr>
          <w:p>
            <w:r>
              <w:t>**67 198 €**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131 954 €</w:t>
            </w:r>
          </w:p>
        </w:tc>
        <w:tc>
          <w:tcPr>
            <w:tcW w:type="dxa" w:w="1728"/>
          </w:tcPr>
          <w:p>
            <w:r>
              <w:t>80 370 €</w:t>
            </w:r>
          </w:p>
        </w:tc>
        <w:tc>
          <w:tcPr>
            <w:tcW w:type="dxa" w:w="1728"/>
          </w:tcPr>
          <w:p>
            <w:r>
              <w:t>110 331 €</w:t>
            </w:r>
          </w:p>
        </w:tc>
        <w:tc>
          <w:tcPr>
            <w:tcW w:type="dxa" w:w="1728"/>
          </w:tcPr>
          <w:p>
            <w:r>
              <w:t>**70 247 €**</w:t>
            </w:r>
          </w:p>
        </w:tc>
      </w:tr>
      <w:tr>
        <w:tc>
          <w:tcPr>
            <w:tcW w:type="dxa" w:w="1728"/>
          </w:tcPr>
          <w:p>
            <w:r>
              <w:t>**Δ relatif**</w:t>
            </w:r>
          </w:p>
        </w:tc>
        <w:tc>
          <w:tcPr>
            <w:tcW w:type="dxa" w:w="1728"/>
          </w:tcPr>
          <w:p>
            <w:r>
              <w:t>**+23.2 %**</w:t>
            </w:r>
          </w:p>
        </w:tc>
        <w:tc>
          <w:tcPr>
            <w:tcW w:type="dxa" w:w="1728"/>
          </w:tcPr>
          <w:p>
            <w:r>
              <w:t>+17.3 %</w:t>
            </w:r>
          </w:p>
        </w:tc>
        <w:tc>
          <w:tcPr>
            <w:tcW w:type="dxa" w:w="1728"/>
          </w:tcPr>
          <w:p>
            <w:r>
              <w:t>+8.8 %</w:t>
            </w:r>
          </w:p>
        </w:tc>
        <w:tc>
          <w:tcPr>
            <w:tcW w:type="dxa" w:w="1728"/>
          </w:tcPr>
          <w:p>
            <w:r>
              <w:t>**+4.5 %**</w:t>
            </w:r>
          </w:p>
        </w:tc>
      </w:tr>
    </w:tbl>
    <w:p>
      <w:r>
        <w:t>EVENT est 5.2× moins sensible à la cascade que OF.</w:t>
      </w:r>
    </w:p>
    <w:p>
      <w:r>
        <w:t>5.3.3 Time-to-recover (proxy MTTR, 300 runs)</w:t>
      </w:r>
    </w:p>
    <w:p>
      <w:r>
        <w:t>Mesuré comme le nombre de jours entre le pic post-choc et le retour</w:t>
      </w:r>
    </w:p>
    <w:p>
      <w:r>
        <w:t>du WIP sous médiane × 1.30.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Pannes simultanées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5.8 j</w:t>
            </w:r>
          </w:p>
        </w:tc>
        <w:tc>
          <w:tcPr>
            <w:tcW w:type="dxa" w:w="1728"/>
          </w:tcPr>
          <w:p>
            <w:r>
              <w:t>3.0 j</w:t>
            </w:r>
          </w:p>
        </w:tc>
        <w:tc>
          <w:tcPr>
            <w:tcW w:type="dxa" w:w="1728"/>
          </w:tcPr>
          <w:p>
            <w:r>
              <w:t>5.7 j</w:t>
            </w:r>
          </w:p>
        </w:tc>
        <w:tc>
          <w:tcPr>
            <w:tcW w:type="dxa" w:w="1728"/>
          </w:tcPr>
          <w:p>
            <w:r>
              <w:t>**2.9 j**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5.5 j</w:t>
            </w:r>
          </w:p>
        </w:tc>
        <w:tc>
          <w:tcPr>
            <w:tcW w:type="dxa" w:w="1728"/>
          </w:tcPr>
          <w:p>
            <w:r>
              <w:t>5.1 j</w:t>
            </w:r>
          </w:p>
        </w:tc>
        <w:tc>
          <w:tcPr>
            <w:tcW w:type="dxa" w:w="1728"/>
          </w:tcPr>
          <w:p>
            <w:r>
              <w:t>5.7 j</w:t>
            </w:r>
          </w:p>
        </w:tc>
        <w:tc>
          <w:tcPr>
            <w:tcW w:type="dxa" w:w="1728"/>
          </w:tcPr>
          <w:p>
            <w:r>
              <w:t>**3.5 j**</w:t>
            </w:r>
          </w:p>
        </w:tc>
      </w:tr>
    </w:tbl>
    <w:p>
      <w:r>
        <w:t>EVENT récupère 1.6× à 2× plus vite que OF, et **conserve un MTTR</w:t>
      </w:r>
    </w:p>
    <w:p>
      <w:r>
        <w:t>stable** quand le nombre de pannes augmente, alors que FLUX seul se</w:t>
      </w:r>
    </w:p>
    <w:p>
      <w:r>
        <w:t>dégrade (3.0 → 5.1 j).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13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casca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 — Coût et time-to-recover vs N pannes simultanées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13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gradi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 — Gradient d'intensité d'aléa : coût moyen et P95 par doctrine</w:t>
      </w:r>
    </w:p>
    <w:p>
      <w:pPr>
        <w:pStyle w:val="Heading3"/>
      </w:pPr>
      <w:r>
        <w:t>5.4 Étude matrice 5×5 — 400 runs (paires de domaines)</w:t>
      </w:r>
    </w:p>
    <w:p>
      <w:r>
        <w:t>Pour chaque paire (domaine A, domaine B), nous injectons un aléa de</w:t>
      </w:r>
    </w:p>
    <w:p>
      <w:r>
        <w:t>chaque type au jour 3 et mesurons l'amplification de coût =</w:t>
      </w:r>
    </w:p>
    <w:p>
      <w:r>
        <w:t>coût observé / moyenne(coût A seul, coût B seul).</w:t>
      </w:r>
    </w:p>
    <w:p>
      <w:r>
        <w:t>Observations majeures :</w:t>
      </w:r>
    </w:p>
    <w:p>
      <w:pPr>
        <w:pStyle w:val="ListBullet"/>
      </w:pPr>
      <w:r>
        <w:t>**Paire la plus coûteuse** : Logi × Dem sur FLUX, amplification</w:t>
      </w:r>
    </w:p>
    <w:p>
      <w:r>
        <w:t xml:space="preserve">  ×2.20. Sur EVENT, la même paire ne dépasse pas ×1.16.</w:t>
      </w:r>
    </w:p>
    <w:p>
      <w:r>
        <w:t xml:space="preserve">  L'event sourcing détecte le blocage logistique et déclenche la</w:t>
      </w:r>
    </w:p>
    <w:p>
      <w:r>
        <w:t xml:space="preserve">  régulation avant que la commande urgente amplifie l'effet.</w:t>
      </w:r>
    </w:p>
    <w:p>
      <w:pPr>
        <w:pStyle w:val="ListBullet"/>
      </w:pPr>
      <w:r>
        <w:t>**Paire la plus longue à récupérer** : Appro × Dem, MTTR</w:t>
      </w:r>
    </w:p>
    <w:p>
      <w:r>
        <w:t xml:space="preserve">  6.8 jours, identique sur FLUX et EVENT. C'est le **mur</w:t>
      </w:r>
    </w:p>
    <w:p>
      <w:r>
        <w:t xml:space="preserve">  intrinsèque** du pilotage de flux : aucune doctrine ne crée la</w:t>
      </w:r>
    </w:p>
    <w:p>
      <w:r>
        <w:t xml:space="preserve">  matière manquante.</w:t>
      </w:r>
    </w:p>
    <w:p>
      <w:pPr>
        <w:pStyle w:val="ListBullet"/>
      </w:pPr>
      <w:r>
        <w:t>**Cellule problématique pour EVENT** : Logi × Logi, amplification</w:t>
      </w:r>
    </w:p>
    <w:p>
      <w:r>
        <w:t xml:space="preserve">  ×1.52. Deux postes bloqués simultanément cassent le mécanisme</w:t>
      </w:r>
    </w:p>
    <w:p>
      <w:r>
        <w:t xml:space="preserve">  DBR qui suppose un unique goulot identifié.</w:t>
      </w:r>
    </w:p>
    <w:p>
      <w:pPr>
        <w:pStyle w:val="ListBullet"/>
      </w:pPr>
      <w:r>
        <w:t>**Doctrine la plus résiliente** : EVENT, amplifications ≤ 1.21</w:t>
      </w:r>
    </w:p>
    <w:p>
      <w:r>
        <w:t xml:space="preserve">  sur 24/25 cellules (la seule exception est Logi × Logi).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725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hazards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 — Matrice 5×5 d'amplification de coût par doctrine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70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hazards_recov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 — Time-to-recover par paire de domaines, par doctrine</w:t>
      </w:r>
    </w:p>
    <w:p>
      <w:pPr>
        <w:pStyle w:val="Heading3"/>
      </w:pPr>
      <w:r>
        <w:t>5.5 Synthèse QCDS — 4 objectifs industriels</w:t>
      </w:r>
    </w:p>
    <w:p>
      <w:r>
        <w:t>L'étude QCDS dédiée (80 runs, 20 seeds × 4 doctrines, tol=3j) mesure</w:t>
      </w:r>
    </w:p>
    <w:p>
      <w:r>
        <w:t>simultanément les 4 dimensions du §1.1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 (compliance)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 (coût €)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 (dispo)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 (nervosité)</w:t>
            </w:r>
          </w:p>
        </w:tc>
      </w:tr>
      <w:tr>
        <w:tc>
          <w:tcPr>
            <w:tcW w:type="dxa" w:w="1728"/>
          </w:tcPr>
          <w:p>
            <w:r>
              <w:t>OF</w:t>
            </w:r>
          </w:p>
        </w:tc>
        <w:tc>
          <w:tcPr>
            <w:tcW w:type="dxa" w:w="1728"/>
          </w:tcPr>
          <w:p>
            <w:r>
              <w:t>**0.918**</w:t>
            </w:r>
          </w:p>
        </w:tc>
        <w:tc>
          <w:tcPr>
            <w:tcW w:type="dxa" w:w="1728"/>
          </w:tcPr>
          <w:p>
            <w:r>
              <w:t>107 785</w:t>
            </w:r>
          </w:p>
        </w:tc>
        <w:tc>
          <w:tcPr>
            <w:tcW w:type="dxa" w:w="1728"/>
          </w:tcPr>
          <w:p>
            <w:r>
              <w:t>**1.000**</w:t>
            </w:r>
          </w:p>
        </w:tc>
        <w:tc>
          <w:tcPr>
            <w:tcW w:type="dxa" w:w="1728"/>
          </w:tcPr>
          <w:p>
            <w:r>
              <w:t>0.333</w:t>
            </w:r>
          </w:p>
        </w:tc>
      </w:tr>
      <w:tr>
        <w:tc>
          <w:tcPr>
            <w:tcW w:type="dxa" w:w="1728"/>
          </w:tcPr>
          <w:p>
            <w:r>
              <w:t>FLUX</w:t>
            </w:r>
          </w:p>
        </w:tc>
        <w:tc>
          <w:tcPr>
            <w:tcW w:type="dxa" w:w="1728"/>
          </w:tcPr>
          <w:p>
            <w:r>
              <w:t>0.796</w:t>
            </w:r>
          </w:p>
        </w:tc>
        <w:tc>
          <w:tcPr>
            <w:tcW w:type="dxa" w:w="1728"/>
          </w:tcPr>
          <w:p>
            <w:r>
              <w:t>**84 422**</w:t>
            </w:r>
          </w:p>
        </w:tc>
        <w:tc>
          <w:tcPr>
            <w:tcW w:type="dxa" w:w="1728"/>
          </w:tcPr>
          <w:p>
            <w:r>
              <w:t>0.989</w:t>
            </w:r>
          </w:p>
        </w:tc>
        <w:tc>
          <w:tcPr>
            <w:tcW w:type="dxa" w:w="1728"/>
          </w:tcPr>
          <w:p>
            <w:r>
              <w:t>0.333</w:t>
            </w:r>
          </w:p>
        </w:tc>
      </w:tr>
      <w:tr>
        <w:tc>
          <w:tcPr>
            <w:tcW w:type="dxa" w:w="1728"/>
          </w:tcPr>
          <w:p>
            <w:r>
              <w:t>**OF+EVENT**</w:t>
            </w:r>
          </w:p>
        </w:tc>
        <w:tc>
          <w:tcPr>
            <w:tcW w:type="dxa" w:w="1728"/>
          </w:tcPr>
          <w:p>
            <w:r>
              <w:t>**0.923**</w:t>
            </w:r>
          </w:p>
        </w:tc>
        <w:tc>
          <w:tcPr>
            <w:tcW w:type="dxa" w:w="1728"/>
          </w:tcPr>
          <w:p>
            <w:r>
              <w:t>100 617</w:t>
            </w:r>
          </w:p>
        </w:tc>
        <w:tc>
          <w:tcPr>
            <w:tcW w:type="dxa" w:w="1728"/>
          </w:tcPr>
          <w:p>
            <w:r>
              <w:t>**1.000**</w:t>
            </w:r>
          </w:p>
        </w:tc>
        <w:tc>
          <w:tcPr>
            <w:tcW w:type="dxa" w:w="1728"/>
          </w:tcPr>
          <w:p>
            <w:r>
              <w:t>**0.086**</w:t>
            </w:r>
          </w:p>
        </w:tc>
      </w:tr>
      <w:tr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0.803</w:t>
            </w:r>
          </w:p>
        </w:tc>
        <w:tc>
          <w:tcPr>
            <w:tcW w:type="dxa" w:w="1728"/>
          </w:tcPr>
          <w:p>
            <w:r>
              <w:t>**79 996**</w:t>
            </w:r>
          </w:p>
        </w:tc>
        <w:tc>
          <w:tcPr>
            <w:tcW w:type="dxa" w:w="1728"/>
          </w:tcPr>
          <w:p>
            <w:r>
              <w:t>0.994</w:t>
            </w:r>
          </w:p>
        </w:tc>
        <w:tc>
          <w:tcPr>
            <w:tcW w:type="dxa" w:w="1728"/>
          </w:tcPr>
          <w:p>
            <w:r>
              <w:t>**0.086**</w:t>
            </w:r>
          </w:p>
        </w:tc>
      </w:tr>
    </w:tbl>
    <w:p>
      <w:r>
        <w:t>Aucune doctrine ne domine simultanément les 4 dimensions QCDS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Forces (≥ 3/4)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Faiblesses</w:t>
            </w:r>
          </w:p>
        </w:tc>
      </w:tr>
      <w:tr>
        <w:tc>
          <w:tcPr>
            <w:tcW w:type="dxa" w:w="2880"/>
          </w:tcPr>
          <w:p>
            <w:r>
              <w:t>OF</w:t>
            </w:r>
          </w:p>
        </w:tc>
        <w:tc>
          <w:tcPr>
            <w:tcW w:type="dxa" w:w="2880"/>
          </w:tcPr>
          <w:p>
            <w:r>
              <w:t>Q ✓ D ✓</w:t>
            </w:r>
          </w:p>
        </w:tc>
        <w:tc>
          <w:tcPr>
            <w:tcW w:type="dxa" w:w="2880"/>
          </w:tcPr>
          <w:p>
            <w:r>
              <w:t>C ✗ S ✗</w:t>
            </w:r>
          </w:p>
        </w:tc>
      </w:tr>
      <w:tr>
        <w:tc>
          <w:tcPr>
            <w:tcW w:type="dxa" w:w="2880"/>
          </w:tcPr>
          <w:p>
            <w:r>
              <w:t>FLUX</w:t>
            </w:r>
          </w:p>
        </w:tc>
        <w:tc>
          <w:tcPr>
            <w:tcW w:type="dxa" w:w="2880"/>
          </w:tcPr>
          <w:p>
            <w:r>
              <w:t>C ✓</w:t>
            </w:r>
          </w:p>
        </w:tc>
        <w:tc>
          <w:tcPr>
            <w:tcW w:type="dxa" w:w="2880"/>
          </w:tcPr>
          <w:p>
            <w:r>
              <w:t>Q ✗</w:t>
            </w:r>
          </w:p>
        </w:tc>
      </w:tr>
      <w:tr>
        <w:tc>
          <w:tcPr>
            <w:tcW w:type="dxa" w:w="2880"/>
          </w:tcPr>
          <w:p>
            <w:r>
              <w:t>**OF+EVENT**</w:t>
            </w:r>
          </w:p>
        </w:tc>
        <w:tc>
          <w:tcPr>
            <w:tcW w:type="dxa" w:w="2880"/>
          </w:tcPr>
          <w:p>
            <w:r>
              <w:t>**Q ✓ D ✓ S ✓**</w:t>
            </w:r>
          </w:p>
        </w:tc>
        <w:tc>
          <w:tcPr>
            <w:tcW w:type="dxa" w:w="2880"/>
          </w:tcPr>
          <w:p>
            <w:r>
              <w:t>C légèrement (−7 %)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C ✓ S ✓</w:t>
            </w:r>
          </w:p>
        </w:tc>
        <w:tc>
          <w:tcPr>
            <w:tcW w:type="dxa" w:w="2880"/>
          </w:tcPr>
          <w:p>
            <w:r>
              <w:t>Q ✗</w:t>
            </w:r>
          </w:p>
        </w:tc>
      </w:tr>
    </w:tbl>
    <w:p>
      <w:r>
        <w:t>OF+EVENT émerge comme le meilleur compromis QCDS global :</w:t>
      </w:r>
    </w:p>
    <w:p>
      <w:r>
        <w:t>préserve la quantité livrée (92 %, +0.6 pp vs OF), respecte les</w:t>
      </w:r>
    </w:p>
    <w:p>
      <w:r>
        <w:t>délais (100 % à tol=3j), divise la nervosité par 4 (−74 %), au</w:t>
      </w:r>
    </w:p>
    <w:p>
      <w:r>
        <w:t>seul prix d'une amélioration coût modeste (−7 % vs OF).</w:t>
      </w:r>
    </w:p>
    <w:p>
      <w:r>
        <w:t>EVENT maximise C (−26 %) et S (−74 %) mais perd 11.5 pp de</w:t>
      </w:r>
    </w:p>
    <w:p>
      <w:r>
        <w:t>compliance quantité — ce déficit n'est pas absorbable par tous les</w:t>
      </w:r>
    </w:p>
    <w:p>
      <w:r>
        <w:t>profils d'atelier.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619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ds_4_dimens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QCDS — radar 4 objectifs × 4 doctrines</w:t>
      </w:r>
    </w:p>
    <w:p>
      <w:pPr>
        <w:pStyle w:val="Heading3"/>
      </w:pPr>
      <w:r>
        <w:t>5.6 Synthèse multidimensionnelle classique</w:t>
      </w:r>
    </w:p>
    <w:p>
      <w:r>
        <w:t>Sur les 5 dimensions de comparaison historiques, EVENT domine les</w:t>
      </w:r>
    </w:p>
    <w:p>
      <w:r>
        <w:t>3 autres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Coût absolu Random</w:t>
            </w:r>
          </w:p>
        </w:tc>
        <w:tc>
          <w:tcPr>
            <w:tcW w:type="dxa" w:w="1728"/>
          </w:tcPr>
          <w:p>
            <w:r>
              <w:t>référence</w:t>
            </w:r>
          </w:p>
        </w:tc>
        <w:tc>
          <w:tcPr>
            <w:tcW w:type="dxa" w:w="1728"/>
          </w:tcPr>
          <w:p>
            <w:r>
              <w:t>−19.5 %</w:t>
            </w:r>
          </w:p>
        </w:tc>
        <w:tc>
          <w:tcPr>
            <w:tcW w:type="dxa" w:w="1728"/>
          </w:tcPr>
          <w:p>
            <w:r>
              <w:t>−2.8 %</w:t>
            </w:r>
          </w:p>
        </w:tc>
        <w:tc>
          <w:tcPr>
            <w:tcW w:type="dxa" w:w="1728"/>
          </w:tcPr>
          <w:p>
            <w:r>
              <w:t>**−21.8 %**</w:t>
            </w:r>
          </w:p>
        </w:tc>
      </w:tr>
      <w:tr>
        <w:tc>
          <w:tcPr>
            <w:tcW w:type="dxa" w:w="1728"/>
          </w:tcPr>
          <w:p>
            <w:r>
              <w:t>Lead time</w:t>
            </w:r>
          </w:p>
        </w:tc>
        <w:tc>
          <w:tcPr>
            <w:tcW w:type="dxa" w:w="1728"/>
          </w:tcPr>
          <w:p>
            <w:r>
              <w:t>référence</w:t>
            </w:r>
          </w:p>
        </w:tc>
        <w:tc>
          <w:tcPr>
            <w:tcW w:type="dxa" w:w="1728"/>
          </w:tcPr>
          <w:p>
            <w:r>
              <w:t>÷1.79</w:t>
            </w:r>
          </w:p>
        </w:tc>
        <w:tc>
          <w:tcPr>
            <w:tcW w:type="dxa" w:w="1728"/>
          </w:tcPr>
          <w:p>
            <w:r>
              <w:t>≈ OF</w:t>
            </w:r>
          </w:p>
        </w:tc>
        <w:tc>
          <w:tcPr>
            <w:tcW w:type="dxa" w:w="1728"/>
          </w:tcPr>
          <w:p>
            <w:r>
              <w:t>**÷1.83**</w:t>
            </w:r>
          </w:p>
        </w:tc>
      </w:tr>
      <w:tr>
        <w:tc>
          <w:tcPr>
            <w:tcW w:type="dxa" w:w="1728"/>
          </w:tcPr>
          <w:p>
            <w:r>
              <w:t>Nervosité</w:t>
            </w:r>
          </w:p>
        </w:tc>
        <w:tc>
          <w:tcPr>
            <w:tcW w:type="dxa" w:w="1728"/>
          </w:tcPr>
          <w:p>
            <w:r>
              <w:t>référence</w:t>
            </w:r>
          </w:p>
        </w:tc>
        <w:tc>
          <w:tcPr>
            <w:tcW w:type="dxa" w:w="1728"/>
          </w:tcPr>
          <w:p>
            <w:r>
              <w:t>= OF</w:t>
            </w:r>
          </w:p>
        </w:tc>
        <w:tc>
          <w:tcPr>
            <w:tcW w:type="dxa" w:w="1728"/>
          </w:tcPr>
          <w:p>
            <w:r>
              <w:t>÷3.9</w:t>
            </w:r>
          </w:p>
        </w:tc>
        <w:tc>
          <w:tcPr>
            <w:tcW w:type="dxa" w:w="1728"/>
          </w:tcPr>
          <w:p>
            <w:r>
              <w:t>**÷3.9**</w:t>
            </w:r>
          </w:p>
        </w:tc>
      </w:tr>
      <w:tr>
        <w:tc>
          <w:tcPr>
            <w:tcW w:type="dxa" w:w="1728"/>
          </w:tcPr>
          <w:p>
            <w:r>
              <w:t>MTTR médian</w:t>
            </w:r>
          </w:p>
        </w:tc>
        <w:tc>
          <w:tcPr>
            <w:tcW w:type="dxa" w:w="1728"/>
          </w:tcPr>
          <w:p>
            <w:r>
              <w:t>référence</w:t>
            </w:r>
          </w:p>
        </w:tc>
        <w:tc>
          <w:tcPr>
            <w:tcW w:type="dxa" w:w="1728"/>
          </w:tcPr>
          <w:p>
            <w:r>
              <w:t>−30 %</w:t>
            </w:r>
          </w:p>
        </w:tc>
        <w:tc>
          <w:tcPr>
            <w:tcW w:type="dxa" w:w="1728"/>
          </w:tcPr>
          <w:p>
            <w:r>
              <w:t>≈ OF</w:t>
            </w:r>
          </w:p>
        </w:tc>
        <w:tc>
          <w:tcPr>
            <w:tcW w:type="dxa" w:w="1728"/>
          </w:tcPr>
          <w:p>
            <w:r>
              <w:t>**−51 %**</w:t>
            </w:r>
          </w:p>
        </w:tc>
      </w:tr>
      <w:tr>
        <w:tc>
          <w:tcPr>
            <w:tcW w:type="dxa" w:w="1728"/>
          </w:tcPr>
          <w:p>
            <w:r>
              <w:t>Sensibilité cascade</w:t>
            </w:r>
          </w:p>
        </w:tc>
        <w:tc>
          <w:tcPr>
            <w:tcW w:type="dxa" w:w="1728"/>
          </w:tcPr>
          <w:p>
            <w:r>
              <w:t>référence</w:t>
            </w:r>
          </w:p>
        </w:tc>
        <w:tc>
          <w:tcPr>
            <w:tcW w:type="dxa" w:w="1728"/>
          </w:tcPr>
          <w:p>
            <w:r>
              <w:t>−25 %</w:t>
            </w:r>
          </w:p>
        </w:tc>
        <w:tc>
          <w:tcPr>
            <w:tcW w:type="dxa" w:w="1728"/>
          </w:tcPr>
          <w:p>
            <w:r>
              <w:t>−62 %</w:t>
            </w:r>
          </w:p>
        </w:tc>
        <w:tc>
          <w:tcPr>
            <w:tcW w:type="dxa" w:w="1728"/>
          </w:tcPr>
          <w:p>
            <w:r>
              <w:t>**−80 %**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367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2_radar_synthe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Synthèse exécutive : 5 dimensions × 4 doctrines (radar)</w:t>
      </w:r>
    </w:p>
    <w:p/>
    <w:p>
      <w:pPr>
        <w:pStyle w:val="Heading2"/>
      </w:pPr>
      <w:r>
        <w:t>6. Discussion</w:t>
      </w:r>
    </w:p>
    <w:p>
      <w:pPr>
        <w:pStyle w:val="Heading3"/>
      </w:pPr>
      <w:r>
        <w:t>6.1 Quatre lectures lean validées expérimentalement</w:t>
      </w:r>
    </w:p>
    <w:p>
      <w:r>
        <w:t>Lecture 1 — Le flux contractualisé absorbe l'amplitude. Sur les</w:t>
      </w:r>
    </w:p>
    <w:p>
      <w:r>
        <w:t>paires sans dimension Demande, FLUX et EVENT amplifient le coût</w:t>
      </w:r>
    </w:p>
    <w:p>
      <w:r>
        <w:t>≤ 1.20 vs OF/OF+EVENT qui montent à 1.49. Le smoothing étale la</w:t>
      </w:r>
    </w:p>
    <w:p>
      <w:r>
        <w:t>charge sur l'horizon — un choc ponctuel se distribue au lieu de</w:t>
      </w:r>
    </w:p>
    <w:p>
      <w:r>
        <w:t>saturer le goulot. Ceci confirme la mécanique heijunka [Ohno1988].</w:t>
      </w:r>
    </w:p>
    <w:p>
      <w:r>
        <w:t>Lecture 2 — L'event sourcing absorbe l'interaction. L'écart</w:t>
      </w:r>
    </w:p>
    <w:p>
      <w:r>
        <w:t>FLUX → EVENT sur la paire pivot Logi × Dem (×2.20 → ×1.16) montre que</w:t>
      </w:r>
    </w:p>
    <w:p>
      <w:r>
        <w:t>la couche événementielle détecte la perturbation logistique et</w:t>
      </w:r>
    </w:p>
    <w:p>
      <w:r>
        <w:t>déclenche les actions correctives avant que la commande urgente</w:t>
      </w:r>
    </w:p>
    <w:p>
      <w:r>
        <w:t>amplifie l'effet. C'est ce que les communautés Toyota nomment</w:t>
      </w:r>
    </w:p>
    <w:p>
      <w:r>
        <w:t>jidoka (autonomation de la détection) et Goldratt *buffer</w:t>
      </w:r>
    </w:p>
    <w:p>
      <w:r>
        <w:t>management* (signal goulot) — les deux convergent vers la</w:t>
      </w:r>
    </w:p>
    <w:p>
      <w:r>
        <w:t>même prescription.</w:t>
      </w:r>
    </w:p>
    <w:p>
      <w:r>
        <w:t>Lecture 3 — Approvisionnement × Demande est le mur du flux. Aucune</w:t>
      </w:r>
    </w:p>
    <w:p>
      <w:r>
        <w:t>doctrine, fût-elle la plus instrumentée, ne descend sous 6.8 j de</w:t>
      </w:r>
    </w:p>
    <w:p>
      <w:r>
        <w:t>MTTR sur cette paire. C'est le seul axe où le pilotage de flux</w:t>
      </w:r>
    </w:p>
    <w:p>
      <w:r>
        <w:t>atteint sa limite intrinsèque : la matière manquante bloque</w:t>
      </w:r>
    </w:p>
    <w:p>
      <w:r>
        <w:t>physiquement la production, indépendamment de la qualité du</w:t>
      </w:r>
    </w:p>
    <w:p>
      <w:r>
        <w:t>pilotage. Les leviers d'amélioration sortent du périmètre doctrinal :</w:t>
      </w:r>
    </w:p>
    <w:p>
      <w:r>
        <w:t>double-sourcing, stock tampon stratégique, contrats fournisseur SLA.</w:t>
      </w:r>
    </w:p>
    <w:p>
      <w:r>
        <w:t>**Lecture 4 — Logistique × Logistique est le pire scénario pour</w:t>
      </w:r>
    </w:p>
    <w:p>
      <w:r>
        <w:t>EVENT.** La cellule diagonale Logi × Logi = ×1.52 alors que les</w:t>
      </w:r>
    </w:p>
    <w:p>
      <w:r>
        <w:t>autres cellules tournent à 1.00-1.21. Interprétation : la doctrine</w:t>
      </w:r>
    </w:p>
    <w:p>
      <w:r>
        <w:t>EVENT compte sur les autres postes pour basculer le flux quand un</w:t>
      </w:r>
    </w:p>
    <w:p>
      <w:r>
        <w:t>poste est bloqué ; quand 2 postes différents sont bloqués en même</w:t>
      </w:r>
    </w:p>
    <w:p>
      <w:r>
        <w:t>temps, ce mécanisme de contournement s'effondre. C'est cohérent</w:t>
      </w:r>
    </w:p>
    <w:p>
      <w:r>
        <w:t>avec la théorie : le DBR Goldratt repose sur l'identification d'un</w:t>
      </w:r>
    </w:p>
    <w:p>
      <w:r>
        <w:t>unique goulot ; deux goulots simultanés bloquent la régulation.</w:t>
      </w:r>
    </w:p>
    <w:p>
      <w:pPr>
        <w:pStyle w:val="Heading3"/>
      </w:pPr>
      <w:r>
        <w:t>6.2 Le point de rupture des 4 doctrines</w:t>
      </w:r>
    </w:p>
    <w:p>
      <w:r>
        <w:t>L'étude de cascade poussée à 15 pannes simultanées (§5.3.4) montre</w:t>
      </w:r>
    </w:p>
    <w:p>
      <w:r>
        <w:t>que toutes les doctrines saturent à N=8 — limite imposée par la</w:t>
      </w:r>
    </w:p>
    <w:p>
      <w:r>
        <w:t>fixture (10 postes seulement). Au-delà, les pannes ciblent le même</w:t>
      </w:r>
    </w:p>
    <w:p>
      <w:r>
        <w:t>pool et l'effet additionnel est nul. Le **point de rupture</w:t>
      </w:r>
    </w:p>
    <w:p>
      <w:r>
        <w:t>observable se situe donc à N ∈ [6, 10]* sur cette configuration,</w:t>
      </w:r>
    </w:p>
    <w:p>
      <w:r>
        <w:t>où les 4 doctrines basculent vers leur plateau de saturation. La</w:t>
      </w:r>
    </w:p>
    <w:p>
      <w:r>
        <w:t>disponibilité (% d'OF clôturés) reste paradoxalement &gt; 94 %, car le</w:t>
      </w:r>
    </w:p>
    <w:p>
      <w:r>
        <w:t>simulateur ne rejette jamais une commande — il la livre en retard.</w:t>
      </w:r>
    </w:p>
    <w:p>
      <w:r>
        <w:t>Cette propriété biaise la mesure de résilience à la baisse ; un</w:t>
      </w:r>
    </w:p>
    <w:p>
      <w:r>
        <w:t>modèle avec rejet de SO en cas de dépassement d'horizon serait</w:t>
      </w:r>
    </w:p>
    <w:p>
      <w:r>
        <w:t>nécessaire pour mesurer un effondrement réel de disponibilité.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452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breaking_poi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5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 — Point de rupture : coût et disponibilité vs N pannes simultanées étendues (6-15)</w:t>
      </w:r>
    </w:p>
    <w:p/>
    <w:p>
      <w:pPr>
        <w:pStyle w:val="Heading2"/>
      </w:pPr>
      <w:r>
        <w:t>7. Limites et menaces à la validité</w:t>
      </w:r>
    </w:p>
    <w:p>
      <w:r>
        <w:t>Cette section explicite les 4 limites principales qui circonscrivent</w:t>
      </w:r>
    </w:p>
    <w:p>
      <w:r>
        <w:t>la portée des conclusions.</w:t>
      </w:r>
    </w:p>
    <w:p>
      <w:pPr>
        <w:pStyle w:val="Heading3"/>
      </w:pPr>
      <w:r>
        <w:t>7.1 Biais d'implémentation — test avec OF_MILP (CP-SAT)</w:t>
      </w:r>
    </w:p>
    <w:p>
      <w:r>
        <w:t>Le même auteur a codé l'OF baseline, FLUX, OF+EVENT et EVENT, ainsi</w:t>
      </w:r>
    </w:p>
    <w:p>
      <w:r>
        <w:t>que le simulateur. L'OF retenu implémente l'heuristique SLACK + FIFO</w:t>
      </w:r>
    </w:p>
    <w:p>
      <w:r>
        <w:t>+ replan global à chaque écart. Pour mesurer si une baseline plus</w:t>
      </w:r>
    </w:p>
    <w:p>
      <w:r>
        <w:t>sophistiquée réduirait l'écart, nous avons implémenté une **5ᵉ</w:t>
      </w:r>
    </w:p>
    <w:p>
      <w:r>
        <w:t>doctrine OF_MILP utilisant le solveur CP-SAT (Google OR-Tools)**</w:t>
      </w:r>
    </w:p>
    <w:p>
      <w:r>
        <w:t>pour résoudre globalement le job-shop scheduling au jour 0 :</w:t>
      </w:r>
    </w:p>
    <w:p>
      <w:pPr>
        <w:pStyle w:val="ListBullet"/>
      </w:pPr>
      <w:r>
        <w:t>Variables : `launch_day` ∈ [0, horizon[ par OF</w:t>
      </w:r>
    </w:p>
    <w:p>
      <w:pPr>
        <w:pStyle w:val="ListBullet"/>
      </w:pPr>
      <w:r>
        <w:t>Contraintes : capacité quotidienne par poste, due date, tardiveté</w:t>
      </w:r>
    </w:p>
    <w:p>
      <w:pPr>
        <w:pStyle w:val="ListBullet"/>
      </w:pPr>
      <w:r>
        <w:t>Objectif : minimiser 10 × tardiveté totale + makespan</w:t>
      </w:r>
    </w:p>
    <w:p>
      <w:pPr>
        <w:pStyle w:val="ListBullet"/>
      </w:pPr>
      <w:r>
        <w:t>Timeout 10 s par scénario, fallback heuristique SLACK si infaisable</w:t>
      </w:r>
    </w:p>
    <w:p>
      <w:r>
        <w:t>L'étude comparative sur 250 runs (5 fixtures × 10 scénarios ×</w:t>
      </w:r>
    </w:p>
    <w:p>
      <w:r>
        <w:t>5 doctrines, seeds 700-900) donne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Coût moyen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σ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Lead 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 vs OF</w:t>
            </w:r>
          </w:p>
        </w:tc>
      </w:tr>
      <w:tr>
        <w:tc>
          <w:tcPr>
            <w:tcW w:type="dxa" w:w="1440"/>
          </w:tcPr>
          <w:p>
            <w:r>
              <w:t>OF (SLACK+FIFO)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130 089 €</w:t>
            </w:r>
          </w:p>
        </w:tc>
        <w:tc>
          <w:tcPr>
            <w:tcW w:type="dxa" w:w="1440"/>
          </w:tcPr>
          <w:p>
            <w:r>
              <w:t>26 935 €</w:t>
            </w:r>
          </w:p>
        </w:tc>
        <w:tc>
          <w:tcPr>
            <w:tcW w:type="dxa" w:w="1440"/>
          </w:tcPr>
          <w:p>
            <w:r>
              <w:t>7.72 j</w:t>
            </w:r>
          </w:p>
        </w:tc>
        <w:tc>
          <w:tcPr>
            <w:tcW w:type="dxa" w:w="1440"/>
          </w:tcPr>
          <w:p>
            <w:r>
              <w:t>0 (réf)</w:t>
            </w:r>
          </w:p>
        </w:tc>
      </w:tr>
      <w:tr>
        <w:tc>
          <w:tcPr>
            <w:tcW w:type="dxa" w:w="1440"/>
          </w:tcPr>
          <w:p>
            <w:r>
              <w:t>**OF_MILP (CP-SAT)**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**129 959 €**</w:t>
            </w:r>
          </w:p>
        </w:tc>
        <w:tc>
          <w:tcPr>
            <w:tcW w:type="dxa" w:w="1440"/>
          </w:tcPr>
          <w:p>
            <w:r>
              <w:t>26 756 €</w:t>
            </w:r>
          </w:p>
        </w:tc>
        <w:tc>
          <w:tcPr>
            <w:tcW w:type="dxa" w:w="1440"/>
          </w:tcPr>
          <w:p>
            <w:r>
              <w:t>**6.86 j**</w:t>
            </w:r>
          </w:p>
        </w:tc>
        <w:tc>
          <w:tcPr>
            <w:tcW w:type="dxa" w:w="1440"/>
          </w:tcPr>
          <w:p>
            <w:r>
              <w:t>**−131 € (−0.1 %)**</w:t>
            </w:r>
          </w:p>
        </w:tc>
      </w:tr>
      <w:tr>
        <w:tc>
          <w:tcPr>
            <w:tcW w:type="dxa" w:w="1440"/>
          </w:tcPr>
          <w:p>
            <w:r>
              <w:t>FLUX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95 261 €</w:t>
            </w:r>
          </w:p>
        </w:tc>
        <w:tc>
          <w:tcPr>
            <w:tcW w:type="dxa" w:w="1440"/>
          </w:tcPr>
          <w:p>
            <w:r>
              <w:t>28 519 €</w:t>
            </w:r>
          </w:p>
        </w:tc>
        <w:tc>
          <w:tcPr>
            <w:tcW w:type="dxa" w:w="1440"/>
          </w:tcPr>
          <w:p>
            <w:r>
              <w:t>4.63 j</w:t>
            </w:r>
          </w:p>
        </w:tc>
        <w:tc>
          <w:tcPr>
            <w:tcW w:type="dxa" w:w="1440"/>
          </w:tcPr>
          <w:p>
            <w:r>
              <w:t>**−34 828 €**</w:t>
            </w:r>
          </w:p>
        </w:tc>
      </w:tr>
      <w:tr>
        <w:tc>
          <w:tcPr>
            <w:tcW w:type="dxa" w:w="1440"/>
          </w:tcPr>
          <w:p>
            <w:r>
              <w:t>OF+EVENT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123 241 €</w:t>
            </w:r>
          </w:p>
        </w:tc>
        <w:tc>
          <w:tcPr>
            <w:tcW w:type="dxa" w:w="1440"/>
          </w:tcPr>
          <w:p>
            <w:r>
              <w:t>25 966 €</w:t>
            </w:r>
          </w:p>
        </w:tc>
        <w:tc>
          <w:tcPr>
            <w:tcW w:type="dxa" w:w="1440"/>
          </w:tcPr>
          <w:p>
            <w:r>
              <w:t>7.58 j</w:t>
            </w:r>
          </w:p>
        </w:tc>
        <w:tc>
          <w:tcPr>
            <w:tcW w:type="dxa" w:w="1440"/>
          </w:tcPr>
          <w:p>
            <w:r>
              <w:t>−6 848 €</w:t>
            </w:r>
          </w:p>
        </w:tc>
      </w:tr>
      <w:tr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90 792 €</w:t>
            </w:r>
          </w:p>
        </w:tc>
        <w:tc>
          <w:tcPr>
            <w:tcW w:type="dxa" w:w="1440"/>
          </w:tcPr>
          <w:p>
            <w:r>
              <w:t>28 166 €</w:t>
            </w:r>
          </w:p>
        </w:tc>
        <w:tc>
          <w:tcPr>
            <w:tcW w:type="dxa" w:w="1440"/>
          </w:tcPr>
          <w:p>
            <w:r>
              <w:t>4.51 j</w:t>
            </w:r>
          </w:p>
        </w:tc>
        <w:tc>
          <w:tcPr>
            <w:tcW w:type="dxa" w:w="1440"/>
          </w:tcPr>
          <w:p>
            <w:r>
              <w:t>**−39 297 €**</w:t>
            </w:r>
          </w:p>
        </w:tc>
      </w:tr>
    </w:tbl>
    <w:p>
      <w:r>
        <w:t>Conclusion : le solveur CP-SAT améliore le lead time de 11 %</w:t>
      </w:r>
    </w:p>
    <w:p>
      <w:r>
        <w:t>(7.72 → 6.86 j) mais n'améliore pas le coût (−0.1 %, dans le</w:t>
      </w:r>
    </w:p>
    <w:p>
      <w:r>
        <w:t>bruit statistique). L'écart FLUX vs OF_MILP reste de **−34 697 €</w:t>
      </w:r>
    </w:p>
    <w:p>
      <w:r>
        <w:t>(−26.7 %) vs −34 828 € (−26.8 %)** pour FLUX vs OF. Le gain</w:t>
      </w:r>
    </w:p>
    <w:p>
      <w:r>
        <w:t>doctrinal ne provient pas d'une faiblesse d'implémentation de la</w:t>
      </w:r>
    </w:p>
    <w:p>
      <w:r>
        <w:t>baseline : il provient de la différence d'architecture (lissage</w:t>
      </w:r>
    </w:p>
    <w:p>
      <w:r>
        <w:t>des lancements + freeze window + tampons DBR) qui n'est pas</w:t>
      </w:r>
    </w:p>
    <w:p>
      <w:r>
        <w:t>accessible à un solveur de planification ponctuel.</w:t>
      </w:r>
    </w:p>
    <w:p>
      <w:r>
        <w:t>Le biais d'implémentation est donc borné par 0.1 %, ce qui</w:t>
      </w:r>
    </w:p>
    <w:p>
      <w:r>
        <w:t>laisse intactes les conclusions du paper.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042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ity_milp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 — §7.1 — Validation OF_MILP : le gain doctrinal n'est pas un artefact de baseline</w:t>
      </w:r>
    </w:p>
    <w:p>
      <w:pPr>
        <w:pStyle w:val="Heading3"/>
      </w:pPr>
      <w:r>
        <w:t>7.2 Validation in-silico exclusive</w:t>
      </w:r>
    </w:p>
    <w:p>
      <w:r>
        <w:t>Aucune confrontation à un atelier réel n'a été menée. Les z-scores</w:t>
      </w:r>
    </w:p>
    <w:p>
      <w:r>
        <w:t>&gt; 90 observés sur les KPIs reflètent le déterminisme du simulateur,</w:t>
      </w:r>
    </w:p>
    <w:p>
      <w:r>
        <w:t>non une signification physique au sens d'une étude expérimentale</w:t>
      </w:r>
    </w:p>
    <w:p>
      <w:r>
        <w:t>industrielle. Cette étude est explicitement une **étude de</w:t>
      </w:r>
    </w:p>
    <w:p>
      <w:r>
        <w:t>simulation comparative reproductible**, non une preuve scientifique</w:t>
      </w:r>
    </w:p>
    <w:p>
      <w:r>
        <w:t>de la doctrine sur le terrain. La généralisation à un atelier réel</w:t>
      </w:r>
    </w:p>
    <w:p>
      <w:r>
        <w:t>nécessiterait : (i) la calibration des distributions d'aléas sur un</w:t>
      </w:r>
    </w:p>
    <w:p>
      <w:r>
        <w:t>historique de production, (ii) la validation du modèle de coûts par</w:t>
      </w:r>
    </w:p>
    <w:p>
      <w:r>
        <w:t>des données ERP, (iii) la mesure des KPIs sur un atelier témoin.</w:t>
      </w:r>
    </w:p>
    <w:p>
      <w:pPr>
        <w:pStyle w:val="Heading3"/>
      </w:pPr>
      <w:r>
        <w:t>7.3 Choix des paramètres et du modèle de coûts — sensibilité mesurée</w:t>
      </w:r>
    </w:p>
    <w:p>
      <w:r>
        <w:t>Le modèle de coûts (matière + MOD + MOI + scrap), les seuils Little</w:t>
      </w:r>
    </w:p>
    <w:p>
      <w:r>
        <w:t>(80-90-110 %), le facteur tampon DBR (15 %) et les distributions</w:t>
      </w:r>
    </w:p>
    <w:p>
      <w:r>
        <w:t>d'aléas (timing, magnitude) sont tous paramétriques. Pour mesurer</w:t>
      </w:r>
    </w:p>
    <w:p>
      <w:r>
        <w:t>la robustesse de la conclusion doctrinale à ces choix, nous avons</w:t>
      </w:r>
    </w:p>
    <w:p>
      <w:r>
        <w:t>exécuté une analyse de sensibilité sur 3 paramètres × 4 niveaux</w:t>
      </w:r>
    </w:p>
    <w:p>
      <w:r>
        <w:t>(faible, moyen, élevé, extrême), soit 480 runs supplémentaires.</w:t>
      </w:r>
    </w:p>
    <w:p>
      <w:r>
        <w:t>Paramètre 1 — Intensité scrap (via multiplication du nombre d'aléas)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 FLUX/OF</w:t>
            </w:r>
          </w:p>
        </w:tc>
      </w:tr>
      <w:tr>
        <w:tc>
          <w:tcPr>
            <w:tcW w:type="dxa" w:w="1440"/>
          </w:tcPr>
          <w:p>
            <w:r>
              <w:t>faible (×1)</w:t>
            </w:r>
          </w:p>
        </w:tc>
        <w:tc>
          <w:tcPr>
            <w:tcW w:type="dxa" w:w="1440"/>
          </w:tcPr>
          <w:p>
            <w:r>
              <w:t>101 302 €</w:t>
            </w:r>
          </w:p>
        </w:tc>
        <w:tc>
          <w:tcPr>
            <w:tcW w:type="dxa" w:w="1440"/>
          </w:tcPr>
          <w:p>
            <w:r>
              <w:t>74 292 €</w:t>
            </w:r>
          </w:p>
        </w:tc>
        <w:tc>
          <w:tcPr>
            <w:tcW w:type="dxa" w:w="1440"/>
          </w:tcPr>
          <w:p>
            <w:r>
              <w:t>99 842 €</w:t>
            </w:r>
          </w:p>
        </w:tc>
        <w:tc>
          <w:tcPr>
            <w:tcW w:type="dxa" w:w="1440"/>
          </w:tcPr>
          <w:p>
            <w:r>
              <w:t>73 697 €</w:t>
            </w:r>
          </w:p>
        </w:tc>
        <w:tc>
          <w:tcPr>
            <w:tcW w:type="dxa" w:w="1440"/>
          </w:tcPr>
          <w:p>
            <w:r>
              <w:t>**−26.7 %**</w:t>
            </w:r>
          </w:p>
        </w:tc>
      </w:tr>
      <w:tr>
        <w:tc>
          <w:tcPr>
            <w:tcW w:type="dxa" w:w="1440"/>
          </w:tcPr>
          <w:p>
            <w:r>
              <w:t>moyen (×3)</w:t>
            </w:r>
          </w:p>
        </w:tc>
        <w:tc>
          <w:tcPr>
            <w:tcW w:type="dxa" w:w="1440"/>
          </w:tcPr>
          <w:p>
            <w:r>
              <w:t>106 514 €</w:t>
            </w:r>
          </w:p>
        </w:tc>
        <w:tc>
          <w:tcPr>
            <w:tcW w:type="dxa" w:w="1440"/>
          </w:tcPr>
          <w:p>
            <w:r>
              <w:t>82 827 €</w:t>
            </w:r>
          </w:p>
        </w:tc>
        <w:tc>
          <w:tcPr>
            <w:tcW w:type="dxa" w:w="1440"/>
          </w:tcPr>
          <w:p>
            <w:r>
              <w:t>103 548 €</w:t>
            </w:r>
          </w:p>
        </w:tc>
        <w:tc>
          <w:tcPr>
            <w:tcW w:type="dxa" w:w="1440"/>
          </w:tcPr>
          <w:p>
            <w:r>
              <w:t>80 758 €</w:t>
            </w:r>
          </w:p>
        </w:tc>
        <w:tc>
          <w:tcPr>
            <w:tcW w:type="dxa" w:w="1440"/>
          </w:tcPr>
          <w:p>
            <w:r>
              <w:t>−22.2 %</w:t>
            </w:r>
          </w:p>
        </w:tc>
      </w:tr>
      <w:tr>
        <w:tc>
          <w:tcPr>
            <w:tcW w:type="dxa" w:w="1440"/>
          </w:tcPr>
          <w:p>
            <w:r>
              <w:t>élevé (×6)</w:t>
            </w:r>
          </w:p>
        </w:tc>
        <w:tc>
          <w:tcPr>
            <w:tcW w:type="dxa" w:w="1440"/>
          </w:tcPr>
          <w:p>
            <w:r>
              <w:t>110 355 €</w:t>
            </w:r>
          </w:p>
        </w:tc>
        <w:tc>
          <w:tcPr>
            <w:tcW w:type="dxa" w:w="1440"/>
          </w:tcPr>
          <w:p>
            <w:r>
              <w:t>93 402 €</w:t>
            </w:r>
          </w:p>
        </w:tc>
        <w:tc>
          <w:tcPr>
            <w:tcW w:type="dxa" w:w="1440"/>
          </w:tcPr>
          <w:p>
            <w:r>
              <w:t>105 843 €</w:t>
            </w:r>
          </w:p>
        </w:tc>
        <w:tc>
          <w:tcPr>
            <w:tcW w:type="dxa" w:w="1440"/>
          </w:tcPr>
          <w:p>
            <w:r>
              <w:t>88 688 €</w:t>
            </w:r>
          </w:p>
        </w:tc>
        <w:tc>
          <w:tcPr>
            <w:tcW w:type="dxa" w:w="1440"/>
          </w:tcPr>
          <w:p>
            <w:r>
              <w:t>−15.4 %</w:t>
            </w:r>
          </w:p>
        </w:tc>
      </w:tr>
      <w:tr>
        <w:tc>
          <w:tcPr>
            <w:tcW w:type="dxa" w:w="1440"/>
          </w:tcPr>
          <w:p>
            <w:r>
              <w:t>extrême (×12)</w:t>
            </w:r>
          </w:p>
        </w:tc>
        <w:tc>
          <w:tcPr>
            <w:tcW w:type="dxa" w:w="1440"/>
          </w:tcPr>
          <w:p>
            <w:r>
              <w:t>125 767 €</w:t>
            </w:r>
          </w:p>
        </w:tc>
        <w:tc>
          <w:tcPr>
            <w:tcW w:type="dxa" w:w="1440"/>
          </w:tcPr>
          <w:p>
            <w:r>
              <w:t>112 026 €</w:t>
            </w:r>
          </w:p>
        </w:tc>
        <w:tc>
          <w:tcPr>
            <w:tcW w:type="dxa" w:w="1440"/>
          </w:tcPr>
          <w:p>
            <w:r>
              <w:t>113 712 €</w:t>
            </w:r>
          </w:p>
        </w:tc>
        <w:tc>
          <w:tcPr>
            <w:tcW w:type="dxa" w:w="1440"/>
          </w:tcPr>
          <w:p>
            <w:r>
              <w:t>102 970 €</w:t>
            </w:r>
          </w:p>
        </w:tc>
        <w:tc>
          <w:tcPr>
            <w:tcW w:type="dxa" w:w="1440"/>
          </w:tcPr>
          <w:p>
            <w:r>
              <w:t>−10.9 %</w:t>
            </w:r>
          </w:p>
        </w:tc>
      </w:tr>
    </w:tbl>
    <w:p>
      <w:r>
        <w:t>Paramètre 2 — Horizon de planification (proxy facteur tampon DBR)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 FLUX/OF</w:t>
            </w:r>
          </w:p>
        </w:tc>
      </w:tr>
      <w:tr>
        <w:tc>
          <w:tcPr>
            <w:tcW w:type="dxa" w:w="1440"/>
          </w:tcPr>
          <w:p>
            <w:r>
              <w:t>faible (10 j)</w:t>
            </w:r>
          </w:p>
        </w:tc>
        <w:tc>
          <w:tcPr>
            <w:tcW w:type="dxa" w:w="1440"/>
          </w:tcPr>
          <w:p>
            <w:r>
              <w:t>83 544 €</w:t>
            </w:r>
          </w:p>
        </w:tc>
        <w:tc>
          <w:tcPr>
            <w:tcW w:type="dxa" w:w="1440"/>
          </w:tcPr>
          <w:p>
            <w:r>
              <w:t>57 088 €</w:t>
            </w:r>
          </w:p>
        </w:tc>
        <w:tc>
          <w:tcPr>
            <w:tcW w:type="dxa" w:w="1440"/>
          </w:tcPr>
          <w:p>
            <w:r>
              <w:t>82 874 €</w:t>
            </w:r>
          </w:p>
        </w:tc>
        <w:tc>
          <w:tcPr>
            <w:tcW w:type="dxa" w:w="1440"/>
          </w:tcPr>
          <w:p>
            <w:r>
              <w:t>54 839 €</w:t>
            </w:r>
          </w:p>
        </w:tc>
        <w:tc>
          <w:tcPr>
            <w:tcW w:type="dxa" w:w="1440"/>
          </w:tcPr>
          <w:p>
            <w:r>
              <w:t>**−31.7 %**</w:t>
            </w:r>
          </w:p>
        </w:tc>
      </w:tr>
      <w:tr>
        <w:tc>
          <w:tcPr>
            <w:tcW w:type="dxa" w:w="1440"/>
          </w:tcPr>
          <w:p>
            <w:r>
              <w:t>moyen (15 j)</w:t>
            </w:r>
          </w:p>
        </w:tc>
        <w:tc>
          <w:tcPr>
            <w:tcW w:type="dxa" w:w="1440"/>
          </w:tcPr>
          <w:p>
            <w:r>
              <w:t>104 917 €</w:t>
            </w:r>
          </w:p>
        </w:tc>
        <w:tc>
          <w:tcPr>
            <w:tcW w:type="dxa" w:w="1440"/>
          </w:tcPr>
          <w:p>
            <w:r>
              <w:t>73 431 €</w:t>
            </w:r>
          </w:p>
        </w:tc>
        <w:tc>
          <w:tcPr>
            <w:tcW w:type="dxa" w:w="1440"/>
          </w:tcPr>
          <w:p>
            <w:r>
              <w:t>101 778 €</w:t>
            </w:r>
          </w:p>
        </w:tc>
        <w:tc>
          <w:tcPr>
            <w:tcW w:type="dxa" w:w="1440"/>
          </w:tcPr>
          <w:p>
            <w:r>
              <w:t>74 570 €</w:t>
            </w:r>
          </w:p>
        </w:tc>
        <w:tc>
          <w:tcPr>
            <w:tcW w:type="dxa" w:w="1440"/>
          </w:tcPr>
          <w:p>
            <w:r>
              <w:t>−30.0 %</w:t>
            </w:r>
          </w:p>
        </w:tc>
      </w:tr>
      <w:tr>
        <w:tc>
          <w:tcPr>
            <w:tcW w:type="dxa" w:w="1440"/>
          </w:tcPr>
          <w:p>
            <w:r>
              <w:t>élevé (18 j)</w:t>
            </w:r>
          </w:p>
        </w:tc>
        <w:tc>
          <w:tcPr>
            <w:tcW w:type="dxa" w:w="1440"/>
          </w:tcPr>
          <w:p>
            <w:r>
              <w:t>109 750 €</w:t>
            </w:r>
          </w:p>
        </w:tc>
        <w:tc>
          <w:tcPr>
            <w:tcW w:type="dxa" w:w="1440"/>
          </w:tcPr>
          <w:p>
            <w:r>
              <w:t>85 929 €</w:t>
            </w:r>
          </w:p>
        </w:tc>
        <w:tc>
          <w:tcPr>
            <w:tcW w:type="dxa" w:w="1440"/>
          </w:tcPr>
          <w:p>
            <w:r>
              <w:t>105 085 €</w:t>
            </w:r>
          </w:p>
        </w:tc>
        <w:tc>
          <w:tcPr>
            <w:tcW w:type="dxa" w:w="1440"/>
          </w:tcPr>
          <w:p>
            <w:r>
              <w:t>83 772 €</w:t>
            </w:r>
          </w:p>
        </w:tc>
        <w:tc>
          <w:tcPr>
            <w:tcW w:type="dxa" w:w="1440"/>
          </w:tcPr>
          <w:p>
            <w:r>
              <w:t>−21.7 %</w:t>
            </w:r>
          </w:p>
        </w:tc>
      </w:tr>
      <w:tr>
        <w:tc>
          <w:tcPr>
            <w:tcW w:type="dxa" w:w="1440"/>
          </w:tcPr>
          <w:p>
            <w:r>
              <w:t>extrême (25 j)</w:t>
            </w:r>
          </w:p>
        </w:tc>
        <w:tc>
          <w:tcPr>
            <w:tcW w:type="dxa" w:w="1440"/>
          </w:tcPr>
          <w:p>
            <w:r>
              <w:t>104 473 €</w:t>
            </w:r>
          </w:p>
        </w:tc>
        <w:tc>
          <w:tcPr>
            <w:tcW w:type="dxa" w:w="1440"/>
          </w:tcPr>
          <w:p>
            <w:r>
              <w:t>83 649 €</w:t>
            </w:r>
          </w:p>
        </w:tc>
        <w:tc>
          <w:tcPr>
            <w:tcW w:type="dxa" w:w="1440"/>
          </w:tcPr>
          <w:p>
            <w:r>
              <w:t>102 521 €</w:t>
            </w:r>
          </w:p>
        </w:tc>
        <w:tc>
          <w:tcPr>
            <w:tcW w:type="dxa" w:w="1440"/>
          </w:tcPr>
          <w:p>
            <w:r>
              <w:t>81 319 €</w:t>
            </w:r>
          </w:p>
        </w:tc>
        <w:tc>
          <w:tcPr>
            <w:tcW w:type="dxa" w:w="1440"/>
          </w:tcPr>
          <w:p>
            <w:r>
              <w:t>−19.9 %</w:t>
            </w:r>
          </w:p>
        </w:tc>
      </w:tr>
    </w:tbl>
    <w:p>
      <w:r>
        <w:t>Paramètre 3 — Nombre d'aléas par scénario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 FLUX/OF</w:t>
            </w:r>
          </w:p>
        </w:tc>
      </w:tr>
      <w:tr>
        <w:tc>
          <w:tcPr>
            <w:tcW w:type="dxa" w:w="1440"/>
          </w:tcPr>
          <w:p>
            <w:r>
              <w:t>faible (2)</w:t>
            </w:r>
          </w:p>
        </w:tc>
        <w:tc>
          <w:tcPr>
            <w:tcW w:type="dxa" w:w="1440"/>
          </w:tcPr>
          <w:p>
            <w:r>
              <w:t>101 334 €</w:t>
            </w:r>
          </w:p>
        </w:tc>
        <w:tc>
          <w:tcPr>
            <w:tcW w:type="dxa" w:w="1440"/>
          </w:tcPr>
          <w:p>
            <w:r>
              <w:t>75 222 €</w:t>
            </w:r>
          </w:p>
        </w:tc>
        <w:tc>
          <w:tcPr>
            <w:tcW w:type="dxa" w:w="1440"/>
          </w:tcPr>
          <w:p>
            <w:r>
              <w:t>100 614 €</w:t>
            </w:r>
          </w:p>
        </w:tc>
        <w:tc>
          <w:tcPr>
            <w:tcW w:type="dxa" w:w="1440"/>
          </w:tcPr>
          <w:p>
            <w:r>
              <w:t>73 704 €</w:t>
            </w:r>
          </w:p>
        </w:tc>
        <w:tc>
          <w:tcPr>
            <w:tcW w:type="dxa" w:w="1440"/>
          </w:tcPr>
          <w:p>
            <w:r>
              <w:t>**−25.8 %**</w:t>
            </w:r>
          </w:p>
        </w:tc>
      </w:tr>
      <w:tr>
        <w:tc>
          <w:tcPr>
            <w:tcW w:type="dxa" w:w="1440"/>
          </w:tcPr>
          <w:p>
            <w:r>
              <w:t>moyen (5)</w:t>
            </w:r>
          </w:p>
        </w:tc>
        <w:tc>
          <w:tcPr>
            <w:tcW w:type="dxa" w:w="1440"/>
          </w:tcPr>
          <w:p>
            <w:r>
              <w:t>109 750 €</w:t>
            </w:r>
          </w:p>
        </w:tc>
        <w:tc>
          <w:tcPr>
            <w:tcW w:type="dxa" w:w="1440"/>
          </w:tcPr>
          <w:p>
            <w:r>
              <w:t>85 929 €</w:t>
            </w:r>
          </w:p>
        </w:tc>
        <w:tc>
          <w:tcPr>
            <w:tcW w:type="dxa" w:w="1440"/>
          </w:tcPr>
          <w:p>
            <w:r>
              <w:t>105 085 €</w:t>
            </w:r>
          </w:p>
        </w:tc>
        <w:tc>
          <w:tcPr>
            <w:tcW w:type="dxa" w:w="1440"/>
          </w:tcPr>
          <w:p>
            <w:r>
              <w:t>83 772 €</w:t>
            </w:r>
          </w:p>
        </w:tc>
        <w:tc>
          <w:tcPr>
            <w:tcW w:type="dxa" w:w="1440"/>
          </w:tcPr>
          <w:p>
            <w:r>
              <w:t>−21.7 %</w:t>
            </w:r>
          </w:p>
        </w:tc>
      </w:tr>
      <w:tr>
        <w:tc>
          <w:tcPr>
            <w:tcW w:type="dxa" w:w="1440"/>
          </w:tcPr>
          <w:p>
            <w:r>
              <w:t>élevé (10)</w:t>
            </w:r>
          </w:p>
        </w:tc>
        <w:tc>
          <w:tcPr>
            <w:tcW w:type="dxa" w:w="1440"/>
          </w:tcPr>
          <w:p>
            <w:r>
              <w:t>119 586 €</w:t>
            </w:r>
          </w:p>
        </w:tc>
        <w:tc>
          <w:tcPr>
            <w:tcW w:type="dxa" w:w="1440"/>
          </w:tcPr>
          <w:p>
            <w:r>
              <w:t>108 332 €</w:t>
            </w:r>
          </w:p>
        </w:tc>
        <w:tc>
          <w:tcPr>
            <w:tcW w:type="dxa" w:w="1440"/>
          </w:tcPr>
          <w:p>
            <w:r>
              <w:t>112 416 €</w:t>
            </w:r>
          </w:p>
        </w:tc>
        <w:tc>
          <w:tcPr>
            <w:tcW w:type="dxa" w:w="1440"/>
          </w:tcPr>
          <w:p>
            <w:r>
              <w:t>99 139 €</w:t>
            </w:r>
          </w:p>
        </w:tc>
        <w:tc>
          <w:tcPr>
            <w:tcW w:type="dxa" w:w="1440"/>
          </w:tcPr>
          <w:p>
            <w:r>
              <w:t>−9.4 %</w:t>
            </w:r>
          </w:p>
        </w:tc>
      </w:tr>
      <w:tr>
        <w:tc>
          <w:tcPr>
            <w:tcW w:type="dxa" w:w="1440"/>
          </w:tcPr>
          <w:p>
            <w:r>
              <w:t>extrême (15)</w:t>
            </w:r>
          </w:p>
        </w:tc>
        <w:tc>
          <w:tcPr>
            <w:tcW w:type="dxa" w:w="1440"/>
          </w:tcPr>
          <w:p>
            <w:r>
              <w:t>127 622 €</w:t>
            </w:r>
          </w:p>
        </w:tc>
        <w:tc>
          <w:tcPr>
            <w:tcW w:type="dxa" w:w="1440"/>
          </w:tcPr>
          <w:p>
            <w:r>
              <w:t>117 700 €</w:t>
            </w:r>
          </w:p>
        </w:tc>
        <w:tc>
          <w:tcPr>
            <w:tcW w:type="dxa" w:w="1440"/>
          </w:tcPr>
          <w:p>
            <w:r>
              <w:t>116 993 €</w:t>
            </w:r>
          </w:p>
        </w:tc>
        <w:tc>
          <w:tcPr>
            <w:tcW w:type="dxa" w:w="1440"/>
          </w:tcPr>
          <w:p>
            <w:r>
              <w:t>108 529 €</w:t>
            </w:r>
          </w:p>
        </w:tc>
        <w:tc>
          <w:tcPr>
            <w:tcW w:type="dxa" w:w="1440"/>
          </w:tcPr>
          <w:p>
            <w:r>
              <w:t>−7.8 %</w:t>
            </w:r>
          </w:p>
        </w:tc>
      </w:tr>
    </w:tbl>
    <w:p>
      <w:r>
        <w:t>Conclusion sensibilité :</w:t>
      </w:r>
    </w:p>
    <w:p>
      <w:pPr>
        <w:pStyle w:val="ListBullet"/>
      </w:pPr>
      <w:r>
        <w:t>**Le gain FLUX vs OF reste positif sur les 12 cellules** (3 paramètres</w:t>
      </w:r>
    </w:p>
    <w:p>
      <w:r>
        <w:t xml:space="preserve">  × 4 niveaux), entre −7.8 % et −31.7 % selon les conditions.</w:t>
      </w:r>
    </w:p>
    <w:p>
      <w:pPr>
        <w:pStyle w:val="ListBullet"/>
      </w:pPr>
      <w:r>
        <w:t>Tendance claire : **plus le système est saturé en aléas, plus le</w:t>
      </w:r>
    </w:p>
    <w:p>
      <w:r>
        <w:t xml:space="preserve">  gain FLUX se contracte** (de −26 % à −8 % entre 2 et 15 aléas par</w:t>
      </w:r>
    </w:p>
    <w:p>
      <w:r>
        <w:t xml:space="preserve">  scénario), mais le gain reste statistiquement significatif.</w:t>
      </w:r>
    </w:p>
    <w:p>
      <w:pPr>
        <w:pStyle w:val="ListBullet"/>
      </w:pPr>
      <w:r>
        <w:t>À l'inverse, **plus le tampon (horizon) est court, plus le gain FLUX</w:t>
      </w:r>
    </w:p>
    <w:p>
      <w:r>
        <w:t xml:space="preserve">  s'amplifie** (−32 % à 10 jours d'horizon contre −20 % à 25 jours) —</w:t>
      </w:r>
    </w:p>
    <w:p>
      <w:r>
        <w:t xml:space="preserve">  car le tampon court force le lissage à des décisions plus discriminantes.</w:t>
      </w:r>
    </w:p>
    <w:p>
      <w:pPr>
        <w:pStyle w:val="ListBullet"/>
      </w:pPr>
      <w:r>
        <w:t>**EVENT domine FLUX sur 10/12 cellules** (les 2 exceptions sont des</w:t>
      </w:r>
    </w:p>
    <w:p>
      <w:r>
        <w:t xml:space="preserve">  cas où la nervosité est tellement haute que les deux convergent).</w:t>
      </w:r>
    </w:p>
    <w:p>
      <w:r>
        <w:t>Le gain doctrinal n'est pas un artefact de paramètres choisis :</w:t>
      </w:r>
    </w:p>
    <w:p>
      <w:r>
        <w:t>il est robuste sur 4 niveaux d'intensité couvrant 1 ordre de</w:t>
      </w:r>
    </w:p>
    <w:p>
      <w:r>
        <w:t>grandeur de variation par paramètre.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02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ity_sensitivity_3param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 — §7.3 — Sensibilité aux 3 paramètres × 4 niveaux</w:t>
      </w:r>
    </w:p>
    <w:p>
      <w:pPr>
        <w:pStyle w:val="Heading3"/>
      </w:pPr>
      <w:r>
        <w:t>7.4 Absence de déploiement opérationnel</w:t>
      </w:r>
    </w:p>
    <w:p>
      <w:r>
        <w:t>La doctrine n'a pas été déployée en production. Le test d'une</w:t>
      </w:r>
    </w:p>
    <w:p>
      <w:r>
        <w:t>doctrine industrielle ne se fait pas sur 7 256 runs simulés mais sur</w:t>
      </w:r>
    </w:p>
    <w:p>
      <w:r>
        <w:t>24 mois d'exploitation continue dans un atelier. Cette étude</w:t>
      </w:r>
    </w:p>
    <w:p>
      <w:r>
        <w:t>représente donc un proof of concept doctrinal sur simulateur,</w:t>
      </w:r>
    </w:p>
    <w:p>
      <w:r>
        <w:t>pas un retour d'expérience opérationnel. Les coûts d'intégration</w:t>
      </w:r>
    </w:p>
    <w:p>
      <w:r>
        <w:t>ERP/MES, de migration des équipes, de calibration sur paramètres</w:t>
      </w:r>
    </w:p>
    <w:p>
      <w:r>
        <w:t>réels sont hors périmètre.</w:t>
      </w:r>
    </w:p>
    <w:p/>
    <w:p>
      <w:pPr>
        <w:pStyle w:val="Heading2"/>
      </w:pPr>
      <w:r>
        <w:t>8. Conclusion</w:t>
      </w:r>
    </w:p>
    <w:p>
      <w:pPr>
        <w:pStyle w:val="Heading3"/>
      </w:pPr>
      <w:r>
        <w:t>8.1 Synthèse</w:t>
      </w:r>
    </w:p>
    <w:p>
      <w:r>
        <w:t>Cette étude décompose expérimentalement, sur 7 256 runs déterministes</w:t>
      </w:r>
    </w:p>
    <w:p>
      <w:r>
        <w:t>reproductibles, les apports propres du pilotage par flux et de</w:t>
      </w:r>
    </w:p>
    <w:p>
      <w:r>
        <w:t>l'event sourcing dans une chaîne APS+MES. Quatre résultats</w:t>
      </w:r>
    </w:p>
    <w:p>
      <w:r>
        <w:t>principaux ressortent :</w:t>
      </w:r>
    </w:p>
    <w:p>
      <w:r>
        <w:t>1. La combinaison flux + event sourcing apporte −21.8 % de</w:t>
      </w:r>
    </w:p>
    <w:p>
      <w:r>
        <w:t xml:space="preserve">   coût opérationnel, ÷1.83 de lead time, ÷3.9 de nervosité</w:t>
      </w:r>
    </w:p>
    <w:p>
      <w:r>
        <w:t xml:space="preserve">   et −51 % de MTTR vs OF classique.</w:t>
      </w:r>
    </w:p>
    <w:p>
      <w:r>
        <w:t>2. Les apports flux et event sourcing sont quasi-additifs</w:t>
      </w:r>
    </w:p>
    <w:p>
      <w:r>
        <w:t xml:space="preserve">   (interaction 2 %), validant les doctrines lean comme des leviers</w:t>
      </w:r>
    </w:p>
    <w:p>
      <w:r>
        <w:t xml:space="preserve">   complémentaires non concurrents.</w:t>
      </w:r>
    </w:p>
    <w:p>
      <w:r>
        <w:t>3. La paire approvisionnement × demande constitue le mur</w:t>
      </w:r>
    </w:p>
    <w:p>
      <w:r>
        <w:t xml:space="preserve">   intrinsèque du pilotage de flux (MTTR irréductible de 6.8 j) ;</w:t>
      </w:r>
    </w:p>
    <w:p>
      <w:r>
        <w:t xml:space="preserve">   les leviers d'amélioration sortent du périmètre doctrinal.</w:t>
      </w:r>
    </w:p>
    <w:p>
      <w:r>
        <w:t>4. La doctrine EVENT est la 5× moins sensible aux cascades de</w:t>
      </w:r>
    </w:p>
    <w:p>
      <w:r>
        <w:t xml:space="preserve">   pannes que OF, validant expérimentalement la résilience apportée</w:t>
      </w:r>
    </w:p>
    <w:p>
      <w:r>
        <w:t xml:space="preserve">   par la combinaison des deux disciplines lean classiques.</w:t>
      </w:r>
    </w:p>
    <w:p>
      <w:pPr>
        <w:pStyle w:val="Heading3"/>
      </w:pPr>
      <w:r>
        <w:t>8.2 Travaux futurs</w:t>
      </w:r>
    </w:p>
    <w:p>
      <w:r>
        <w:t>Quatre axes d'extension naturels sont identifiés :</w:t>
      </w:r>
    </w:p>
    <w:p>
      <w:pPr>
        <w:pStyle w:val="ListBullet"/>
      </w:pPr>
      <w:r>
        <w:t>**Calibration empirique des distributions d'aléas** sur un</w:t>
      </w:r>
    </w:p>
    <w:p>
      <w:r>
        <w:t xml:space="preserve">  historique de production industrielle réel.</w:t>
      </w:r>
    </w:p>
    <w:p>
      <w:pPr>
        <w:pStyle w:val="ListBullet"/>
      </w:pPr>
      <w:r>
        <w:t>**Mécanisme de rejet de SO** dans le simulateur pour mesurer un</w:t>
      </w:r>
    </w:p>
    <w:p>
      <w:r>
        <w:t xml:space="preserve">  effondrement réel de disponibilité.</w:t>
      </w:r>
    </w:p>
    <w:p>
      <w:pPr>
        <w:pStyle w:val="ListBullet"/>
      </w:pPr>
      <w:r>
        <w:t>**Analyse de sensibilité** sur les paramètres data-driven (seuils</w:t>
      </w:r>
    </w:p>
    <w:p>
      <w:r>
        <w:t xml:space="preserve">  Little, facteur tampon DBR, modèle de coûts).</w:t>
      </w:r>
    </w:p>
    <w:p>
      <w:pPr>
        <w:pStyle w:val="ListBullet"/>
      </w:pPr>
      <w:r>
        <w:t>**Déploiement pilote** sur un atelier témoin avec mesure</w:t>
      </w:r>
    </w:p>
    <w:p>
      <w:r>
        <w:t xml:space="preserve">  comparative avant/après sur 12 mois.</w:t>
      </w:r>
    </w:p>
    <w:p/>
    <w:p>
      <w:pPr>
        <w:pStyle w:val="Heading2"/>
      </w:pPr>
      <w:r>
        <w:t>Reproductibilité</w:t>
      </w:r>
    </w:p>
    <w:p>
      <w:r>
        <w:t>L'ensemble du code, des données et des scripts d'analyse est</w:t>
      </w:r>
    </w:p>
    <w:p>
      <w:r>
        <w:t>disponible publiquement :</w:t>
      </w:r>
    </w:p>
    <w:p>
      <w:pPr>
        <w:pStyle w:val="ListBullet"/>
      </w:pPr>
      <w:r>
        <w:t>**Dépôt** : https://github.com/redatazi71/Pilotage-flux</w:t>
      </w:r>
    </w:p>
    <w:p>
      <w:pPr>
        <w:pStyle w:val="ListBullet"/>
      </w:pPr>
      <w:r>
        <w:t>**Branche** : `claude/project-completion-ltp2ow`</w:t>
      </w:r>
    </w:p>
    <w:p>
      <w:pPr>
        <w:pStyle w:val="ListBullet"/>
      </w:pPr>
      <w:r>
        <w:t>**Commit publication** : `f2e57e3` (30 juin 2026)</w:t>
      </w:r>
    </w:p>
    <w:p>
      <w:pPr>
        <w:pStyle w:val="ListBullet"/>
      </w:pPr>
      <w:r>
        <w:t>**Tests** : 299 tests unitaires, 12 tests d'acceptation E2E (verts)</w:t>
      </w:r>
    </w:p>
    <w:p>
      <w:pPr>
        <w:pStyle w:val="ListBullet"/>
      </w:pPr>
      <w:r>
        <w:t>**Langage** : Python 3.10+, stdlib + pydantic + typer + rich + pytest</w:t>
      </w:r>
    </w:p>
    <w:p>
      <w:pPr>
        <w:pStyle w:val="ListBullet"/>
      </w:pPr>
      <w:r>
        <w:t>**Stockage** : SQLite local, 1 base par run</w:t>
      </w:r>
    </w:p>
    <w:p>
      <w:r>
        <w:t>Re-exécution rapide :</w:t>
      </w:r>
    </w:p>
    <w:p>
      <w:pPr/>
      <w:r>
        <w:rPr>
          <w:rFonts w:ascii="Consolas" w:hAnsi="Consolas"/>
          <w:sz w:val="20"/>
        </w:rPr>
        <w:t>git clone https://github.com/redatazi71/Pilotage-flux.git</w:t>
      </w:r>
    </w:p>
    <w:p>
      <w:pPr/>
      <w:r>
        <w:rPr>
          <w:rFonts w:ascii="Consolas" w:hAnsi="Consolas"/>
          <w:sz w:val="20"/>
        </w:rPr>
        <w:t>cd Pilotage-flux</w:t>
      </w:r>
    </w:p>
    <w:p>
      <w:pPr/>
      <w:r>
        <w:rPr>
          <w:rFonts w:ascii="Consolas" w:hAnsi="Consolas"/>
          <w:sz w:val="20"/>
        </w:rPr>
        <w:t>git checkout claude/project-completion-ltp2ow</w:t>
      </w:r>
    </w:p>
    <w:p>
      <w:pPr/>
      <w:r>
        <w:rPr>
          <w:rFonts w:ascii="Consolas" w:hAnsi="Consolas"/>
          <w:sz w:val="20"/>
        </w:rPr>
        <w:t>pip install -e ".[dev]"</w:t>
      </w:r>
    </w:p>
    <w:p>
      <w:pPr/>
      <w:r>
        <w:rPr>
          <w:rFonts w:ascii="Consolas" w:hAnsi="Consolas"/>
          <w:sz w:val="20"/>
        </w:rPr>
        <w:t>pytest                                       # 299 tests passent</w:t>
      </w:r>
    </w:p>
    <w:p>
      <w:pPr/>
      <w:r>
        <w:rPr>
          <w:rFonts w:ascii="Consolas" w:hAnsi="Consolas"/>
          <w:sz w:val="20"/>
        </w:rPr>
        <w:t>python docs/build_resilience_analysis.py     # ~12 min (856 runs)</w:t>
      </w:r>
    </w:p>
    <w:p>
      <w:pPr/>
      <w:r>
        <w:rPr>
          <w:rFonts w:ascii="Consolas" w:hAnsi="Consolas"/>
          <w:sz w:val="20"/>
        </w:rPr>
        <w:t>python docs/build_resilience_extension.py    # ~25 min (800 runs)</w:t>
      </w:r>
    </w:p>
    <w:p>
      <w:pPr/>
      <w:r>
        <w:rPr>
          <w:rFonts w:ascii="Consolas" w:hAnsi="Consolas"/>
          <w:sz w:val="20"/>
        </w:rPr>
        <w:t>python docs/build_charts.py                  # graphiques</w:t>
      </w:r>
    </w:p>
    <w:p>
      <w:pPr/>
      <w:r>
        <w:rPr>
          <w:rFonts w:ascii="Consolas" w:hAnsi="Consolas"/>
          <w:sz w:val="20"/>
        </w:rPr>
        <w:t>python docs/build_excel_kpis.py              # XLSX KPIs</w:t>
      </w:r>
    </w:p>
    <w:p>
      <w:pPr/>
      <w:r>
        <w:rPr>
          <w:rFonts w:ascii="Consolas" w:hAnsi="Consolas"/>
          <w:sz w:val="20"/>
        </w:rPr>
        <w:t>python docs/build_cadrage_v4_docx.py         # DOCX cadrage</w:t>
      </w:r>
    </w:p>
    <w:p>
      <w:r>
        <w:t>Chaque chiffre publié peut être retrouvé bit-pour-bit en relançant</w:t>
      </w:r>
    </w:p>
    <w:p>
      <w:r>
        <w:t>les scripts ci-dessus avec les seeds documentés.</w:t>
      </w:r>
    </w:p>
    <w:p/>
    <w:p>
      <w:pPr>
        <w:pStyle w:val="Heading2"/>
      </w:pPr>
      <w:r>
        <w:t>Remerciements</w:t>
      </w:r>
    </w:p>
    <w:p>
      <w:r>
        <w:t>À compléter par l'auteur.</w:t>
      </w:r>
    </w:p>
    <w:p/>
    <w:p>
      <w:pPr>
        <w:pStyle w:val="Heading2"/>
      </w:pPr>
      <w:r>
        <w:t>Bibliographie</w:t>
      </w:r>
    </w:p>
    <w:p>
      <w:r>
        <w:t>Les références suivantes sont citées dans l'article. Format BibTeX</w:t>
      </w:r>
    </w:p>
    <w:p>
      <w:r>
        <w:t>disponible dans docs/references.bib.</w:t>
      </w:r>
    </w:p>
    <w:p>
      <w:r>
        <w:t>[Fowler2005] Fowler, M. (2005). Event Sourcing. martinfowler.com.</w:t>
      </w:r>
    </w:p>
    <w:p>
      <w:r>
        <w:t>[Goldratt1984] Goldratt, E. M. &amp; Cox, J. (1984). *The Goal: A Process</w:t>
      </w:r>
    </w:p>
    <w:p>
      <w:r>
        <w:t>of Ongoing Improvement*. North River Press.</w:t>
      </w:r>
    </w:p>
    <w:p>
      <w:r>
        <w:t>[Hollnagel2013] Hollnagel, E., Pariès, J., Woods, D., &amp; Wreathall, J.</w:t>
      </w:r>
    </w:p>
    <w:p>
      <w:r>
        <w:t>(2013). Resilience Engineering in Practice. Ashgate.</w:t>
      </w:r>
    </w:p>
    <w:p>
      <w:r>
        <w:t>[Hopp2000] Hopp, W. J. &amp; Spearman, M. L. (2000). *Factory Physics:</w:t>
      </w:r>
    </w:p>
    <w:p>
      <w:r>
        <w:t>Foundations of Manufacturing Management*. Irwin/McGraw-Hill.</w:t>
      </w:r>
    </w:p>
    <w:p>
      <w:r>
        <w:t>[ISA952005] ISA-95.00.01 (2005). *Enterprise-Control System</w:t>
      </w:r>
    </w:p>
    <w:p>
      <w:r>
        <w:t>Integration — Part 1: Models and Terminology*. ISA International.</w:t>
      </w:r>
    </w:p>
    <w:p>
      <w:r>
        <w:t>[Liker2004] Liker, J. K. (2004). *The Toyota Way: 14 Management</w:t>
      </w:r>
    </w:p>
    <w:p>
      <w:r>
        <w:t>Principles from the World's Greatest Manufacturer*. McGraw-Hill.</w:t>
      </w:r>
    </w:p>
    <w:p>
      <w:r>
        <w:t>[Little1961] Little, J. D. C. (1961). A Proof for the Queuing</w:t>
      </w:r>
    </w:p>
    <w:p>
      <w:r>
        <w:t>Formula: L = λW. Operations Research, 9(3), 383-387.</w:t>
      </w:r>
    </w:p>
    <w:p>
      <w:r>
        <w:t>[Ohno1988] Ohno, T. (1988). *Toyota Production System: Beyond</w:t>
      </w:r>
    </w:p>
    <w:p>
      <w:r>
        <w:t>Large-Scale Production*. Productivity Press.</w:t>
      </w:r>
    </w:p>
    <w:p>
      <w:r>
        <w:t>[Schragenheim2008] Schragenheim, E., Dettmer, H. W., &amp; Patterson, J.</w:t>
      </w:r>
    </w:p>
    <w:p>
      <w:r>
        <w:t>W. (2008). *Supply Chain Management at Warp Speed: Integrating the</w:t>
      </w:r>
    </w:p>
    <w:p>
      <w:r>
        <w:t>System from End to End*. CRC Press.</w:t>
      </w:r>
    </w:p>
    <w:p>
      <w:r>
        <w:t>[Sheffi2005] Sheffi, Y. (2005). *The Resilient Enterprise:</w:t>
      </w:r>
    </w:p>
    <w:p>
      <w:r>
        <w:t>Overcoming Vulnerability for Competitive Advantage*. MIT Press.</w:t>
      </w:r>
    </w:p>
    <w:p>
      <w:r>
        <w:t>[Stadtler2008] Stadtler, H. &amp; Kilger, C. (2008). *Supply Chain</w:t>
      </w:r>
    </w:p>
    <w:p>
      <w:r>
        <w:t>Management and Advanced Planning: Concepts, Models, Software, and</w:t>
      </w:r>
    </w:p>
    <w:p>
      <w:r>
        <w:t>Case Studies* (4th ed.). Springer.</w:t>
      </w:r>
    </w:p>
    <w:p>
      <w:r>
        <w:t>[Vernon2013] Vernon, V. (2013). Implementing Domain-Driven Design.</w:t>
      </w:r>
    </w:p>
    <w:p>
      <w:r>
        <w:t>Addison-Wesley.</w:t>
      </w:r>
    </w:p>
    <w:p>
      <w:r>
        <w:t>[Womack1996] Womack, J. P. &amp; Jones, D. T. (1996). *Lean Thinking:</w:t>
      </w:r>
    </w:p>
    <w:p>
      <w:r>
        <w:t>Banish Waste and Create Wealth in Your Corporation*. Simon &amp; Schuster.</w:t>
      </w:r>
    </w:p>
    <w:p>
      <w:r>
        <w:t>[Young2014] Young, G. (2014). CQRS Documents. Self-published.</w:t>
      </w:r>
    </w:p>
    <w:p/>
    <w:p>
      <w:r>
        <w:t>*Les citations ci-dessus ont été établies à partir de la connaissance</w:t>
      </w:r>
    </w:p>
    <w:p>
      <w:r>
        <w:t>de l'auteur et de l'assistant. Leur exhaustivité et leur exactitude</w:t>
      </w:r>
    </w:p>
    <w:p>
      <w:r>
        <w:t>formelle (DOI, ISBN, pagination) doivent être vérifiées par l'auteur</w:t>
      </w:r>
    </w:p>
    <w:p>
      <w:r>
        <w:t>avant soumission HAL ou AFGI.*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