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doctrinal BCE — Boucle Cybernétique Étendue</w:t>
      </w:r>
    </w:p>
    <w:p>
      <w:pPr>
        <w:jc w:val="center"/>
      </w:pPr>
      <w:r>
        <w:t>État de livraison de la couche cybernétique appliquée au banc 6-pilotages. Daté du 2026-06-30.</w:t>
      </w:r>
    </w:p>
    <w:p/>
    <w:p>
      <w:pPr>
        <w:pStyle w:val="Heading1"/>
      </w:pPr>
      <w:r>
        <w:t>1. Synthèse exécutive</w:t>
      </w:r>
    </w:p>
    <w:p>
      <w:r>
        <w:t>Ce rapport documente la livraison complète de la couche cybernétique BCE (Boucle Cybernétique Étendue) en surcouche du banc comparatif APS+MES historique. La couche se compose de quatre blocs : Goldilocks (composants doctrinaux v1.3), MACRS (matrice causale 46 racines × 7 catégories Δ), Moteur Delta (6 niveaux d'action mappés sur 4 niveaux du cadrage), et propagation hazards étiquetés. Les pilotages BCE n'écrasent pas le comportement historique : ils l'enrichissent par overlay activable.</w:t>
      </w:r>
    </w:p>
    <w:p>
      <w:r>
        <w:t>Le banc de mesure cible est désormais à 6 pilotages : OF / OF+EVENT / OF+EVENT+BCE / FLUX / FLUX+EVENT / FLUX+EVENT+BCE. La calibration de saturation R1 par volume de SO (Goldilocks #1) et les périodes territoriales doctrinales 2/10/9 (Goldilocks #2) permettent une comparaison statistique valide entre ces 6 pilotages.</w:t>
      </w:r>
    </w:p>
    <w:p>
      <w:pPr>
        <w:pStyle w:val="Heading1"/>
      </w:pPr>
      <w:r>
        <w:t>2. Composants livrés</w:t>
      </w:r>
    </w:p>
    <w:p>
      <w:pPr>
        <w:pStyle w:val="Heading2"/>
      </w:pPr>
      <w:r>
        <w:t>2.1 Goldilocks (doctrine v1.3)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Saturation R1 par volume SO</w:t>
            </w:r>
          </w:p>
        </w:tc>
        <w:tc>
          <w:tcPr>
            <w:tcW w:type="dxa" w:w="2880"/>
          </w:tcPr>
          <w:p>
            <w:r>
              <w:t>comparative/saturation.py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Périodes territoriales 14/70/270 j</w:t>
            </w:r>
          </w:p>
        </w:tc>
        <w:tc>
          <w:tcPr>
            <w:tcW w:type="dxa" w:w="2880"/>
          </w:tcPr>
          <w:p>
            <w:r>
              <w:t>cybernetic/zone_periods.py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Dynamicité 3 zones × 2 signaux</w:t>
            </w:r>
          </w:p>
        </w:tc>
        <w:tc>
          <w:tcPr>
            <w:tcW w:type="dxa" w:w="2880"/>
          </w:tcPr>
          <w:p>
            <w:r>
              <w:t>cybernetic/zone_dynamics.py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PC=(T, Ep, Er, C, O) au grain op</w:t>
            </w:r>
          </w:p>
        </w:tc>
        <w:tc>
          <w:tcPr>
            <w:tcW w:type="dxa" w:w="2880"/>
          </w:tcPr>
          <w:p>
            <w:r>
              <w:t>cybernetic/production_contract.py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Distribution PCs à la sortie P3</w:t>
            </w:r>
          </w:p>
        </w:tc>
        <w:tc>
          <w:tcPr>
            <w:tcW w:type="dxa" w:w="2880"/>
          </w:tcPr>
          <w:p>
            <w:r>
              <w:t>cybernetic/p3_distribution.py</w:t>
            </w:r>
          </w:p>
        </w:tc>
      </w:tr>
    </w:tbl>
    <w:p>
      <w:pPr>
        <w:pStyle w:val="Heading2"/>
      </w:pPr>
      <w:r>
        <w:t>2.2 MACRS (matrice causale)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</w:tr>
      <w:tr>
        <w:tc>
          <w:tcPr>
            <w:tcW w:type="dxa" w:w="2880"/>
          </w:tcPr>
          <w:p>
            <w:r>
              <w:t>A.1</w:t>
            </w:r>
          </w:p>
        </w:tc>
        <w:tc>
          <w:tcPr>
            <w:tcW w:type="dxa" w:w="2880"/>
          </w:tcPr>
          <w:p>
            <w:r>
              <w:t>Couche 1 : 46 racines × 7 catégories × 165 incidences</w:t>
            </w:r>
          </w:p>
        </w:tc>
        <w:tc>
          <w:tcPr>
            <w:tcW w:type="dxa" w:w="2880"/>
          </w:tcPr>
          <w:p>
            <w:r>
              <w:t>cybernetic/macrs/couche1.py</w:t>
            </w:r>
          </w:p>
        </w:tc>
      </w:tr>
      <w:tr>
        <w:tc>
          <w:tcPr>
            <w:tcW w:type="dxa" w:w="2880"/>
          </w:tcPr>
          <w:p>
            <w:r>
              <w:t>A.2</w:t>
            </w:r>
          </w:p>
        </w:tc>
        <w:tc>
          <w:tcPr>
            <w:tcW w:type="dxa" w:w="2880"/>
          </w:tcPr>
          <w:p>
            <w:r>
              <w:t>Couche 2 : lifecycle 4 statuts (INCOMING/OBSERVING/ACTIVE)</w:t>
            </w:r>
          </w:p>
        </w:tc>
        <w:tc>
          <w:tcPr>
            <w:tcW w:type="dxa" w:w="2880"/>
          </w:tcPr>
          <w:p>
            <w:r>
              <w:t>cybernetic/macrs/couche2.py</w:t>
            </w:r>
          </w:p>
        </w:tc>
      </w:tr>
      <w:tr>
        <w:tc>
          <w:tcPr>
            <w:tcW w:type="dxa" w:w="2880"/>
          </w:tcPr>
          <w:p>
            <w:r>
              <w:t>A.3</w:t>
            </w:r>
          </w:p>
        </w:tc>
        <w:tc>
          <w:tcPr>
            <w:tcW w:type="dxa" w:w="2880"/>
          </w:tcPr>
          <w:p>
            <w:r>
              <w:t>Fenêtres W_courte (30j) / W_longue (90j) + 8 bins délai + cumul</w:t>
            </w:r>
          </w:p>
        </w:tc>
        <w:tc>
          <w:tcPr>
            <w:tcW w:type="dxa" w:w="2880"/>
          </w:tcPr>
          <w:p>
            <w:r>
              <w:t>cybernetic/macrs/couche2.py</w:t>
            </w:r>
          </w:p>
        </w:tc>
      </w:tr>
      <w:tr>
        <w:tc>
          <w:tcPr>
            <w:tcW w:type="dxa" w:w="2880"/>
          </w:tcPr>
          <w:p>
            <w:r>
              <w:t>A.4</w:t>
            </w:r>
          </w:p>
        </w:tc>
        <w:tc>
          <w:tcPr>
            <w:tcW w:type="dxa" w:w="2880"/>
          </w:tcPr>
          <w:p>
            <w:r>
              <w:t>Snapshots hebdo immuables + weight_versions</w:t>
            </w:r>
          </w:p>
        </w:tc>
        <w:tc>
          <w:tcPr>
            <w:tcW w:type="dxa" w:w="2880"/>
          </w:tcPr>
          <w:p>
            <w:r>
              <w:t>cybernetic/macrs/snapshots.py</w:t>
            </w:r>
          </w:p>
        </w:tc>
      </w:tr>
      <w:tr>
        <w:tc>
          <w:tcPr>
            <w:tcW w:type="dxa" w:w="2880"/>
          </w:tcPr>
          <w:p>
            <w:r>
              <w:t>A.5</w:t>
            </w:r>
          </w:p>
        </w:tc>
        <w:tc>
          <w:tcPr>
            <w:tcW w:type="dxa" w:w="2880"/>
          </w:tcPr>
          <w:p>
            <w:r>
              <w:t>Pareto hiérarchique racines/catégories/émergentes</w:t>
            </w:r>
          </w:p>
        </w:tc>
        <w:tc>
          <w:tcPr>
            <w:tcW w:type="dxa" w:w="2880"/>
          </w:tcPr>
          <w:p>
            <w:r>
              <w:t>cybernetic/macrs/pareto.py</w:t>
            </w:r>
          </w:p>
        </w:tc>
      </w:tr>
    </w:tbl>
    <w:p>
      <w:pPr>
        <w:pStyle w:val="Heading2"/>
      </w:pPr>
      <w:r>
        <w:t>2.3 Moteur Delta (boucle décisionnelle)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</w:tr>
      <w:tr>
        <w:tc>
          <w:tcPr>
            <w:tcW w:type="dxa" w:w="2880"/>
          </w:tcPr>
          <w:p>
            <w:r>
              <w:t>B.1</w:t>
            </w:r>
          </w:p>
        </w:tc>
        <w:tc>
          <w:tcPr>
            <w:tcW w:type="dxa" w:w="2880"/>
          </w:tcPr>
          <w:p>
            <w:r>
              <w:t>6 niveaux L1..L6 mappés sur 4 niveaux N1..N4 cadrage</w:t>
            </w:r>
          </w:p>
        </w:tc>
        <w:tc>
          <w:tcPr>
            <w:tcW w:type="dxa" w:w="2880"/>
          </w:tcPr>
          <w:p>
            <w:r>
              <w:t>cybernetic/delta_engine/levels.py + decisions.py</w:t>
            </w:r>
          </w:p>
        </w:tc>
      </w:tr>
      <w:tr>
        <w:tc>
          <w:tcPr>
            <w:tcW w:type="dxa" w:w="2880"/>
          </w:tcPr>
          <w:p>
            <w:r>
              <w:t>B.2</w:t>
            </w:r>
          </w:p>
        </w:tc>
        <w:tc>
          <w:tcPr>
            <w:tcW w:type="dxa" w:w="2880"/>
          </w:tcPr>
          <w:p>
            <w:r>
              <w:t>Filtre dual tolérances formalisé + profils versionnés</w:t>
            </w:r>
          </w:p>
        </w:tc>
        <w:tc>
          <w:tcPr>
            <w:tcW w:type="dxa" w:w="2880"/>
          </w:tcPr>
          <w:p>
            <w:r>
              <w:t>cybernetic/delta_engine/tolerance_filter.py</w:t>
            </w:r>
          </w:p>
        </w:tc>
      </w:tr>
      <w:tr>
        <w:tc>
          <w:tcPr>
            <w:tcW w:type="dxa" w:w="2880"/>
          </w:tcPr>
          <w:p>
            <w:r>
              <w:t>B.3</w:t>
            </w:r>
          </w:p>
        </w:tc>
        <w:tc>
          <w:tcPr>
            <w:tcW w:type="dxa" w:w="2880"/>
          </w:tcPr>
          <w:p>
            <w:r>
              <w:t>Wiring MACRS Couche 2 → décision Delta + boost</w:t>
            </w:r>
          </w:p>
        </w:tc>
        <w:tc>
          <w:tcPr>
            <w:tcW w:type="dxa" w:w="2880"/>
          </w:tcPr>
          <w:p>
            <w:r>
              <w:t>cybernetic/delta_engine/macrs_wiring.py</w:t>
            </w:r>
          </w:p>
        </w:tc>
      </w:tr>
    </w:tbl>
    <w:p>
      <w:pPr>
        <w:pStyle w:val="Heading2"/>
      </w:pPr>
      <w:r>
        <w:t>2.4 Hazards étiquetés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</w:tr>
      <w:tr>
        <w:tc>
          <w:tcPr>
            <w:tcW w:type="dxa" w:w="2880"/>
          </w:tcPr>
          <w:p>
            <w:r>
              <w:t>C.1</w:t>
            </w:r>
          </w:p>
        </w:tc>
        <w:tc>
          <w:tcPr>
            <w:tcW w:type="dxa" w:w="2880"/>
          </w:tcPr>
          <w:p>
            <w:r>
              <w:t>Mapping hazard → (racine, catégorie) backward-compat</w:t>
            </w:r>
          </w:p>
        </w:tc>
        <w:tc>
          <w:tcPr>
            <w:tcW w:type="dxa" w:w="2880"/>
          </w:tcPr>
          <w:p>
            <w:r>
              <w:t>cybernetic/macrs/hazard_labels.py</w:t>
            </w:r>
          </w:p>
        </w:tc>
      </w:tr>
      <w:tr>
        <w:tc>
          <w:tcPr>
            <w:tcW w:type="dxa" w:w="2880"/>
          </w:tcPr>
          <w:p>
            <w:r>
              <w:t>C.2</w:t>
            </w:r>
          </w:p>
        </w:tc>
        <w:tc>
          <w:tcPr>
            <w:tcW w:type="dxa" w:w="2880"/>
          </w:tcPr>
          <w:p>
            <w:r>
              <w:t>Propagation end-to-end emit_hazard</w:t>
            </w:r>
          </w:p>
        </w:tc>
        <w:tc>
          <w:tcPr>
            <w:tcW w:type="dxa" w:w="2880"/>
          </w:tcPr>
          <w:p>
            <w:r>
              <w:t>cybernetic/macrs/hazard_emission.py</w:t>
            </w:r>
          </w:p>
        </w:tc>
      </w:tr>
    </w:tbl>
    <w:p>
      <w:pPr>
        <w:pStyle w:val="Heading2"/>
      </w:pPr>
      <w:r>
        <w:t>2.5 Wiring runner + KPIs avancés + visualisation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Pilotages OF+EVENT+BCE et FLUX+EVENT+BCE</w:t>
            </w:r>
          </w:p>
        </w:tc>
        <w:tc>
          <w:tcPr>
            <w:tcW w:type="dxa" w:w="2880"/>
          </w:tcPr>
          <w:p>
            <w:r>
              <w:t>comparative/bce_wire.py + runner.py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KPIs robustesse (seuil rupture) + agilité (recovery)</w:t>
            </w:r>
          </w:p>
        </w:tc>
        <w:tc>
          <w:tcPr>
            <w:tcW w:type="dxa" w:w="2880"/>
          </w:tcPr>
          <w:p>
            <w:r>
              <w:t>comparative/bce_kpis_advanced.py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5 flux de visualisation (physique/info/décision/docu/qualité)</w:t>
            </w:r>
          </w:p>
        </w:tc>
        <w:tc>
          <w:tcPr>
            <w:tcW w:type="dxa" w:w="2880"/>
          </w:tcPr>
          <w:p>
            <w:r>
              <w:t>flux_visualization/builders.py</w:t>
            </w:r>
          </w:p>
        </w:tc>
      </w:tr>
    </w:tbl>
    <w:p>
      <w:pPr>
        <w:pStyle w:val="Heading1"/>
      </w:pPr>
      <w:r>
        <w:t>3. Arbitrage doctrinal — niveaux moteur Delta</w:t>
      </w:r>
    </w:p>
    <w:p>
      <w:r>
        <w:t>Le cadrage v1.3 §3.11 définit 4 niveaux (N1 absorption, N2 ajustement auto, N3 replan locale, N4 replan complète). Le CDC §11 définit 6 niveaux d'action plus granulaires (informer, surveiller, corriger_local, replanifier_local, escalader, replanifier_global). Nous retenons la grammaire à 6 niveaux du CDC comme vocabulaire d'action, mappée sur les 4 niveaux doctrinaux du cadrage. Le flag requires_human exprime la subsidiarité humaine (cadrage : N3/N4).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Label CDC</w:t>
            </w:r>
          </w:p>
        </w:tc>
        <w:tc>
          <w:tcPr>
            <w:tcW w:type="dxa" w:w="1728"/>
          </w:tcPr>
          <w:p>
            <w:r>
              <w:t>Cadrage N</w:t>
            </w:r>
          </w:p>
        </w:tc>
        <w:tc>
          <w:tcPr>
            <w:tcW w:type="dxa" w:w="1728"/>
          </w:tcPr>
          <w:p>
            <w:r>
              <w:t>requires_human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</w:tr>
      <w:tr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informer</w:t>
            </w:r>
          </w:p>
        </w:tc>
        <w:tc>
          <w:tcPr>
            <w:tcW w:type="dxa" w:w="1728"/>
          </w:tcPr>
          <w:p>
            <w:r>
              <w:t>N1 absorption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surveiller</w:t>
            </w:r>
          </w:p>
        </w:tc>
        <w:tc>
          <w:tcPr>
            <w:tcW w:type="dxa" w:w="1728"/>
          </w:tcPr>
          <w:p>
            <w:r>
              <w:t>N1 absorption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corriger_local</w:t>
            </w:r>
          </w:p>
        </w:tc>
        <w:tc>
          <w:tcPr>
            <w:tcW w:type="dxa" w:w="1728"/>
          </w:tcPr>
          <w:p>
            <w:r>
              <w:t>N2 ajust. auto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replanifier_local</w:t>
            </w:r>
          </w:p>
        </w:tc>
        <w:tc>
          <w:tcPr>
            <w:tcW w:type="dxa" w:w="1728"/>
          </w:tcPr>
          <w:p>
            <w:r>
              <w:t>N3 replan locale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t>L5</w:t>
            </w:r>
          </w:p>
        </w:tc>
        <w:tc>
          <w:tcPr>
            <w:tcW w:type="dxa" w:w="1728"/>
          </w:tcPr>
          <w:p>
            <w:r>
              <w:t>escalader</w:t>
            </w:r>
          </w:p>
        </w:tc>
        <w:tc>
          <w:tcPr>
            <w:tcW w:type="dxa" w:w="1728"/>
          </w:tcPr>
          <w:p>
            <w:r>
              <w:t>N3 transition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t>L6</w:t>
            </w:r>
          </w:p>
        </w:tc>
        <w:tc>
          <w:tcPr>
            <w:tcW w:type="dxa" w:w="1728"/>
          </w:tcPr>
          <w:p>
            <w:r>
              <w:t>replanifier_global</w:t>
            </w:r>
          </w:p>
        </w:tc>
        <w:tc>
          <w:tcPr>
            <w:tcW w:type="dxa" w:w="1728"/>
          </w:tcPr>
          <w:p>
            <w:r>
              <w:t>N4 replan complète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</w:tr>
    </w:tbl>
    <w:p>
      <w:pPr>
        <w:pStyle w:val="Heading1"/>
      </w:pPr>
      <w:r>
        <w:t>4. Étiquetage causal des hazards</w:t>
      </w:r>
    </w:p>
    <w:p>
      <w:r>
        <w:t>Les 5 hazards historiques du banc sont mappés doctrinale-ment sur des couples (racine, catégorie Δ) de la matrice d'incidence Couche 1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Hazard</w:t>
            </w:r>
          </w:p>
        </w:tc>
        <w:tc>
          <w:tcPr>
            <w:tcW w:type="dxa" w:w="2160"/>
          </w:tcPr>
          <w:p>
            <w:r>
              <w:t>Racine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Catégorie Δ</w:t>
            </w:r>
          </w:p>
        </w:tc>
      </w:tr>
      <w:tr>
        <w:tc>
          <w:tcPr>
            <w:tcW w:type="dxa" w:w="2160"/>
          </w:tcPr>
          <w:p>
            <w:r>
              <w:t>breakdown_ws</w:t>
            </w:r>
          </w:p>
        </w:tc>
        <w:tc>
          <w:tcPr>
            <w:tcW w:type="dxa" w:w="2160"/>
          </w:tcPr>
          <w:p>
            <w:r>
              <w:t>R030</w:t>
            </w:r>
          </w:p>
        </w:tc>
        <w:tc>
          <w:tcPr>
            <w:tcW w:type="dxa" w:w="2160"/>
          </w:tcPr>
          <w:p>
            <w:r>
              <w:t>Panne machine</w:t>
            </w:r>
          </w:p>
        </w:tc>
        <w:tc>
          <w:tcPr>
            <w:tcW w:type="dxa" w:w="2160"/>
          </w:tcPr>
          <w:p>
            <w:r>
              <w:t>Op</w:t>
            </w:r>
          </w:p>
        </w:tc>
      </w:tr>
      <w:tr>
        <w:tc>
          <w:tcPr>
            <w:tcW w:type="dxa" w:w="2160"/>
          </w:tcPr>
          <w:p>
            <w:r>
              <w:t>quality_nc</w:t>
            </w:r>
          </w:p>
        </w:tc>
        <w:tc>
          <w:tcPr>
            <w:tcW w:type="dxa" w:w="2160"/>
          </w:tcPr>
          <w:p>
            <w:r>
              <w:t>R039</w:t>
            </w:r>
          </w:p>
        </w:tc>
        <w:tc>
          <w:tcPr>
            <w:tcW w:type="dxa" w:w="2160"/>
          </w:tcPr>
          <w:p>
            <w:r>
              <w:t>NC produit interne</w:t>
            </w:r>
          </w:p>
        </w:tc>
        <w:tc>
          <w:tcPr>
            <w:tcW w:type="dxa" w:w="2160"/>
          </w:tcPr>
          <w:p>
            <w:r>
              <w:t>Qual</w:t>
            </w:r>
          </w:p>
        </w:tc>
      </w:tr>
      <w:tr>
        <w:tc>
          <w:tcPr>
            <w:tcW w:type="dxa" w:w="2160"/>
          </w:tcPr>
          <w:p>
            <w:r>
              <w:t>po_delay</w:t>
            </w:r>
          </w:p>
        </w:tc>
        <w:tc>
          <w:tcPr>
            <w:tcW w:type="dxa" w:w="2160"/>
          </w:tcPr>
          <w:p>
            <w:r>
              <w:t>R011</w:t>
            </w:r>
          </w:p>
        </w:tc>
        <w:tc>
          <w:tcPr>
            <w:tcW w:type="dxa" w:w="2160"/>
          </w:tcPr>
          <w:p>
            <w:r>
              <w:t>Retard livraison fournisseur</w:t>
            </w:r>
          </w:p>
        </w:tc>
        <w:tc>
          <w:tcPr>
            <w:tcW w:type="dxa" w:w="2160"/>
          </w:tcPr>
          <w:p>
            <w:r>
              <w:t>Mat</w:t>
            </w:r>
          </w:p>
        </w:tc>
      </w:tr>
      <w:tr>
        <w:tc>
          <w:tcPr>
            <w:tcW w:type="dxa" w:w="2160"/>
          </w:tcPr>
          <w:p>
            <w:r>
              <w:t>urgent_order</w:t>
            </w:r>
          </w:p>
        </w:tc>
        <w:tc>
          <w:tcPr>
            <w:tcW w:type="dxa" w:w="2160"/>
          </w:tcPr>
          <w:p>
            <w:r>
              <w:t>R005</w:t>
            </w:r>
          </w:p>
        </w:tc>
        <w:tc>
          <w:tcPr>
            <w:tcW w:type="dxa" w:w="2160"/>
          </w:tcPr>
          <w:p>
            <w:r>
              <w:t>Avance de commande</w:t>
            </w:r>
          </w:p>
        </w:tc>
        <w:tc>
          <w:tcPr>
            <w:tcW w:type="dxa" w:w="2160"/>
          </w:tcPr>
          <w:p>
            <w:r>
              <w:t>Temp</w:t>
            </w:r>
          </w:p>
        </w:tc>
      </w:tr>
      <w:tr>
        <w:tc>
          <w:tcPr>
            <w:tcW w:type="dxa" w:w="2160"/>
          </w:tcPr>
          <w:p>
            <w:r>
              <w:t>logistic_delay</w:t>
            </w:r>
          </w:p>
        </w:tc>
        <w:tc>
          <w:tcPr>
            <w:tcW w:type="dxa" w:w="2160"/>
          </w:tcPr>
          <w:p>
            <w:r>
              <w:t>R019</w:t>
            </w:r>
          </w:p>
        </w:tc>
        <w:tc>
          <w:tcPr>
            <w:tcW w:type="dxa" w:w="2160"/>
          </w:tcPr>
          <w:p>
            <w:r>
              <w:t>Incident transport interne</w:t>
            </w:r>
          </w:p>
        </w:tc>
        <w:tc>
          <w:tcPr>
            <w:tcW w:type="dxa" w:w="2160"/>
          </w:tcPr>
          <w:p>
            <w:r>
              <w:t>Op</w:t>
            </w:r>
          </w:p>
        </w:tc>
      </w:tr>
    </w:tbl>
    <w:p>
      <w:pPr>
        <w:pStyle w:val="Heading1"/>
      </w:pPr>
      <w:r>
        <w:t>5. Étude comparative</w:t>
      </w:r>
    </w:p>
    <w:p>
      <w:r>
        <w:t>Plan d'expérience : 6 pilotages × 6 saturations × 3 implantations × N seeds. Total 324 runs, 324 terminés avec succès.</w:t>
      </w:r>
    </w:p>
    <w:p>
      <w:r>
        <w:t>Figure 1 : OTIF moyen par pilotage en fonction de la saturation R1.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if_by_pilotage_satu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: Distribution des delta_decisions par niveau cadrage N1..N4 sur les pilotages BCE.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rvosit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Analyse statistique appariée</w:t>
      </w:r>
    </w:p>
    <w:p>
      <w:r>
        <w:t>Comparaisons appariées par (saturation, implantation, seed). Wilcoxon signed-rank pour la significativité (p-value bilatérale), bootstrap percentile 1000 rééchantillonnages pour l'intervalle de confiance à 95% sur la médiane des différences, et Cliff's δ comme effect size non-paramétrique.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Comparaison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Δ médiane</w:t>
            </w:r>
          </w:p>
        </w:tc>
        <w:tc>
          <w:tcPr>
            <w:tcW w:type="dxa" w:w="1234"/>
          </w:tcPr>
          <w:p>
            <w:r>
              <w:t>CI 95% bas</w:t>
            </w:r>
          </w:p>
        </w:tc>
        <w:tc>
          <w:tcPr>
            <w:tcW w:type="dxa" w:w="1234"/>
          </w:tcPr>
          <w:p>
            <w:r>
              <w:t>CI 95% haut</w:t>
            </w:r>
          </w:p>
        </w:tc>
        <w:tc>
          <w:tcPr>
            <w:tcW w:type="dxa" w:w="1234"/>
          </w:tcPr>
          <w:p>
            <w:r>
              <w:t>Cliff's δ</w:t>
            </w:r>
          </w:p>
        </w:tc>
        <w:tc>
          <w:tcPr>
            <w:tcW w:type="dxa" w:w="1234"/>
          </w:tcPr>
          <w:p>
            <w:r>
              <w:t>Wilcoxon p</w:t>
            </w:r>
          </w:p>
        </w:tc>
      </w:tr>
      <w:tr>
        <w:tc>
          <w:tcPr>
            <w:tcW w:type="dxa" w:w="1234"/>
          </w:tcPr>
          <w:p>
            <w:r>
              <w:t>apport EVENT sur OF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apport EVENT sur FLUX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apport BCE sur OF+EVENT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apport BCE sur FLUX+EVENT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apport FLUX (vs OF baseline)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r>
        <w:t>Figure 3 : Forest plot des comparaisons appariées.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comparis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Architecture cybernétique livrée</w:t>
      </w:r>
    </w:p>
    <w:p>
      <w:r>
        <w:t>La boucle cybernétique enchaîne 4 étages, activée par les pilotages se terminant par '_bce' :</w:t>
      </w:r>
    </w:p>
    <w:p>
      <w:r>
        <w:t>1. **Perception** : event_deviation détectée par la chaîne events_v3 (matching, CPM absorption, qualification).</w:t>
      </w:r>
    </w:p>
    <w:p>
      <w:r>
        <w:t>2. **Attribution causale** : resolve_racine(hazard) → (racine_id, categorie_code) — étape C.1.</w:t>
      </w:r>
    </w:p>
    <w:p>
      <w:r>
        <w:t>3. **MACRS Couche 2** : record_event alimente la cellule (file glissante, histogramme délai, statut INCOMING → OBSERVING → ACTIVE selon K du sous-domaine) — étape A.3.</w:t>
      </w:r>
    </w:p>
    <w:p>
      <w:r>
        <w:t>4. **Filtre dual tolérances** : score_combined = magnitude × (1 + log(1+freq)) puis mapping sur niveau L1..L6 selon seuils du profil actif — étape B.2.</w:t>
      </w:r>
    </w:p>
    <w:p>
      <w:r>
        <w:t>5. **Boost MACRS** : si cellule ACTIVE et critère d'émergence/criticité dépassé, escalade du niveau Delta (+1 ou +2 dans NIVEAUX_ORDRE) — étape B.3.</w:t>
      </w:r>
    </w:p>
    <w:p>
      <w:r>
        <w:t>6. **Subsidiarité humaine** : si niveau final requires_human, enqueue dans approval_queue (mapping NIVEAU_TO_AUTONOMY).</w:t>
      </w:r>
    </w:p>
    <w:p>
      <w:r>
        <w:t>7. **Apprentissage** : Pareto hiérarchique (A.5) consume les cellules ACTIVE pour identifier racines émergentes/déclin- antes et alimenter le filtre dual mémoire à la clôture P4.</w:t>
      </w:r>
    </w:p>
    <w:p>
      <w:pPr>
        <w:pStyle w:val="Heading1"/>
      </w:pPr>
      <w:r>
        <w:t>8. KPIs avancés disponibles</w:t>
      </w:r>
    </w:p>
    <w:p>
      <w:r>
        <w:t>Module comparative/bce_kpis_advanced.py expose :</w:t>
      </w:r>
    </w:p>
    <w:p>
      <w:r>
        <w:t>• compute_robustesse(kpi_by_saturation, threshold=0.90) → seuil de rupture (saturation où le KPI franchit le seuil, interpolation linéaire). Doctrinalement : plus la robustesse est haute, plus le système résiste sous charge.</w:t>
      </w:r>
    </w:p>
    <w:p>
      <w:r>
        <w:t>• compute_agilite(daily_wip, hazard_days, tolerance_pct=0.10) → temps moyen de récupération post-hazard. Doctrinalement : plus l'agilité est haute (temps court), plus le système réagit aux perturbations.</w:t>
      </w:r>
    </w:p>
    <w:p>
      <w:r>
        <w:t>Combinés à bce_kpis() (KPI nervosité N1..N4 + compteurs MACRS), ils forment la base d'analyse comparative entre pilotages.</w:t>
      </w:r>
    </w:p>
    <w:p>
      <w:pPr>
        <w:pStyle w:val="Heading1"/>
      </w:pPr>
      <w:r>
        <w:t>9. Périmètre validé et limites</w:t>
      </w:r>
    </w:p>
    <w:p>
      <w:r>
        <w:t>Validé : 766 tests passent dont environ 320 dédiés à la couche cybernétique BCE. Smoke matrice 6×6 (36 cellules) tourne sans crash. Étude complète 6×6×3×N seeds intégrée à ce rapport.</w:t>
      </w:r>
    </w:p>
    <w:p>
      <w:r>
        <w:t>Limites assumées : (a) baseline scenario à 15 jours/4 hazards ne stresse pas suffisamment certaines doctrines pour faire ressortir des différences fortes — un scénario stress à 30+ jours et 8+ hazards permettrait de mieux discriminer ; (b) ratio_emergence W_courte/W_longue contraint à ≤1 par la structure W_courte ⊆ W_longue — le boost effectif s'appuie principalement sur la criticité (n_w_courte / 30j) ; (c) profil dual tolérances par défaut (DEFAULT) sur tous les pilotages BCE — différencier CONSERVATIVE/REACTIVE par pilotage est une amélioration ouverte.</w:t>
      </w:r>
    </w:p>
    <w:p>
      <w:pPr>
        <w:pStyle w:val="Heading1"/>
      </w:pPr>
      <w:r>
        <w:t>10. Au-delà de la couche cybernétique</w:t>
      </w:r>
    </w:p>
    <w:p>
      <w:r>
        <w:t>Le projet conserve tout l'existant V0-V13 (APS, MES, doctrines historiques, paper HAL, études antérieures). La couche BCE est un overlay additif activé uniquement par les pilotages se terminant par '_bce'. Aucune régression détectée sur les 559 tests préexistants.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