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Design Language &amp; Visual Identity</w:t>
      </w:r>
    </w:p>
    <w:p>
      <w:pPr>
        <w:spacing w:after="120"/>
      </w:pPr>
      <w:r>
        <w:rPr>
          <w:rFonts w:ascii="Arial" w:cs="Arial" w:eastAsia="Arial" w:hAnsi="Arial"/>
          <w:b w:val="false"/>
          <w:bCs w:val="false"/>
          <w:i w:val="false"/>
          <w:iCs w:val="false"/>
          <w:color w:val="222222"/>
          <w:sz w:val="22"/>
          <w:szCs w:val="22"/>
        </w:rPr>
        <w:t xml:space="preserve">This section defines the visual design system for Red Taxi. All UI development must conform to these tokens, ensuring visual consistency across the dispatch console, driver app, customer portal, and tenant admin screens.</w:t>
      </w:r>
    </w:p>
    <w:p>
      <w:pPr>
        <w:spacing w:after="60"/>
      </w:pPr>
    </w:p>
    <w:p>
      <w:pPr>
        <w:spacing w:after="120"/>
      </w:pPr>
      <w:r>
        <w:rPr>
          <w:rFonts w:ascii="Arial" w:cs="Arial" w:eastAsia="Arial" w:hAnsi="Arial"/>
          <w:b w:val="false"/>
          <w:bCs w:val="false"/>
          <w:i/>
          <w:iCs/>
          <w:color w:val="222222"/>
          <w:sz w:val="22"/>
          <w:szCs w:val="22"/>
        </w:rPr>
        <w:t xml:space="preserve">Design reference: CoinTax by Phenomenon Studio (Dribbble). Adapted for a dispatch-operator context with higher-contrast status states and 8-12 hour shift ergonomics.</w:t>
      </w:r>
    </w:p>
    <w:p>
      <w:pPr>
        <w:pStyle w:val="Heading2"/>
      </w:pPr>
      <w:r>
        <w:rPr>
          <w:rFonts w:ascii="Arial" w:cs="Arial" w:eastAsia="Arial" w:hAnsi="Arial"/>
        </w:rPr>
        <w:t xml:space="preserve">Design philosophy</w:t>
      </w:r>
    </w:p>
    <w:p>
      <w:pPr>
        <w:spacing w:after="120"/>
      </w:pPr>
      <w:r>
        <w:rPr>
          <w:rFonts w:ascii="Arial" w:cs="Arial" w:eastAsia="Arial" w:hAnsi="Arial"/>
          <w:b w:val="false"/>
          <w:bCs w:val="false"/>
          <w:i w:val="false"/>
          <w:iCs w:val="false"/>
          <w:color w:val="222222"/>
          <w:sz w:val="22"/>
          <w:szCs w:val="22"/>
        </w:rPr>
        <w:t xml:space="preserve">Dark-first. Dispatch operators work extended shifts in low-light control rooms. Dark backgrounds reduce eye strain and make coloured status indicators more distinguishable. Light mode is supported as a toggle but dark is the shipped default.</w:t>
      </w:r>
    </w:p>
    <w:p>
      <w:pPr>
        <w:spacing w:after="120"/>
      </w:pPr>
      <w:r>
        <w:rPr>
          <w:rFonts w:ascii="Arial" w:cs="Arial" w:eastAsia="Arial" w:hAnsi="Arial"/>
          <w:b w:val="false"/>
          <w:bCs w:val="false"/>
          <w:i w:val="false"/>
          <w:iCs w:val="false"/>
          <w:color w:val="222222"/>
          <w:sz w:val="22"/>
          <w:szCs w:val="22"/>
        </w:rPr>
        <w:t xml:space="preserve">Card-based layout. Every data grouping (booking, driver, vehicle, KPI) lives in its own card. Cards use subtle 0.5px borders, never box-shadows. This keeps the interface clean at high information density.</w:t>
      </w:r>
    </w:p>
    <w:p>
      <w:pPr>
        <w:spacing w:after="120"/>
      </w:pPr>
      <w:r>
        <w:rPr>
          <w:rFonts w:ascii="Arial" w:cs="Arial" w:eastAsia="Arial" w:hAnsi="Arial"/>
          <w:b w:val="false"/>
          <w:bCs w:val="false"/>
          <w:i w:val="false"/>
          <w:iCs w:val="false"/>
          <w:color w:val="222222"/>
          <w:sz w:val="22"/>
          <w:szCs w:val="22"/>
        </w:rPr>
        <w:t xml:space="preserve">Status-colour-driven. Vehicle and booking states are communicated through colour alone at first glance, with text labels as secondary reinforcement. Every status colour is tested for WCAG AA contrast against the dark card background.</w:t>
      </w:r>
    </w:p>
    <w:p>
      <w:pPr>
        <w:spacing w:after="120"/>
      </w:pPr>
      <w:r>
        <w:rPr>
          <w:rFonts w:ascii="Arial" w:cs="Arial" w:eastAsia="Arial" w:hAnsi="Arial"/>
          <w:b w:val="false"/>
          <w:bCs w:val="false"/>
          <w:i w:val="false"/>
          <w:iCs w:val="false"/>
          <w:color w:val="222222"/>
          <w:sz w:val="22"/>
          <w:szCs w:val="22"/>
        </w:rPr>
        <w:t xml:space="preserve">Minimal chrome. No decorative gradients, rounded-everything, or animations-for-the-sake-of-it. Motion is used only for state transitions (e.g. a booking card sliding from Unassigned to Dispatched).</w:t>
      </w:r>
    </w:p>
    <w:p>
      <w:pPr>
        <w:pStyle w:val="Heading2"/>
      </w:pPr>
      <w:r>
        <w:rPr>
          <w:rFonts w:ascii="Arial" w:cs="Arial" w:eastAsia="Arial" w:hAnsi="Arial"/>
        </w:rPr>
        <w:t xml:space="preserve">Colour palette</w:t>
      </w:r>
    </w:p>
    <w:p>
      <w:pPr>
        <w:pStyle w:val="Heading3"/>
      </w:pPr>
      <w:r>
        <w:rPr>
          <w:rFonts w:ascii="Arial" w:cs="Arial" w:eastAsia="Arial" w:hAnsi="Arial"/>
        </w:rPr>
        <w:t xml:space="preserve">Background scale (dark mode)</w:t>
      </w:r>
    </w:p>
    <w:p>
      <w:pPr>
        <w:spacing w:after="120"/>
      </w:pPr>
      <w:r>
        <w:rPr>
          <w:rFonts w:ascii="Arial" w:cs="Arial" w:eastAsia="Arial" w:hAnsi="Arial"/>
          <w:b w:val="false"/>
          <w:bCs w:val="false"/>
          <w:i w:val="false"/>
          <w:iCs w:val="false"/>
          <w:color w:val="222222"/>
          <w:sz w:val="22"/>
          <w:szCs w:val="22"/>
        </w:rPr>
        <w:t xml:space="preserve">Five shades from deepest to lightest, used for layering surfaces.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800" w:hRule="atLeast"/>
        </w:trPr>
        <w:tc>
          <w:tcPr>
            <w:tcW w:type="dxa" w:w="1805"/>
            <w:tcBorders>
              <w:top w:val="single" w:color="444444" w:sz="1"/>
              <w:left w:val="single" w:color="444444" w:sz="1"/>
              <w:bottom w:val="single" w:color="444444" w:sz="1"/>
              <w:right w:val="single" w:color="444444" w:sz="1"/>
            </w:tcBorders>
            <w:shd w:fill="0B0D11" w:val="clear"/>
            <w:tcMar>
              <w:top w:type="dxa" w:w="80"/>
              <w:left w:type="dxa" w:w="120"/>
              <w:bottom w:type="dxa" w:w="80"/>
              <w:right w:type="dxa" w:w="120"/>
            </w:tcMar>
          </w:tcPr>
          <w:p>
            <w:r>
              <w:rPr>
                <w:rFonts w:ascii="Arial" w:cs="Arial" w:eastAsia="Arial" w:hAnsi="Arial"/>
                <w:b/>
                <w:bCs/>
                <w:color w:val="FFFFFF"/>
                <w:sz w:val="18"/>
                <w:szCs w:val="18"/>
              </w:rPr>
              <w:t xml:space="preserve">Base</w:t>
            </w:r>
          </w:p>
          <w:p>
            <w:r>
              <w:rPr>
                <w:rFonts w:ascii="Consolas" w:cs="Consolas" w:eastAsia="Consolas" w:hAnsi="Consolas"/>
                <w:color w:val="CCCCCC"/>
                <w:sz w:val="16"/>
                <w:szCs w:val="16"/>
              </w:rPr>
              <w:t xml:space="preserve">#0B0D11</w:t>
            </w:r>
          </w:p>
        </w:tc>
        <w:tc>
          <w:tcPr>
            <w:tcW w:type="dxa" w:w="1805"/>
            <w:tcBorders>
              <w:top w:val="single" w:color="444444" w:sz="1"/>
              <w:left w:val="single" w:color="444444" w:sz="1"/>
              <w:bottom w:val="single" w:color="444444" w:sz="1"/>
              <w:right w:val="single" w:color="444444" w:sz="1"/>
            </w:tcBorders>
            <w:shd w:fill="12151B" w:val="clear"/>
            <w:tcMar>
              <w:top w:type="dxa" w:w="80"/>
              <w:left w:type="dxa" w:w="120"/>
              <w:bottom w:type="dxa" w:w="80"/>
              <w:right w:type="dxa" w:w="120"/>
            </w:tcMar>
          </w:tcPr>
          <w:p>
            <w:r>
              <w:rPr>
                <w:rFonts w:ascii="Arial" w:cs="Arial" w:eastAsia="Arial" w:hAnsi="Arial"/>
                <w:b/>
                <w:bCs/>
                <w:color w:val="FFFFFF"/>
                <w:sz w:val="18"/>
                <w:szCs w:val="18"/>
              </w:rPr>
              <w:t xml:space="preserve">Surface</w:t>
            </w:r>
          </w:p>
          <w:p>
            <w:r>
              <w:rPr>
                <w:rFonts w:ascii="Consolas" w:cs="Consolas" w:eastAsia="Consolas" w:hAnsi="Consolas"/>
                <w:color w:val="CCCCCC"/>
                <w:sz w:val="16"/>
                <w:szCs w:val="16"/>
              </w:rPr>
              <w:t xml:space="preserve">#12151B</w:t>
            </w:r>
          </w:p>
        </w:tc>
        <w:tc>
          <w:tcPr>
            <w:tcW w:type="dxa" w:w="1805"/>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18"/>
                <w:szCs w:val="18"/>
              </w:rPr>
              <w:t xml:space="preserve">Card</w:t>
            </w:r>
          </w:p>
          <w:p>
            <w:r>
              <w:rPr>
                <w:rFonts w:ascii="Consolas" w:cs="Consolas" w:eastAsia="Consolas" w:hAnsi="Consolas"/>
                <w:color w:val="CCCCCC"/>
                <w:sz w:val="16"/>
                <w:szCs w:val="16"/>
              </w:rPr>
              <w:t xml:space="preserve">#1A1E27</w:t>
            </w:r>
          </w:p>
        </w:tc>
        <w:tc>
          <w:tcPr>
            <w:tcW w:type="dxa" w:w="1805"/>
            <w:tcBorders>
              <w:top w:val="single" w:color="444444" w:sz="1"/>
              <w:left w:val="single" w:color="444444" w:sz="1"/>
              <w:bottom w:val="single" w:color="444444" w:sz="1"/>
              <w:right w:val="single" w:color="444444" w:sz="1"/>
            </w:tcBorders>
            <w:shd w:fill="242934" w:val="clear"/>
            <w:tcMar>
              <w:top w:type="dxa" w:w="80"/>
              <w:left w:type="dxa" w:w="120"/>
              <w:bottom w:type="dxa" w:w="80"/>
              <w:right w:type="dxa" w:w="120"/>
            </w:tcMar>
          </w:tcPr>
          <w:p>
            <w:r>
              <w:rPr>
                <w:rFonts w:ascii="Arial" w:cs="Arial" w:eastAsia="Arial" w:hAnsi="Arial"/>
                <w:b/>
                <w:bCs/>
                <w:color w:val="FFFFFF"/>
                <w:sz w:val="18"/>
                <w:szCs w:val="18"/>
              </w:rPr>
              <w:t xml:space="preserve">Elevated</w:t>
            </w:r>
          </w:p>
          <w:p>
            <w:r>
              <w:rPr>
                <w:rFonts w:ascii="Consolas" w:cs="Consolas" w:eastAsia="Consolas" w:hAnsi="Consolas"/>
                <w:color w:val="CCCCCC"/>
                <w:sz w:val="16"/>
                <w:szCs w:val="16"/>
              </w:rPr>
              <w:t xml:space="preserve">#242934</w:t>
            </w:r>
          </w:p>
        </w:tc>
        <w:tc>
          <w:tcPr>
            <w:tcW w:type="dxa" w:w="1805"/>
            <w:tcBorders>
              <w:top w:val="single" w:color="444444" w:sz="1"/>
              <w:left w:val="single" w:color="444444" w:sz="1"/>
              <w:bottom w:val="single" w:color="444444" w:sz="1"/>
              <w:right w:val="single" w:color="444444" w:sz="1"/>
            </w:tcBorders>
            <w:shd w:fill="2E3440" w:val="clear"/>
            <w:tcMar>
              <w:top w:type="dxa" w:w="80"/>
              <w:left w:type="dxa" w:w="120"/>
              <w:bottom w:type="dxa" w:w="80"/>
              <w:right w:type="dxa" w:w="120"/>
            </w:tcMar>
          </w:tcPr>
          <w:p>
            <w:r>
              <w:rPr>
                <w:rFonts w:ascii="Arial" w:cs="Arial" w:eastAsia="Arial" w:hAnsi="Arial"/>
                <w:b/>
                <w:bCs/>
                <w:color w:val="FFFFFF"/>
                <w:sz w:val="18"/>
                <w:szCs w:val="18"/>
              </w:rPr>
              <w:t xml:space="preserve">Hover</w:t>
            </w:r>
          </w:p>
          <w:p>
            <w:r>
              <w:rPr>
                <w:rFonts w:ascii="Consolas" w:cs="Consolas" w:eastAsia="Consolas" w:hAnsi="Consolas"/>
                <w:color w:val="CCCCCC"/>
                <w:sz w:val="16"/>
                <w:szCs w:val="16"/>
              </w:rPr>
              <w:t xml:space="preserve">#2E3440</w:t>
            </w:r>
          </w:p>
        </w:tc>
      </w:tr>
    </w:tbl>
    <w:p>
      <w:pPr>
        <w:spacing w:after="60"/>
      </w:pPr>
    </w:p>
    <w:p>
      <w:pPr>
        <w:pStyle w:val="Heading3"/>
      </w:pPr>
      <w:r>
        <w:rPr>
          <w:rFonts w:ascii="Arial" w:cs="Arial" w:eastAsia="Arial" w:hAnsi="Arial"/>
        </w:rPr>
        <w:t xml:space="preserve">Background scale (light mode)</w:t>
      </w:r>
    </w:p>
    <w:p>
      <w:pPr>
        <w:spacing w:after="120"/>
      </w:pPr>
      <w:r>
        <w:rPr>
          <w:rFonts w:ascii="Arial" w:cs="Arial" w:eastAsia="Arial" w:hAnsi="Arial"/>
          <w:b w:val="false"/>
          <w:bCs w:val="false"/>
          <w:i w:val="false"/>
          <w:iCs w:val="false"/>
          <w:color w:val="222222"/>
          <w:sz w:val="22"/>
          <w:szCs w:val="22"/>
        </w:rPr>
        <w:t xml:space="preserve">Inverted equivalents for users who toggle to light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rHeight w:val="800" w:hRule="atLeast"/>
        </w:trPr>
        <w:tc>
          <w:tcPr>
            <w:tcW w:type="dxa" w:w="1805"/>
            <w:tcBorders>
              <w:top w:val="single" w:color="444444" w:sz="1"/>
              <w:left w:val="single" w:color="444444" w:sz="1"/>
              <w:bottom w:val="single" w:color="444444" w:sz="1"/>
              <w:right w:val="single" w:color="444444"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Base</w:t>
            </w:r>
          </w:p>
          <w:p>
            <w:r>
              <w:rPr>
                <w:rFonts w:ascii="Consolas" w:cs="Consolas" w:eastAsia="Consolas" w:hAnsi="Consolas"/>
                <w:color w:val="333333"/>
                <w:sz w:val="16"/>
                <w:szCs w:val="16"/>
              </w:rPr>
              <w:t xml:space="preserve">#FFFFFF</w:t>
            </w:r>
          </w:p>
        </w:tc>
        <w:tc>
          <w:tcPr>
            <w:tcW w:type="dxa" w:w="1805"/>
            <w:tcBorders>
              <w:top w:val="single" w:color="444444" w:sz="1"/>
              <w:left w:val="single" w:color="444444" w:sz="1"/>
              <w:bottom w:val="single" w:color="444444" w:sz="1"/>
              <w:right w:val="single" w:color="444444" w:sz="1"/>
            </w:tcBorders>
            <w:shd w:fill="F8F9FA" w:val="clear"/>
            <w:tcMar>
              <w:top w:type="dxa" w:w="80"/>
              <w:left w:type="dxa" w:w="120"/>
              <w:bottom w:type="dxa" w:w="80"/>
              <w:right w:type="dxa" w:w="120"/>
            </w:tcMar>
          </w:tcPr>
          <w:p>
            <w:r>
              <w:rPr>
                <w:rFonts w:ascii="Arial" w:cs="Arial" w:eastAsia="Arial" w:hAnsi="Arial"/>
                <w:b/>
                <w:bCs/>
                <w:color w:val="111111"/>
                <w:sz w:val="18"/>
                <w:szCs w:val="18"/>
              </w:rPr>
              <w:t xml:space="preserve">Surface</w:t>
            </w:r>
          </w:p>
          <w:p>
            <w:r>
              <w:rPr>
                <w:rFonts w:ascii="Consolas" w:cs="Consolas" w:eastAsia="Consolas" w:hAnsi="Consolas"/>
                <w:color w:val="333333"/>
                <w:sz w:val="16"/>
                <w:szCs w:val="16"/>
              </w:rPr>
              <w:t xml:space="preserve">#F8F9FA</w:t>
            </w:r>
          </w:p>
        </w:tc>
        <w:tc>
          <w:tcPr>
            <w:tcW w:type="dxa" w:w="1805"/>
            <w:tcBorders>
              <w:top w:val="single" w:color="444444" w:sz="1"/>
              <w:left w:val="single" w:color="444444" w:sz="1"/>
              <w:bottom w:val="single" w:color="444444" w:sz="1"/>
              <w:right w:val="single" w:color="444444" w:sz="1"/>
            </w:tcBorders>
            <w:shd w:fill="F1F3F5" w:val="clear"/>
            <w:tcMar>
              <w:top w:type="dxa" w:w="80"/>
              <w:left w:type="dxa" w:w="120"/>
              <w:bottom w:type="dxa" w:w="80"/>
              <w:right w:type="dxa" w:w="120"/>
            </w:tcMar>
          </w:tcPr>
          <w:p>
            <w:r>
              <w:rPr>
                <w:rFonts w:ascii="Arial" w:cs="Arial" w:eastAsia="Arial" w:hAnsi="Arial"/>
                <w:b/>
                <w:bCs/>
                <w:color w:val="111111"/>
                <w:sz w:val="18"/>
                <w:szCs w:val="18"/>
              </w:rPr>
              <w:t xml:space="preserve">Card</w:t>
            </w:r>
          </w:p>
          <w:p>
            <w:r>
              <w:rPr>
                <w:rFonts w:ascii="Consolas" w:cs="Consolas" w:eastAsia="Consolas" w:hAnsi="Consolas"/>
                <w:color w:val="333333"/>
                <w:sz w:val="16"/>
                <w:szCs w:val="16"/>
              </w:rPr>
              <w:t xml:space="preserve">#F1F3F5</w:t>
            </w:r>
          </w:p>
        </w:tc>
        <w:tc>
          <w:tcPr>
            <w:tcW w:type="dxa" w:w="1805"/>
            <w:tcBorders>
              <w:top w:val="single" w:color="444444" w:sz="1"/>
              <w:left w:val="single" w:color="444444" w:sz="1"/>
              <w:bottom w:val="single" w:color="444444" w:sz="1"/>
              <w:right w:val="single" w:color="444444" w:sz="1"/>
            </w:tcBorders>
            <w:shd w:fill="E9ECEF" w:val="clear"/>
            <w:tcMar>
              <w:top w:type="dxa" w:w="80"/>
              <w:left w:type="dxa" w:w="120"/>
              <w:bottom w:type="dxa" w:w="80"/>
              <w:right w:type="dxa" w:w="120"/>
            </w:tcMar>
          </w:tcPr>
          <w:p>
            <w:r>
              <w:rPr>
                <w:rFonts w:ascii="Arial" w:cs="Arial" w:eastAsia="Arial" w:hAnsi="Arial"/>
                <w:b/>
                <w:bCs/>
                <w:color w:val="111111"/>
                <w:sz w:val="18"/>
                <w:szCs w:val="18"/>
              </w:rPr>
              <w:t xml:space="preserve">Elevated</w:t>
            </w:r>
          </w:p>
          <w:p>
            <w:r>
              <w:rPr>
                <w:rFonts w:ascii="Consolas" w:cs="Consolas" w:eastAsia="Consolas" w:hAnsi="Consolas"/>
                <w:color w:val="333333"/>
                <w:sz w:val="16"/>
                <w:szCs w:val="16"/>
              </w:rPr>
              <w:t xml:space="preserve">#E9ECEF</w:t>
            </w:r>
          </w:p>
        </w:tc>
        <w:tc>
          <w:tcPr>
            <w:tcW w:type="dxa" w:w="1805"/>
            <w:tcBorders>
              <w:top w:val="single" w:color="444444" w:sz="1"/>
              <w:left w:val="single" w:color="444444" w:sz="1"/>
              <w:bottom w:val="single" w:color="444444" w:sz="1"/>
              <w:right w:val="single" w:color="444444" w:sz="1"/>
            </w:tcBorders>
            <w:shd w:fill="DEE2E6" w:val="clear"/>
            <w:tcMar>
              <w:top w:type="dxa" w:w="80"/>
              <w:left w:type="dxa" w:w="120"/>
              <w:bottom w:type="dxa" w:w="80"/>
              <w:right w:type="dxa" w:w="120"/>
            </w:tcMar>
          </w:tcPr>
          <w:p>
            <w:r>
              <w:rPr>
                <w:rFonts w:ascii="Arial" w:cs="Arial" w:eastAsia="Arial" w:hAnsi="Arial"/>
                <w:b/>
                <w:bCs/>
                <w:color w:val="111111"/>
                <w:sz w:val="18"/>
                <w:szCs w:val="18"/>
              </w:rPr>
              <w:t xml:space="preserve">Hover</w:t>
            </w:r>
          </w:p>
          <w:p>
            <w:r>
              <w:rPr>
                <w:rFonts w:ascii="Consolas" w:cs="Consolas" w:eastAsia="Consolas" w:hAnsi="Consolas"/>
                <w:color w:val="333333"/>
                <w:sz w:val="16"/>
                <w:szCs w:val="16"/>
              </w:rPr>
              <w:t xml:space="preserve">#DEE2E6</w:t>
            </w:r>
          </w:p>
        </w:tc>
      </w:tr>
    </w:tbl>
    <w:p>
      <w:pPr>
        <w:spacing w:after="60"/>
      </w:pPr>
    </w:p>
    <w:p>
      <w:pPr>
        <w:pStyle w:val="Heading3"/>
      </w:pPr>
      <w:r>
        <w:rPr>
          <w:rFonts w:ascii="Arial" w:cs="Arial" w:eastAsia="Arial" w:hAnsi="Arial"/>
        </w:rPr>
        <w:t xml:space="preserve">Brand red ramp</w:t>
      </w:r>
    </w:p>
    <w:p>
      <w:pPr>
        <w:spacing w:after="120"/>
      </w:pPr>
      <w:r>
        <w:rPr>
          <w:rFonts w:ascii="Arial" w:cs="Arial" w:eastAsia="Arial" w:hAnsi="Arial"/>
          <w:b w:val="false"/>
          <w:bCs w:val="false"/>
          <w:i w:val="false"/>
          <w:iCs w:val="false"/>
          <w:color w:val="222222"/>
          <w:sz w:val="22"/>
          <w:szCs w:val="22"/>
        </w:rPr>
        <w:t xml:space="preserve">The primary action colour. Used for dispatch buttons, active states, brand marks, and urgent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800" w:hRule="atLeast"/>
        </w:trPr>
        <w:tc>
          <w:tcPr>
            <w:tcW w:type="dxa" w:w="2256"/>
            <w:tcBorders>
              <w:top w:val="single" w:color="444444" w:sz="1"/>
              <w:left w:val="single" w:color="444444" w:sz="1"/>
              <w:bottom w:val="single" w:color="444444" w:sz="1"/>
              <w:right w:val="single" w:color="444444" w:sz="1"/>
            </w:tcBorders>
            <w:shd w:fill="FF6B6B" w:val="clear"/>
            <w:tcMar>
              <w:top w:type="dxa" w:w="80"/>
              <w:left w:type="dxa" w:w="120"/>
              <w:bottom w:type="dxa" w:w="80"/>
              <w:right w:type="dxa" w:w="120"/>
            </w:tcMar>
          </w:tcPr>
          <w:p>
            <w:r>
              <w:rPr>
                <w:rFonts w:ascii="Arial" w:cs="Arial" w:eastAsia="Arial" w:hAnsi="Arial"/>
                <w:b/>
                <w:bCs/>
                <w:color w:val="111111"/>
                <w:sz w:val="18"/>
                <w:szCs w:val="18"/>
              </w:rPr>
              <w:t xml:space="preserve">300 Light</w:t>
            </w:r>
          </w:p>
          <w:p>
            <w:r>
              <w:rPr>
                <w:rFonts w:ascii="Consolas" w:cs="Consolas" w:eastAsia="Consolas" w:hAnsi="Consolas"/>
                <w:color w:val="333333"/>
                <w:sz w:val="16"/>
                <w:szCs w:val="16"/>
              </w:rPr>
              <w:t xml:space="preserve">#FF6B6B</w:t>
            </w:r>
          </w:p>
        </w:tc>
        <w:tc>
          <w:tcPr>
            <w:tcW w:type="dxa" w:w="2256"/>
            <w:tcBorders>
              <w:top w:val="single" w:color="444444" w:sz="1"/>
              <w:left w:val="single" w:color="444444" w:sz="1"/>
              <w:bottom w:val="single" w:color="444444" w:sz="1"/>
              <w:right w:val="single" w:color="444444" w:sz="1"/>
            </w:tcBorders>
            <w:shd w:fill="FF2D2D" w:val="clear"/>
            <w:tcMar>
              <w:top w:type="dxa" w:w="80"/>
              <w:left w:type="dxa" w:w="120"/>
              <w:bottom w:type="dxa" w:w="80"/>
              <w:right w:type="dxa" w:w="120"/>
            </w:tcMar>
          </w:tcPr>
          <w:p>
            <w:r>
              <w:rPr>
                <w:rFonts w:ascii="Arial" w:cs="Arial" w:eastAsia="Arial" w:hAnsi="Arial"/>
                <w:b/>
                <w:bCs/>
                <w:color w:val="111111"/>
                <w:sz w:val="18"/>
                <w:szCs w:val="18"/>
              </w:rPr>
              <w:t xml:space="preserve">500 Primary</w:t>
            </w:r>
          </w:p>
          <w:p>
            <w:r>
              <w:rPr>
                <w:rFonts w:ascii="Consolas" w:cs="Consolas" w:eastAsia="Consolas" w:hAnsi="Consolas"/>
                <w:color w:val="333333"/>
                <w:sz w:val="16"/>
                <w:szCs w:val="16"/>
              </w:rPr>
              <w:t xml:space="preserve">#FF2D2D</w:t>
            </w:r>
          </w:p>
        </w:tc>
        <w:tc>
          <w:tcPr>
            <w:tcW w:type="dxa" w:w="2256"/>
            <w:tcBorders>
              <w:top w:val="single" w:color="444444" w:sz="1"/>
              <w:left w:val="single" w:color="444444" w:sz="1"/>
              <w:bottom w:val="single" w:color="444444" w:sz="1"/>
              <w:right w:val="single" w:color="444444" w:sz="1"/>
            </w:tcBorders>
            <w:shd w:fill="E62626" w:val="clear"/>
            <w:tcMar>
              <w:top w:type="dxa" w:w="80"/>
              <w:left w:type="dxa" w:w="120"/>
              <w:bottom w:type="dxa" w:w="80"/>
              <w:right w:type="dxa" w:w="120"/>
            </w:tcMar>
          </w:tcPr>
          <w:p>
            <w:r>
              <w:rPr>
                <w:rFonts w:ascii="Arial" w:cs="Arial" w:eastAsia="Arial" w:hAnsi="Arial"/>
                <w:b/>
                <w:bCs/>
                <w:color w:val="111111"/>
                <w:sz w:val="18"/>
                <w:szCs w:val="18"/>
              </w:rPr>
              <w:t xml:space="preserve">600 Pressed</w:t>
            </w:r>
          </w:p>
          <w:p>
            <w:r>
              <w:rPr>
                <w:rFonts w:ascii="Consolas" w:cs="Consolas" w:eastAsia="Consolas" w:hAnsi="Consolas"/>
                <w:color w:val="333333"/>
                <w:sz w:val="16"/>
                <w:szCs w:val="16"/>
              </w:rPr>
              <w:t xml:space="preserve">#E62626</w:t>
            </w:r>
          </w:p>
        </w:tc>
        <w:tc>
          <w:tcPr>
            <w:tcW w:type="dxa" w:w="2256"/>
            <w:tcBorders>
              <w:top w:val="single" w:color="444444" w:sz="1"/>
              <w:left w:val="single" w:color="444444" w:sz="1"/>
              <w:bottom w:val="single" w:color="444444" w:sz="1"/>
              <w:right w:val="single" w:color="444444" w:sz="1"/>
            </w:tcBorders>
            <w:shd w:fill="331010" w:val="clear"/>
            <w:tcMar>
              <w:top w:type="dxa" w:w="80"/>
              <w:left w:type="dxa" w:w="120"/>
              <w:bottom w:type="dxa" w:w="80"/>
              <w:right w:type="dxa" w:w="120"/>
            </w:tcMar>
          </w:tcPr>
          <w:p>
            <w:r>
              <w:rPr>
                <w:rFonts w:ascii="Arial" w:cs="Arial" w:eastAsia="Arial" w:hAnsi="Arial"/>
                <w:b/>
                <w:bCs/>
                <w:color w:val="FFFFFF"/>
                <w:sz w:val="18"/>
                <w:szCs w:val="18"/>
              </w:rPr>
              <w:t xml:space="preserve">900 Bg tint</w:t>
            </w:r>
          </w:p>
          <w:p>
            <w:r>
              <w:rPr>
                <w:rFonts w:ascii="Consolas" w:cs="Consolas" w:eastAsia="Consolas" w:hAnsi="Consolas"/>
                <w:color w:val="CCCCCC"/>
                <w:sz w:val="16"/>
                <w:szCs w:val="16"/>
              </w:rPr>
              <w:t xml:space="preserve">#331010</w:t>
            </w:r>
          </w:p>
        </w:tc>
      </w:tr>
    </w:tbl>
    <w:p>
      <w:pPr>
        <w:spacing w:after="60"/>
      </w:pPr>
    </w:p>
    <w:p>
      <w:pPr>
        <w:pStyle w:val="Heading3"/>
      </w:pPr>
      <w:r>
        <w:rPr>
          <w:rFonts w:ascii="Arial" w:cs="Arial" w:eastAsia="Arial" w:hAnsi="Arial"/>
        </w:rPr>
        <w:t xml:space="preserve">Vehicle status colours</w:t>
      </w:r>
    </w:p>
    <w:p>
      <w:pPr>
        <w:spacing w:after="120"/>
      </w:pPr>
      <w:r>
        <w:rPr>
          <w:rFonts w:ascii="Arial" w:cs="Arial" w:eastAsia="Arial" w:hAnsi="Arial"/>
          <w:b w:val="false"/>
          <w:bCs w:val="false"/>
          <w:i w:val="false"/>
          <w:iCs w:val="false"/>
          <w:color w:val="222222"/>
          <w:sz w:val="22"/>
          <w:szCs w:val="22"/>
        </w:rPr>
        <w:t xml:space="preserve">These five colours are the most critical in the entire system. Operators must distinguish 40+ map pins at a glance. Each hue is maximally separated and tested for deuteranopia/protanopia distinguishability.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626"/>
      </w:tblGrid>
      <w:tr>
        <w:tc>
          <w:tcPr>
            <w:tcW w:type="dxa" w:w="14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Foreground</w:t>
            </w:r>
          </w:p>
        </w:tc>
        <w:tc>
          <w:tcPr>
            <w:tcW w:type="dxa" w:w="2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Background tint</w:t>
            </w:r>
          </w:p>
        </w:tc>
        <w:tc>
          <w:tcPr>
            <w:tcW w:type="dxa" w:w="36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Available</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#34D399 (green)</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#0D2E1A</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Driver is free and accepting jobs</w:t>
            </w:r>
          </w:p>
        </w:tc>
      </w:tr>
      <w:tr>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On job</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#FBBF24 (amber)</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#2D2206</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Driver has a passenger / en route to destination</w:t>
            </w:r>
          </w:p>
        </w:tc>
      </w:tr>
      <w:tr>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Dispatched</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#A78BFA (purple)</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#1A1333</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Job assigned, driver en route to pickup</w:t>
            </w:r>
          </w:p>
        </w:tc>
      </w:tr>
      <w:tr>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Offline</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#FF6B6B (red)</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#331010</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Driver logged out or unavailable</w:t>
            </w:r>
          </w:p>
        </w:tc>
      </w:tr>
      <w:tr>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On break</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#38BDF8 (blue)</w:t>
            </w:r>
          </w:p>
        </w:tc>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#0C2333</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Driver on scheduled/unscheduled break</w:t>
            </w:r>
          </w:p>
        </w:tc>
      </w:tr>
    </w:tbl>
    <w:p>
      <w:pPr>
        <w:spacing w:after="60"/>
      </w:pPr>
    </w:p>
    <w:p>
      <w:pPr>
        <w:pStyle w:val="Heading3"/>
      </w:pPr>
      <w:r>
        <w:rPr>
          <w:rFonts w:ascii="Arial" w:cs="Arial" w:eastAsia="Arial" w:hAnsi="Arial"/>
        </w:rPr>
        <w:t xml:space="preserve">Booking status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40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Unassigned</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Red (brand)</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#FF2D2D</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Dispatched</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Purple</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#A78BFA</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In progress</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Amber</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#FBBF24</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Completed</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Green</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#34D399</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Cancelled</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Grey</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#6B7280</w:t>
            </w:r>
          </w:p>
        </w:tc>
      </w:tr>
      <w:tr>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No-show</w:t>
            </w:r>
          </w:p>
        </w:tc>
        <w:tc>
          <w:tcPr>
            <w:tcW w:type="dxa" w:w="2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Light red</w:t>
            </w:r>
          </w:p>
        </w:tc>
        <w:tc>
          <w:tcPr>
            <w:tcW w:type="dxa" w:w="4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#FF6B6B</w:t>
            </w:r>
          </w:p>
        </w:tc>
      </w:tr>
    </w:tbl>
    <w:p>
      <w:pPr>
        <w:spacing w:after="60"/>
      </w:pPr>
    </w:p>
    <w:p>
      <w:pPr>
        <w:pStyle w:val="Heading3"/>
      </w:pPr>
      <w:r>
        <w:rPr>
          <w:rFonts w:ascii="Arial" w:cs="Arial" w:eastAsia="Arial" w:hAnsi="Arial"/>
        </w:rPr>
        <w:t xml:space="preserve">Semantic colours</w:t>
      </w:r>
    </w:p>
    <w:p>
      <w:pPr>
        <w:spacing w:after="120"/>
      </w:pPr>
      <w:r>
        <w:rPr>
          <w:rFonts w:ascii="Arial" w:cs="Arial" w:eastAsia="Arial" w:hAnsi="Arial"/>
          <w:b w:val="false"/>
          <w:bCs w:val="false"/>
          <w:i w:val="false"/>
          <w:iCs w:val="false"/>
          <w:color w:val="222222"/>
          <w:sz w:val="22"/>
          <w:szCs w:val="22"/>
        </w:rPr>
        <w:t xml:space="preserve">Used for alerts, toasts, validation states, and system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800" w:hRule="atLeast"/>
        </w:trPr>
        <w:tc>
          <w:tcPr>
            <w:tcW w:type="dxa" w:w="2256"/>
            <w:tcBorders>
              <w:top w:val="single" w:color="444444" w:sz="1"/>
              <w:left w:val="single" w:color="444444" w:sz="1"/>
              <w:bottom w:val="single" w:color="444444" w:sz="1"/>
              <w:right w:val="single" w:color="444444" w:sz="1"/>
            </w:tcBorders>
            <w:shd w:fill="34D399" w:val="clear"/>
            <w:tcMar>
              <w:top w:type="dxa" w:w="80"/>
              <w:left w:type="dxa" w:w="120"/>
              <w:bottom w:type="dxa" w:w="80"/>
              <w:right w:type="dxa" w:w="120"/>
            </w:tcMar>
          </w:tcPr>
          <w:p>
            <w:r>
              <w:rPr>
                <w:rFonts w:ascii="Arial" w:cs="Arial" w:eastAsia="Arial" w:hAnsi="Arial"/>
                <w:b/>
                <w:bCs/>
                <w:color w:val="FFFFFF"/>
                <w:sz w:val="18"/>
                <w:szCs w:val="18"/>
              </w:rPr>
              <w:t xml:space="preserve">Success</w:t>
            </w:r>
          </w:p>
          <w:p>
            <w:r>
              <w:rPr>
                <w:rFonts w:ascii="Consolas" w:cs="Consolas" w:eastAsia="Consolas" w:hAnsi="Consolas"/>
                <w:color w:val="CCCCCC"/>
                <w:sz w:val="16"/>
                <w:szCs w:val="16"/>
              </w:rPr>
              <w:t xml:space="preserve">#34D399</w:t>
            </w:r>
          </w:p>
        </w:tc>
        <w:tc>
          <w:tcPr>
            <w:tcW w:type="dxa" w:w="2256"/>
            <w:tcBorders>
              <w:top w:val="single" w:color="444444" w:sz="1"/>
              <w:left w:val="single" w:color="444444" w:sz="1"/>
              <w:bottom w:val="single" w:color="444444" w:sz="1"/>
              <w:right w:val="single" w:color="444444" w:sz="1"/>
            </w:tcBorders>
            <w:shd w:fill="FBBF24" w:val="clear"/>
            <w:tcMar>
              <w:top w:type="dxa" w:w="80"/>
              <w:left w:type="dxa" w:w="120"/>
              <w:bottom w:type="dxa" w:w="80"/>
              <w:right w:type="dxa" w:w="120"/>
            </w:tcMar>
          </w:tcPr>
          <w:p>
            <w:r>
              <w:rPr>
                <w:rFonts w:ascii="Arial" w:cs="Arial" w:eastAsia="Arial" w:hAnsi="Arial"/>
                <w:b/>
                <w:bCs/>
                <w:color w:val="111111"/>
                <w:sz w:val="18"/>
                <w:szCs w:val="18"/>
              </w:rPr>
              <w:t xml:space="preserve">Warning</w:t>
            </w:r>
          </w:p>
          <w:p>
            <w:r>
              <w:rPr>
                <w:rFonts w:ascii="Consolas" w:cs="Consolas" w:eastAsia="Consolas" w:hAnsi="Consolas"/>
                <w:color w:val="333333"/>
                <w:sz w:val="16"/>
                <w:szCs w:val="16"/>
              </w:rPr>
              <w:t xml:space="preserve">#FBBF24</w:t>
            </w:r>
          </w:p>
        </w:tc>
        <w:tc>
          <w:tcPr>
            <w:tcW w:type="dxa" w:w="2256"/>
            <w:tcBorders>
              <w:top w:val="single" w:color="444444" w:sz="1"/>
              <w:left w:val="single" w:color="444444" w:sz="1"/>
              <w:bottom w:val="single" w:color="444444" w:sz="1"/>
              <w:right w:val="single" w:color="444444" w:sz="1"/>
            </w:tcBorders>
            <w:shd w:fill="FF6B6B" w:val="clear"/>
            <w:tcMar>
              <w:top w:type="dxa" w:w="80"/>
              <w:left w:type="dxa" w:w="120"/>
              <w:bottom w:type="dxa" w:w="80"/>
              <w:right w:type="dxa" w:w="120"/>
            </w:tcMar>
          </w:tcPr>
          <w:p>
            <w:r>
              <w:rPr>
                <w:rFonts w:ascii="Arial" w:cs="Arial" w:eastAsia="Arial" w:hAnsi="Arial"/>
                <w:b/>
                <w:bCs/>
                <w:color w:val="111111"/>
                <w:sz w:val="18"/>
                <w:szCs w:val="18"/>
              </w:rPr>
              <w:t xml:space="preserve">Danger</w:t>
            </w:r>
          </w:p>
          <w:p>
            <w:r>
              <w:rPr>
                <w:rFonts w:ascii="Consolas" w:cs="Consolas" w:eastAsia="Consolas" w:hAnsi="Consolas"/>
                <w:color w:val="333333"/>
                <w:sz w:val="16"/>
                <w:szCs w:val="16"/>
              </w:rPr>
              <w:t xml:space="preserve">#FF6B6B</w:t>
            </w:r>
          </w:p>
        </w:tc>
        <w:tc>
          <w:tcPr>
            <w:tcW w:type="dxa" w:w="2256"/>
            <w:tcBorders>
              <w:top w:val="single" w:color="444444" w:sz="1"/>
              <w:left w:val="single" w:color="444444" w:sz="1"/>
              <w:bottom w:val="single" w:color="444444" w:sz="1"/>
              <w:right w:val="single" w:color="444444" w:sz="1"/>
            </w:tcBorders>
            <w:shd w:fill="38BDF8" w:val="clear"/>
            <w:tcMar>
              <w:top w:type="dxa" w:w="80"/>
              <w:left w:type="dxa" w:w="120"/>
              <w:bottom w:type="dxa" w:w="80"/>
              <w:right w:type="dxa" w:w="120"/>
            </w:tcMar>
          </w:tcPr>
          <w:p>
            <w:r>
              <w:rPr>
                <w:rFonts w:ascii="Arial" w:cs="Arial" w:eastAsia="Arial" w:hAnsi="Arial"/>
                <w:b/>
                <w:bCs/>
                <w:color w:val="FFFFFF"/>
                <w:sz w:val="18"/>
                <w:szCs w:val="18"/>
              </w:rPr>
              <w:t xml:space="preserve">Info</w:t>
            </w:r>
          </w:p>
          <w:p>
            <w:r>
              <w:rPr>
                <w:rFonts w:ascii="Consolas" w:cs="Consolas" w:eastAsia="Consolas" w:hAnsi="Consolas"/>
                <w:color w:val="CCCCCC"/>
                <w:sz w:val="16"/>
                <w:szCs w:val="16"/>
              </w:rPr>
              <w:t xml:space="preserve">#38BDF8</w:t>
            </w:r>
          </w:p>
        </w:tc>
      </w:tr>
    </w:tbl>
    <w:p>
      <w:pPr>
        <w:spacing w:after="60"/>
      </w:pPr>
    </w:p>
    <w:p>
      <w:pPr>
        <w:pStyle w:val="Heading3"/>
      </w:pPr>
      <w:r>
        <w:rPr>
          <w:rFonts w:ascii="Arial" w:cs="Arial" w:eastAsia="Arial" w:hAnsi="Arial"/>
        </w:rPr>
        <w:t xml:space="preserve">Text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763"/>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2763"/>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3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Primary (headings, body)</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#F9FAFB</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#111827</w:t>
            </w:r>
          </w:p>
        </w:tc>
      </w:tr>
      <w:tr>
        <w:tc>
          <w:tcPr>
            <w:tcW w:type="dxa" w:w="3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Secondary (labels, captions)</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#9CA3AF</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#6B7280</w:t>
            </w:r>
          </w:p>
        </w:tc>
      </w:tr>
      <w:tr>
        <w:tc>
          <w:tcPr>
            <w:tcW w:type="dxa" w:w="3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Tertiary (hints, disabled)</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#6B7280</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#9CA3AF</w:t>
            </w:r>
          </w:p>
        </w:tc>
      </w:tr>
      <w:tr>
        <w:tc>
          <w:tcPr>
            <w:tcW w:type="dxa" w:w="3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On-brand (text on red bg)</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2763"/>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#FFFFFF</w:t>
            </w:r>
          </w:p>
        </w:tc>
      </w:tr>
    </w:tbl>
    <w:p>
      <w:pPr>
        <w:spacing w:after="60"/>
      </w:pPr>
    </w:p>
    <w:p>
      <w:pPr>
        <w:pStyle w:val="Heading2"/>
      </w:pPr>
      <w:r>
        <w:rPr>
          <w:rFonts w:ascii="Arial" w:cs="Arial" w:eastAsia="Arial" w:hAnsi="Arial"/>
        </w:rPr>
        <w:t xml:space="preserve">Typography</w:t>
      </w:r>
    </w:p>
    <w:p>
      <w:pPr>
        <w:spacing w:after="120"/>
      </w:pPr>
      <w:r>
        <w:rPr>
          <w:rFonts w:ascii="Arial" w:cs="Arial" w:eastAsia="Arial" w:hAnsi="Arial"/>
          <w:b w:val="false"/>
          <w:bCs w:val="false"/>
          <w:i w:val="false"/>
          <w:iCs w:val="false"/>
          <w:color w:val="222222"/>
          <w:sz w:val="22"/>
          <w:szCs w:val="22"/>
        </w:rPr>
        <w:t xml:space="preserve">Primary typeface: Inter. Free, variable-weight, excellent legibility at small sizes, and ships with tabular numerals (critical for fare displays and KPI dashboards). Fallback stack: Inter, system-ui, -apple-system, sans-serif.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200"/>
        <w:gridCol w:w="3626"/>
      </w:tblGrid>
      <w:tr>
        <w:tc>
          <w:tcPr>
            <w:tcW w:type="dxa" w:w="18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2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36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Page title</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28px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600 (Semi)</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Dashboard headers, screen titles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Section heading</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18px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500 (Med)</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1.3</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Card titles, panel headers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Body</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14px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400 (Reg)</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1.5</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Default text, form labels, table cells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Caption</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400 (Reg)</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Timestamps, secondary meta, helper text</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KPI number</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32px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700 (Bold)</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Revenue figures, booking counts. Always tabular-nums.</w:t>
            </w:r>
          </w:p>
        </w:tc>
      </w:tr>
      <w:tr>
        <w:tc>
          <w:tcPr>
            <w:tcW w:type="dxa" w:w="18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Monospace</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13px</w:t>
            </w:r>
          </w:p>
        </w:tc>
        <w:tc>
          <w:tcPr>
            <w:tcW w:type="dxa" w:w="14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400 (Reg)</w:t>
            </w:r>
          </w:p>
        </w:tc>
        <w:tc>
          <w:tcPr>
            <w:tcW w:type="dxa" w:w="1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1.4</w:t>
            </w:r>
          </w:p>
        </w:tc>
        <w:tc>
          <w:tcPr>
            <w:tcW w:type="dxa" w:w="3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Booking IDs, licence plates, API keys. Font: JetBrains Mono.</w:t>
            </w:r>
          </w:p>
        </w:tc>
      </w:tr>
    </w:tbl>
    <w:p>
      <w:pPr>
        <w:spacing w:after="60"/>
      </w:pPr>
    </w:p>
    <w:p>
      <w:pPr>
        <w:pStyle w:val="Heading2"/>
      </w:pPr>
      <w:r>
        <w:rPr>
          <w:rFonts w:ascii="Arial" w:cs="Arial" w:eastAsia="Arial" w:hAnsi="Arial"/>
        </w:rPr>
        <w:t xml:space="preserve">Spacing &amp; layout</w:t>
      </w:r>
    </w:p>
    <w:p>
      <w:pPr>
        <w:spacing w:after="120"/>
      </w:pPr>
      <w:r>
        <w:rPr>
          <w:rFonts w:ascii="Arial" w:cs="Arial" w:eastAsia="Arial" w:hAnsi="Arial"/>
          <w:b w:val="false"/>
          <w:bCs w:val="false"/>
          <w:i w:val="false"/>
          <w:iCs w:val="false"/>
          <w:color w:val="222222"/>
          <w:sz w:val="22"/>
          <w:szCs w:val="22"/>
        </w:rPr>
        <w:t xml:space="preserve">All spacing uses a 4px base grid: 4, 8, 12, 16, 24, 32, 48, 64px.</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26"/>
      </w:tblGrid>
      <w:tr>
        <w:tc>
          <w:tcPr>
            <w:tcW w:type="dxa" w:w="2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0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space-xs</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4px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Icon-to-text gap, tight inline elements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space-sm</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8px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Between related elements within a card</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space-md</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Form field gaps, list item spacing</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space-base</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16px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Card internal padding, section gaps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space-lg</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24px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Between cards, panel gutters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space-xl</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32px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Major section separation</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space-2xl</w:t>
            </w:r>
          </w:p>
        </w:tc>
        <w:tc>
          <w:tcPr>
            <w:tcW w:type="dxa" w:w="1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48px</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Page-level margins on desktop</w:t>
            </w:r>
          </w:p>
        </w:tc>
      </w:tr>
    </w:tbl>
    <w:p>
      <w:pPr>
        <w:spacing w:after="60"/>
      </w:pPr>
    </w:p>
    <w:p>
      <w:pPr>
        <w:pStyle w:val="Heading2"/>
      </w:pPr>
      <w:r>
        <w:rPr>
          <w:rFonts w:ascii="Arial" w:cs="Arial" w:eastAsia="Arial" w:hAnsi="Arial"/>
        </w:rPr>
        <w:t xml:space="preserve">Component tokens</w:t>
      </w:r>
    </w:p>
    <w:p>
      <w:pPr>
        <w:pStyle w:val="Heading3"/>
      </w:pPr>
      <w:r>
        <w:rPr>
          <w:rFonts w:ascii="Arial" w:cs="Arial" w:eastAsia="Arial" w:hAnsi="Arial"/>
        </w:rPr>
        <w:t xml:space="preserve">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2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Active/urgent</w:t>
            </w:r>
          </w:p>
        </w:tc>
        <w:tc>
          <w:tcPr>
            <w:tcW w:type="dxa" w:w="26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Background</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card (#1A1E27)</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card (#1A1E27)</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Same bg, border changes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Border</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0.5px #ffffff0f</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1px #FF2D2D</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Red border = urgent booking</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Border radius</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12px</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Consistent across all cards</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Padding</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16px</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16px</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Internal content padding</w:t>
            </w:r>
          </w:p>
        </w:tc>
      </w:tr>
      <w:tr>
        <w:tc>
          <w:tcPr>
            <w:tcW w:type="dxa" w:w="2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Shadow</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2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Never use box-shadow</w:t>
            </w:r>
          </w:p>
        </w:tc>
      </w:tr>
    </w:tbl>
    <w:p>
      <w:pPr>
        <w:spacing w:after="60"/>
      </w:pPr>
    </w:p>
    <w:p>
      <w:pPr>
        <w:pStyle w:val="Heading3"/>
      </w:pPr>
      <w:r>
        <w:rPr>
          <w:rFonts w:ascii="Arial" w:cs="Arial" w:eastAsia="Arial" w:hAnsi="Arial"/>
        </w:rPr>
        <w:t xml:space="preserve">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1700"/>
        <w:gridCol w:w="2626"/>
      </w:tblGrid>
      <w:tr>
        <w:tc>
          <w:tcPr>
            <w:tcW w:type="dxa" w:w="15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7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5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Text</w:t>
            </w:r>
          </w:p>
        </w:tc>
        <w:tc>
          <w:tcPr>
            <w:tcW w:type="dxa" w:w="17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Border</w:t>
            </w:r>
          </w:p>
        </w:tc>
        <w:tc>
          <w:tcPr>
            <w:tcW w:type="dxa" w:w="26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Primary</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#FF2D2D</w:t>
            </w:r>
          </w:p>
        </w:tc>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#FFFFFF</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Dispatch, confirm, save</w:t>
            </w:r>
          </w:p>
        </w:tc>
      </w:tr>
      <w:tr>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Destructive</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transparent</w:t>
            </w:r>
          </w:p>
        </w:tc>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#FF2D2D</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1px #FF2D2D</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Cancel booking, remove driver</w:t>
            </w:r>
          </w:p>
        </w:tc>
      </w:tr>
      <w:tr>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Secondary</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#1A1E27</w:t>
            </w:r>
          </w:p>
        </w:tc>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#9CA3AF</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0.5px #2E3440</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Filter, sort, secondary actions</w:t>
            </w:r>
          </w:p>
        </w:tc>
      </w:tr>
      <w:tr>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Ghost</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transparent</w:t>
            </w:r>
          </w:p>
        </w:tc>
        <w:tc>
          <w:tcPr>
            <w:tcW w:type="dxa" w:w="15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#9CA3AF</w:t>
            </w:r>
          </w:p>
        </w:tc>
        <w:tc>
          <w:tcPr>
            <w:tcW w:type="dxa" w:w="17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26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Close, dismiss, inline actions</w:t>
            </w:r>
          </w:p>
        </w:tc>
      </w:tr>
    </w:tbl>
    <w:p>
      <w:pPr>
        <w:spacing w:after="60"/>
      </w:pPr>
    </w:p>
    <w:p>
      <w:pPr>
        <w:spacing w:after="120"/>
      </w:pPr>
      <w:r>
        <w:rPr>
          <w:rFonts w:ascii="Arial" w:cs="Arial" w:eastAsia="Arial" w:hAnsi="Arial"/>
          <w:b w:val="false"/>
          <w:bCs w:val="false"/>
          <w:i w:val="false"/>
          <w:iCs w:val="false"/>
          <w:color w:val="222222"/>
          <w:sz w:val="22"/>
          <w:szCs w:val="22"/>
        </w:rPr>
        <w:t xml:space="preserve">Button height: 36px (compact) or 44px (standard). Border radius: 8px. Font weight: 500.</w:t>
      </w:r>
    </w:p>
    <w:p>
      <w:pPr>
        <w:spacing w:after="60"/>
      </w:pPr>
    </w:p>
    <w:p>
      <w:pPr>
        <w:pStyle w:val="Heading3"/>
      </w:pPr>
      <w:r>
        <w:rPr>
          <w:rFonts w:ascii="Arial" w:cs="Arial" w:eastAsia="Arial" w:hAnsi="Arial"/>
        </w:rPr>
        <w:t xml:space="preserve">Status pills</w:t>
      </w:r>
    </w:p>
    <w:p>
      <w:pPr>
        <w:spacing w:after="120"/>
      </w:pPr>
      <w:r>
        <w:rPr>
          <w:rFonts w:ascii="Arial" w:cs="Arial" w:eastAsia="Arial" w:hAnsi="Arial"/>
          <w:b w:val="false"/>
          <w:bCs w:val="false"/>
          <w:i w:val="false"/>
          <w:iCs w:val="false"/>
          <w:color w:val="222222"/>
          <w:sz w:val="22"/>
          <w:szCs w:val="22"/>
        </w:rPr>
        <w:t xml:space="preserve">Used in tables, cards, and map tooltips to show vehicle/booking status. Structure: coloured dot (8px) + label text on a tinted background matching the status colour at ~10% opacity.</w:t>
      </w:r>
    </w:p>
    <w:p>
      <w:pPr>
        <w:spacing w:after="120"/>
      </w:pPr>
      <w:r>
        <w:rPr>
          <w:rFonts w:ascii="Arial" w:cs="Arial" w:eastAsia="Arial" w:hAnsi="Arial"/>
          <w:b w:val="false"/>
          <w:bCs w:val="false"/>
          <w:i w:val="false"/>
          <w:iCs w:val="false"/>
          <w:color w:val="222222"/>
          <w:sz w:val="22"/>
          <w:szCs w:val="22"/>
        </w:rPr>
        <w:t xml:space="preserve">Border radius: 20px (full pill). Padding: 6px 14px. Font size: 13px, weight 500.</w:t>
      </w:r>
    </w:p>
    <w:p>
      <w:pPr>
        <w:spacing w:after="60"/>
      </w:pPr>
    </w:p>
    <w:p>
      <w:pPr>
        <w:pStyle w:val="Heading3"/>
      </w:pPr>
      <w:r>
        <w:rPr>
          <w:rFonts w:ascii="Arial" w:cs="Arial" w:eastAsia="Arial" w:hAnsi="Arial"/>
        </w:rPr>
        <w:t xml:space="preserve">Form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026"/>
            <w:tcBorders>
              <w:top w:val="single" w:color="444444" w:sz="1"/>
              <w:left w:val="single" w:color="444444" w:sz="1"/>
              <w:bottom w:val="single" w:color="444444" w:sz="1"/>
              <w:right w:val="single" w:color="444444" w:sz="1"/>
            </w:tcBorders>
            <w:shd w:fill="1A1E2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Height</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36px (compact) / 44px (standard)</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Background</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#12151B (surface)</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Border</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0.5px #2E3440</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Border (focus)</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1px #FF2D2D</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Border radius</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8px</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Text colour</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#F9FAFB</w:t>
            </w:r>
          </w:p>
        </w:tc>
      </w:tr>
      <w:tr>
        <w:tc>
          <w:tcPr>
            <w:tcW w:type="dxa" w:w="3000"/>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Placeholder</w:t>
            </w:r>
          </w:p>
        </w:tc>
        <w:tc>
          <w:tcPr>
            <w:tcW w:type="dxa" w:w="6026"/>
            <w:tcBorders>
              <w:top w:val="single" w:color="444444" w:sz="1"/>
              <w:left w:val="single" w:color="444444" w:sz="1"/>
              <w:bottom w:val="single" w:color="444444" w:sz="1"/>
              <w:right w:val="single" w:color="444444" w:sz="1"/>
            </w:tcBorders>
            <w:tcMar>
              <w:top w:type="dxa" w:w="80"/>
              <w:left w:type="dxa" w:w="120"/>
              <w:bottom w:type="dxa" w:w="80"/>
              <w:right w:type="dxa" w:w="120"/>
            </w:tcMar>
          </w:tcPr>
          <w:p>
            <w:r>
              <w:rPr>
                <w:rFonts w:ascii="Arial" w:cs="Arial" w:eastAsia="Arial" w:hAnsi="Arial"/>
                <w:color w:val="222222"/>
                <w:sz w:val="20"/>
                <w:szCs w:val="20"/>
              </w:rPr>
              <w:t xml:space="preserve">#6B7280</w:t>
            </w:r>
          </w:p>
        </w:tc>
      </w:tr>
    </w:tbl>
    <w:p>
      <w:pPr>
        <w:spacing w:after="60"/>
      </w:pPr>
    </w:p>
    <w:p>
      <w:pPr>
        <w:pStyle w:val="Heading2"/>
      </w:pPr>
      <w:r>
        <w:rPr>
          <w:rFonts w:ascii="Arial" w:cs="Arial" w:eastAsia="Arial" w:hAnsi="Arial"/>
        </w:rPr>
        <w:t xml:space="preserve">Iconography</w:t>
      </w:r>
    </w:p>
    <w:p>
      <w:pPr>
        <w:spacing w:after="120"/>
      </w:pPr>
      <w:r>
        <w:rPr>
          <w:rFonts w:ascii="Arial" w:cs="Arial" w:eastAsia="Arial" w:hAnsi="Arial"/>
          <w:b w:val="false"/>
          <w:bCs w:val="false"/>
          <w:i w:val="false"/>
          <w:iCs w:val="false"/>
          <w:color w:val="222222"/>
          <w:sz w:val="22"/>
          <w:szCs w:val="22"/>
        </w:rPr>
        <w:t xml:space="preserve">Icon library: Lucide Icons (open-source, consistent 24px grid, 1.5px stroke weight). This matches the thin-line aesthetic of the design system.</w:t>
      </w:r>
    </w:p>
    <w:p>
      <w:pPr>
        <w:spacing w:after="120"/>
      </w:pPr>
      <w:r>
        <w:rPr>
          <w:rFonts w:ascii="Arial" w:cs="Arial" w:eastAsia="Arial" w:hAnsi="Arial"/>
          <w:b w:val="false"/>
          <w:bCs w:val="false"/>
          <w:i w:val="false"/>
          <w:iCs w:val="false"/>
          <w:color w:val="222222"/>
          <w:sz w:val="22"/>
          <w:szCs w:val="22"/>
        </w:rPr>
        <w:t xml:space="preserve">Icon sizes: 16px (inline with text), 20px (buttons and nav), 24px (card headers and empty states).</w:t>
      </w:r>
    </w:p>
    <w:p>
      <w:pPr>
        <w:spacing w:after="120"/>
      </w:pPr>
      <w:r>
        <w:rPr>
          <w:rFonts w:ascii="Arial" w:cs="Arial" w:eastAsia="Arial" w:hAnsi="Arial"/>
          <w:b w:val="false"/>
          <w:bCs w:val="false"/>
          <w:i w:val="false"/>
          <w:iCs w:val="false"/>
          <w:color w:val="222222"/>
          <w:sz w:val="22"/>
          <w:szCs w:val="22"/>
        </w:rPr>
        <w:t xml:space="preserve">Icon colour: inherits text colour by default. Status icons use the corresponding status colour.</w:t>
      </w:r>
    </w:p>
    <w:p>
      <w:pPr>
        <w:spacing w:after="60"/>
      </w:pPr>
    </w:p>
    <w:p>
      <w:pPr>
        <w:pStyle w:val="Heading2"/>
      </w:pPr>
      <w:r>
        <w:rPr>
          <w:rFonts w:ascii="Arial" w:cs="Arial" w:eastAsia="Arial" w:hAnsi="Arial"/>
        </w:rPr>
        <w:t xml:space="preserve">Map styling</w:t>
      </w:r>
    </w:p>
    <w:p>
      <w:pPr>
        <w:spacing w:after="120"/>
      </w:pPr>
      <w:r>
        <w:rPr>
          <w:rFonts w:ascii="Arial" w:cs="Arial" w:eastAsia="Arial" w:hAnsi="Arial"/>
          <w:b w:val="false"/>
          <w:bCs w:val="false"/>
          <w:i w:val="false"/>
          <w:iCs w:val="false"/>
          <w:color w:val="222222"/>
          <w:sz w:val="22"/>
          <w:szCs w:val="22"/>
        </w:rPr>
        <w:t xml:space="preserve">Google Maps with a custom dark style (Aubergine or Silver Dark preset, then override water/road/poi colours to match the background scale). Map pins use the five vehicle status colours with a white border for legibility against the dark basemap.</w:t>
      </w:r>
    </w:p>
    <w:p>
      <w:pPr>
        <w:spacing w:after="120"/>
      </w:pPr>
      <w:r>
        <w:rPr>
          <w:rFonts w:ascii="Arial" w:cs="Arial" w:eastAsia="Arial" w:hAnsi="Arial"/>
          <w:b w:val="false"/>
          <w:bCs w:val="false"/>
          <w:i w:val="false"/>
          <w:iCs w:val="false"/>
          <w:color w:val="222222"/>
          <w:sz w:val="22"/>
          <w:szCs w:val="22"/>
        </w:rPr>
        <w:t xml:space="preserve">Selected vehicle pin: scale 1.3x with a pulsing ring animation in brand red.</w:t>
      </w:r>
    </w:p>
    <w:p>
      <w:pPr>
        <w:spacing w:after="120"/>
      </w:pPr>
      <w:r>
        <w:rPr>
          <w:rFonts w:ascii="Arial" w:cs="Arial" w:eastAsia="Arial" w:hAnsi="Arial"/>
          <w:b w:val="false"/>
          <w:bCs w:val="false"/>
          <w:i w:val="false"/>
          <w:iCs w:val="false"/>
          <w:color w:val="222222"/>
          <w:sz w:val="22"/>
          <w:szCs w:val="22"/>
        </w:rPr>
        <w:t xml:space="preserve">Route overlay: 3px solid line in brand red (#FF2D2D) with 40% opacity fill.</w:t>
      </w:r>
    </w:p>
    <w:p>
      <w:pPr>
        <w:spacing w:after="60"/>
      </w:pPr>
    </w:p>
    <w:p>
      <w:pPr>
        <w:pStyle w:val="Heading2"/>
      </w:pPr>
      <w:r>
        <w:rPr>
          <w:rFonts w:ascii="Arial" w:cs="Arial" w:eastAsia="Arial" w:hAnsi="Arial"/>
        </w:rPr>
        <w:t xml:space="preserve">Logo &amp; brand mark</w:t>
      </w:r>
    </w:p>
    <w:p>
      <w:pPr>
        <w:spacing w:after="120"/>
      </w:pPr>
      <w:r>
        <w:rPr>
          <w:rFonts w:ascii="Arial" w:cs="Arial" w:eastAsia="Arial" w:hAnsi="Arial"/>
          <w:b w:val="false"/>
          <w:bCs w:val="false"/>
          <w:i w:val="false"/>
          <w:iCs w:val="false"/>
          <w:color w:val="222222"/>
          <w:sz w:val="22"/>
          <w:szCs w:val="22"/>
        </w:rPr>
        <w:t xml:space="preserve">The Red Taxi logo is text-based: the word 'red' in lowercase Inter 700 (bold) in #FF2D2D, followed by 'taxi' in lowercase Inter 400 (regular) in #F9FAFB (dark mode) or #111827 (light mode). No icon mark for v1. The wordmark sits in the top-left of the sidebar at 20px size.</w:t>
      </w:r>
    </w:p>
    <w:p>
      <w:pPr>
        <w:spacing w:after="120"/>
      </w:pPr>
      <w:r>
        <w:rPr>
          <w:rFonts w:ascii="Arial" w:cs="Arial" w:eastAsia="Arial" w:hAnsi="Arial"/>
          <w:b w:val="false"/>
          <w:bCs w:val="false"/>
          <w:i w:val="false"/>
          <w:iCs w:val="false"/>
          <w:color w:val="222222"/>
          <w:sz w:val="22"/>
          <w:szCs w:val="22"/>
        </w:rPr>
        <w:t xml:space="preserve">Favicon: a red square (rounded 4px) with a white 'R' in Inter 700. This is simple to generate programmatically and reads clearly at 16x16.</w:t>
      </w:r>
    </w:p>
    <w:p>
      <w:pPr>
        <w:spacing w:after="60"/>
      </w:pPr>
    </w:p>
    <w:p>
      <w:pPr>
        <w:pStyle w:val="Heading2"/>
      </w:pPr>
      <w:r>
        <w:rPr>
          <w:rFonts w:ascii="Arial" w:cs="Arial" w:eastAsia="Arial" w:hAnsi="Arial"/>
        </w:rPr>
        <w:t xml:space="preserve">Dark/light mode strategy</w:t>
      </w:r>
    </w:p>
    <w:p>
      <w:pPr>
        <w:spacing w:after="120"/>
      </w:pPr>
      <w:r>
        <w:rPr>
          <w:rFonts w:ascii="Arial" w:cs="Arial" w:eastAsia="Arial" w:hAnsi="Arial"/>
          <w:b w:val="false"/>
          <w:bCs w:val="false"/>
          <w:i w:val="false"/>
          <w:iCs w:val="false"/>
          <w:color w:val="222222"/>
          <w:sz w:val="22"/>
          <w:szCs w:val="22"/>
        </w:rPr>
        <w:t xml:space="preserve">Dark is the default and the design target. Light mode inverts the background scale (see above) and swaps text colours. Status colours, brand red, and semantic colours remain unchanged between modes.</w:t>
      </w:r>
    </w:p>
    <w:p>
      <w:pPr>
        <w:spacing w:after="120"/>
      </w:pPr>
      <w:r>
        <w:rPr>
          <w:rFonts w:ascii="Arial" w:cs="Arial" w:eastAsia="Arial" w:hAnsi="Arial"/>
          <w:b w:val="false"/>
          <w:bCs w:val="false"/>
          <w:i w:val="false"/>
          <w:iCs w:val="false"/>
          <w:color w:val="222222"/>
          <w:sz w:val="22"/>
          <w:szCs w:val="22"/>
        </w:rPr>
        <w:t xml:space="preserve">Implementation: CSS custom properties at :root level, toggled via a data-theme attribute on &lt;html&gt;. No separate stylesheet.</w:t>
      </w:r>
    </w:p>
    <w:p>
      <w:pPr>
        <w:spacing w:after="120"/>
      </w:pPr>
      <w:r>
        <w:rPr>
          <w:rFonts w:ascii="Arial" w:cs="Arial" w:eastAsia="Arial" w:hAnsi="Arial"/>
          <w:b w:val="false"/>
          <w:bCs w:val="false"/>
          <w:i w:val="false"/>
          <w:iCs w:val="false"/>
          <w:color w:val="222222"/>
          <w:sz w:val="22"/>
          <w:szCs w:val="22"/>
        </w:rPr>
        <w:t xml:space="preserve">Syncfusion theme: use the Material Dark palette as the base, overriding primary/accent with the brand red tokens. For light mode, use Material Light with the same overrides.</w:t>
      </w:r>
    </w:p>
    <w:p>
      <w:pPr>
        <w:spacing w:after="60"/>
      </w:pPr>
    </w:p>
    <w:p>
      <w:pPr>
        <w:pStyle w:val="Heading2"/>
      </w:pPr>
      <w:r>
        <w:rPr>
          <w:rFonts w:ascii="Arial" w:cs="Arial" w:eastAsia="Arial" w:hAnsi="Arial"/>
        </w:rPr>
        <w:t xml:space="preserve">Design tokens (machine-readable reference)</w:t>
      </w:r>
    </w:p>
    <w:p>
      <w:pPr>
        <w:spacing w:after="120"/>
      </w:pPr>
      <w:r>
        <w:rPr>
          <w:rFonts w:ascii="Arial" w:cs="Arial" w:eastAsia="Arial" w:hAnsi="Arial"/>
          <w:b w:val="false"/>
          <w:bCs w:val="false"/>
          <w:i w:val="false"/>
          <w:iCs w:val="false"/>
          <w:color w:val="222222"/>
          <w:sz w:val="22"/>
          <w:szCs w:val="22"/>
        </w:rPr>
        <w:t xml:space="preserve">The following JSON structure should be used to generate CSS custom properties, Tailwind config extensions, and Syncfusion theme overrides. Store as design-tokens.json in the repo root.</w:t>
      </w:r>
    </w:p>
    <w:p>
      <w:pPr>
        <w:spacing w:after="60"/>
      </w:pPr>
    </w:p>
    <w:p>
      <w:pPr>
        <w:spacing w:after="60"/>
      </w:pPr>
      <w:r>
        <w:rPr>
          <w:rFonts w:ascii="Consolas" w:cs="Consolas" w:eastAsia="Consolas" w:hAnsi="Consolas"/>
          <w:color w:val="333333"/>
          <w:sz w:val="16"/>
          <w:szCs w:val="16"/>
        </w:rPr>
        <w:t xml:space="preserve">{
  "color": {
    "bg": {
      "base":     { "dark": "#0B0D11", "light": "#FFFFFF" },
      "surface":  { "dark": "#12151B", "light": "#F8F9FA" },
      "card":     { "dark": "#1A1E27", "light": "#F1F3F5" },
      "elevated": { "dark": "#242934", "light": "#E9ECEF" },
      "hover":    { "dark": "#2E3440", "light": "#DEE2E6" }
    },
    "brand": {
      "300": "#FF6B6B",
      "500": "#FF2D2D",
      "600": "#E62626",
      "900": "#331010"
    },
    "status": {
      "available":  { "fg": "#34D399", "bg": "#0D2E1A" },
      "onJob":      { "fg": "#FBBF24", "bg": "#2D2206" },
      "dispatched": { "fg": "#A78BFA", "bg": "#1A1333" },
      "offline":    { "fg": "#FF6B6B", "bg": "#331010" },
      "onBreak":    { "fg": "#38BDF8", "bg": "#0C2333" }
    },
    "semantic": {
      "success": "#34D399",
      "warning": "#FBBF24",
      "danger":  "#FF6B6B",
      "info":    "#38BDF8"
    },
    "text": {
      "primary":   { "dark": "#F9FAFB", "light": "#111827" },
      "secondary": { "dark": "#9CA3AF", "light": "#6B7280" },
      "tertiary":  { "dark": "#6B7280", "light": "#9CA3AF" }
    },
    "border": {
      "subtle": { "dark": "#ffffff0f", "light": "#00000010" },
      "default":{ "dark": "#2E3440",   "light": "#DEE2E6"  },
      "focus":  "#FF2D2D"
    }
  },
  "typography": {
    "fontFamily": {
      "sans":  "Inter, system-ui, -apple-system, sans-serif",
      "mono":  "JetBrains Mono, Consolas, monospace"
    },
    "fontSize": {
      "xs": "12px", "sm": "13px", "base": "14px",
      "lg": "18px", "xl": "24px", "2xl": "28px", "3xl": "32px"
    }
  },
  "spacing": {
    "xs": "4px", "sm": "8px", "md": "12px",
    "base": "16px", "lg": "24px", "xl": "32px", "2xl": "48px"
  },
  "radius": {
    "sm": "4px", "md": "8px", "lg": "12px", "pill": "20px"
  }
}</w:t>
      </w:r>
    </w:p>
    <w:p>
      <w:pPr>
        <w:spacing w:after="60"/>
      </w:pPr>
    </w:p>
    <w:p>
      <w:pPr>
        <w:pStyle w:val="Heading2"/>
      </w:pPr>
      <w:r>
        <w:rPr>
          <w:rFonts w:ascii="Arial" w:cs="Arial" w:eastAsia="Arial" w:hAnsi="Arial"/>
        </w:rPr>
        <w:t xml:space="preserve">Implementation notes for Claude Code</w:t>
      </w:r>
    </w:p>
    <w:p>
      <w:pPr>
        <w:spacing w:after="120"/>
      </w:pPr>
      <w:r>
        <w:rPr>
          <w:rFonts w:ascii="Arial" w:cs="Arial" w:eastAsia="Arial" w:hAnsi="Arial"/>
          <w:b w:val="false"/>
          <w:bCs w:val="false"/>
          <w:i w:val="false"/>
          <w:iCs w:val="false"/>
          <w:color w:val="222222"/>
          <w:sz w:val="22"/>
          <w:szCs w:val="22"/>
        </w:rPr>
        <w:t xml:space="preserve">When generating UI components, Claude Code must:</w:t>
      </w:r>
    </w:p>
    <w:p>
      <w:pPr>
        <w:pStyle w:val="ListParagraph"/>
        <w:numPr>
          <w:ilvl w:val="0"/>
          <w:numId w:val="2"/>
        </w:numPr>
      </w:pPr>
      <w:r>
        <w:rPr>
          <w:rFonts w:ascii="Arial" w:cs="Arial" w:eastAsia="Arial" w:hAnsi="Arial"/>
          <w:sz w:val="22"/>
          <w:szCs w:val="22"/>
        </w:rPr>
        <w:t xml:space="preserve">Import design-tokens.json and generate CSS custom properties at build time.</w:t>
      </w:r>
    </w:p>
    <w:p>
      <w:pPr>
        <w:pStyle w:val="ListParagraph"/>
        <w:numPr>
          <w:ilvl w:val="0"/>
          <w:numId w:val="2"/>
        </w:numPr>
      </w:pPr>
      <w:r>
        <w:rPr>
          <w:rFonts w:ascii="Arial" w:cs="Arial" w:eastAsia="Arial" w:hAnsi="Arial"/>
          <w:sz w:val="22"/>
          <w:szCs w:val="22"/>
        </w:rPr>
        <w:t xml:space="preserve">Use the Syncfusion Material Dark theme as base, overriding --color-sf-primary with #FF2D2D.</w:t>
      </w:r>
    </w:p>
    <w:p>
      <w:pPr>
        <w:pStyle w:val="ListParagraph"/>
        <w:numPr>
          <w:ilvl w:val="0"/>
          <w:numId w:val="2"/>
        </w:numPr>
      </w:pPr>
      <w:r>
        <w:rPr>
          <w:rFonts w:ascii="Arial" w:cs="Arial" w:eastAsia="Arial" w:hAnsi="Arial"/>
          <w:sz w:val="22"/>
          <w:szCs w:val="22"/>
        </w:rPr>
        <w:t xml:space="preserve">Never use hardcoded hex values in component code. Always reference CSS variables (e.g. var(--color-brand-500)).</w:t>
      </w:r>
    </w:p>
    <w:p>
      <w:pPr>
        <w:pStyle w:val="ListParagraph"/>
        <w:numPr>
          <w:ilvl w:val="0"/>
          <w:numId w:val="2"/>
        </w:numPr>
      </w:pPr>
      <w:r>
        <w:rPr>
          <w:rFonts w:ascii="Arial" w:cs="Arial" w:eastAsia="Arial" w:hAnsi="Arial"/>
          <w:sz w:val="22"/>
          <w:szCs w:val="22"/>
        </w:rPr>
        <w:t xml:space="preserve">Status pills must always use the foreground/background pairs from the status table. Never use status colours for non-status purposes.</w:t>
      </w:r>
    </w:p>
    <w:p>
      <w:pPr>
        <w:pStyle w:val="ListParagraph"/>
        <w:numPr>
          <w:ilvl w:val="0"/>
          <w:numId w:val="2"/>
        </w:numPr>
      </w:pPr>
      <w:r>
        <w:rPr>
          <w:rFonts w:ascii="Arial" w:cs="Arial" w:eastAsia="Arial" w:hAnsi="Arial"/>
          <w:sz w:val="22"/>
          <w:szCs w:val="22"/>
        </w:rPr>
        <w:t xml:space="preserve">All number displays (fares, distances, counts) must use font-variant-numeric: tabular-nums.</w:t>
      </w:r>
    </w:p>
    <w:p>
      <w:pPr>
        <w:pStyle w:val="ListParagraph"/>
        <w:numPr>
          <w:ilvl w:val="0"/>
          <w:numId w:val="2"/>
        </w:numPr>
      </w:pPr>
      <w:r>
        <w:rPr>
          <w:rFonts w:ascii="Arial" w:cs="Arial" w:eastAsia="Arial" w:hAnsi="Arial"/>
          <w:sz w:val="22"/>
          <w:szCs w:val="22"/>
        </w:rPr>
        <w:t xml:space="preserve">The dispatch console sidebar is bg-surface (#12151B), the main content area is bg-base (#0B0D11), and cards float on bg-card (#1A1E27).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2D2D"/>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22222"/>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2026-03-16T21:59:57.748Z</dcterms:created>
  <dcterms:modified xsi:type="dcterms:W3CDTF">2026-03-16T21:59:57.749Z</dcterms:modified>
</cp:coreProperties>
</file>

<file path=docProps/custom.xml><?xml version="1.0" encoding="utf-8"?>
<Properties xmlns="http://schemas.openxmlformats.org/officeDocument/2006/custom-properties" xmlns:vt="http://schemas.openxmlformats.org/officeDocument/2006/docPropsVTypes"/>
</file>