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F3D" w:rsidRPr="003A73F3" w:rsidRDefault="00576EAE" w:rsidP="00AE2300">
      <w:pPr>
        <w:spacing w:before="360"/>
        <w:jc w:val="center"/>
        <w:rPr>
          <w:rFonts w:eastAsia="PMingLiU"/>
          <w:b/>
          <w:sz w:val="28"/>
          <w:szCs w:val="28"/>
          <w:lang w:eastAsia="zh-TW"/>
        </w:rPr>
      </w:pPr>
      <w:r w:rsidRPr="00576EAE">
        <w:rPr>
          <w:rFonts w:eastAsia="PMingLiU"/>
          <w:b/>
          <w:sz w:val="28"/>
          <w:szCs w:val="28"/>
          <w:lang w:eastAsia="zh-TW"/>
        </w:rPr>
        <w:t>Ultrahigh Capacitive Energy Storage in a Heterogeneous PbHfO</w:t>
      </w:r>
      <w:r w:rsidR="002743C7" w:rsidRPr="002743C7">
        <w:rPr>
          <w:rFonts w:eastAsia="PMingLiU"/>
          <w:b/>
          <w:sz w:val="28"/>
          <w:szCs w:val="28"/>
          <w:vertAlign w:val="subscript"/>
          <w:lang w:eastAsia="zh-TW"/>
        </w:rPr>
        <w:t>3</w:t>
      </w:r>
      <w:r w:rsidRPr="00576EAE">
        <w:rPr>
          <w:rFonts w:eastAsia="PMingLiU"/>
          <w:b/>
          <w:sz w:val="28"/>
          <w:szCs w:val="28"/>
          <w:lang w:eastAsia="zh-TW"/>
        </w:rPr>
        <w:t>/SrHfO</w:t>
      </w:r>
      <w:r w:rsidR="002743C7" w:rsidRPr="002743C7">
        <w:rPr>
          <w:rFonts w:eastAsia="PMingLiU"/>
          <w:b/>
          <w:sz w:val="28"/>
          <w:szCs w:val="28"/>
          <w:vertAlign w:val="subscript"/>
          <w:lang w:eastAsia="zh-TW"/>
        </w:rPr>
        <w:t>3</w:t>
      </w:r>
      <w:r w:rsidRPr="00576EAE">
        <w:rPr>
          <w:rFonts w:eastAsia="PMingLiU"/>
          <w:b/>
          <w:sz w:val="28"/>
          <w:szCs w:val="28"/>
          <w:lang w:eastAsia="zh-TW"/>
        </w:rPr>
        <w:t xml:space="preserve"> Composite</w:t>
      </w:r>
    </w:p>
    <w:p w:rsidR="00926F3D" w:rsidRPr="00710F68" w:rsidRDefault="00926F3D" w:rsidP="005C5F9D">
      <w:pPr>
        <w:jc w:val="center"/>
        <w:rPr>
          <w:b/>
          <w:color w:val="000000"/>
        </w:rPr>
      </w:pPr>
    </w:p>
    <w:p w:rsidR="00926F3D" w:rsidRDefault="0009544F" w:rsidP="005C5F9D">
      <w:pPr>
        <w:jc w:val="center"/>
        <w:rPr>
          <w:rFonts w:eastAsia="DengXian"/>
          <w:b/>
          <w:snapToGrid w:val="0"/>
          <w:color w:val="000000"/>
        </w:rPr>
      </w:pPr>
      <w:r w:rsidRPr="0009544F">
        <w:rPr>
          <w:rFonts w:eastAsia="PMingLiU"/>
          <w:b/>
          <w:color w:val="000000"/>
          <w:lang w:eastAsia="zh-TW"/>
        </w:rPr>
        <w:t>Yan Li</w:t>
      </w:r>
      <w:r w:rsidR="008F4C6B" w:rsidRPr="008F4C6B">
        <w:rPr>
          <w:rFonts w:eastAsia="PMingLiU"/>
          <w:b/>
          <w:color w:val="000000"/>
          <w:lang w:eastAsia="zh-TW"/>
        </w:rPr>
        <w:t xml:space="preserve">¹, </w:t>
      </w:r>
      <w:r>
        <w:rPr>
          <w:rFonts w:eastAsia="PMingLiU" w:hint="eastAsia"/>
          <w:b/>
          <w:color w:val="000000"/>
        </w:rPr>
        <w:t>and</w:t>
      </w:r>
      <w:r>
        <w:rPr>
          <w:rFonts w:eastAsia="PMingLiU"/>
          <w:b/>
          <w:color w:val="000000"/>
        </w:rPr>
        <w:t xml:space="preserve"> </w:t>
      </w:r>
      <w:proofErr w:type="spellStart"/>
      <w:r w:rsidRPr="0009544F">
        <w:rPr>
          <w:rFonts w:eastAsia="PMingLiU"/>
          <w:b/>
          <w:color w:val="000000"/>
          <w:lang w:eastAsia="zh-TW"/>
        </w:rPr>
        <w:t>Tongqing</w:t>
      </w:r>
      <w:proofErr w:type="spellEnd"/>
      <w:r w:rsidRPr="0009544F">
        <w:rPr>
          <w:rFonts w:eastAsia="PMingLiU"/>
          <w:b/>
          <w:color w:val="000000"/>
          <w:lang w:eastAsia="zh-TW"/>
        </w:rPr>
        <w:t xml:space="preserve"> Yang</w:t>
      </w:r>
      <w:r w:rsidR="008F4C6B" w:rsidRPr="008F4C6B">
        <w:rPr>
          <w:rFonts w:eastAsia="PMingLiU"/>
          <w:b/>
          <w:color w:val="000000"/>
          <w:lang w:eastAsia="zh-TW"/>
        </w:rPr>
        <w:t>*</w:t>
      </w:r>
      <w:r w:rsidR="008F4C6B" w:rsidRPr="0009544F">
        <w:rPr>
          <w:rFonts w:eastAsia="PMingLiU"/>
          <w:b/>
          <w:color w:val="000000"/>
          <w:vertAlign w:val="superscript"/>
          <w:lang w:eastAsia="zh-TW"/>
        </w:rPr>
        <w:t>,</w:t>
      </w:r>
      <w:r w:rsidRPr="0009544F">
        <w:rPr>
          <w:rFonts w:eastAsia="PMingLiU"/>
          <w:b/>
          <w:color w:val="000000"/>
          <w:vertAlign w:val="superscript"/>
          <w:lang w:eastAsia="zh-TW"/>
        </w:rPr>
        <w:t>1</w:t>
      </w:r>
    </w:p>
    <w:p w:rsidR="00926F3D" w:rsidRPr="0009544F" w:rsidRDefault="008F4C6B" w:rsidP="0009544F">
      <w:pPr>
        <w:jc w:val="center"/>
        <w:rPr>
          <w:rFonts w:eastAsia="DengXian" w:hint="eastAsia"/>
          <w:sz w:val="20"/>
        </w:rPr>
      </w:pPr>
      <w:r w:rsidRPr="008F4C6B">
        <w:rPr>
          <w:rFonts w:eastAsia="PMingLiU" w:hint="eastAsia"/>
          <w:sz w:val="20"/>
          <w:lang w:eastAsia="zh-TW"/>
        </w:rPr>
        <w:t>¹</w:t>
      </w:r>
      <w:r w:rsidR="0009544F" w:rsidRPr="0009544F">
        <w:rPr>
          <w:rFonts w:eastAsia="PMingLiU"/>
          <w:sz w:val="20"/>
          <w:lang w:eastAsia="zh-TW"/>
        </w:rPr>
        <w:t>Key Laboratory of Advanced Civil Engineering Materials of the Ministry of Education, Functional Materials Research Laboratory, School of Materials Science and Engineering</w:t>
      </w:r>
      <w:r w:rsidRPr="008F4C6B">
        <w:rPr>
          <w:rFonts w:eastAsia="PMingLiU"/>
          <w:sz w:val="20"/>
          <w:lang w:eastAsia="zh-TW"/>
        </w:rPr>
        <w:t>, Tongji University, Shanghai, China</w:t>
      </w:r>
    </w:p>
    <w:p w:rsidR="00926F3D" w:rsidRPr="00B13AB6" w:rsidRDefault="00926F3D" w:rsidP="005C5F9D">
      <w:pPr>
        <w:jc w:val="center"/>
        <w:rPr>
          <w:rFonts w:eastAsia="PMingLiU"/>
          <w:sz w:val="16"/>
          <w:szCs w:val="16"/>
          <w:lang w:eastAsia="zh-TW"/>
        </w:rPr>
      </w:pPr>
    </w:p>
    <w:p w:rsidR="00926F3D" w:rsidRDefault="00926F3D" w:rsidP="005C5F9D">
      <w:pPr>
        <w:jc w:val="center"/>
        <w:rPr>
          <w:sz w:val="20"/>
        </w:rPr>
      </w:pPr>
      <w:r w:rsidRPr="00924DCC">
        <w:rPr>
          <w:rFonts w:eastAsia="PMingLiU" w:hint="eastAsia"/>
          <w:sz w:val="20"/>
          <w:lang w:eastAsia="zh-TW"/>
        </w:rPr>
        <w:t xml:space="preserve">*Corresponding author: </w:t>
      </w:r>
      <w:r w:rsidR="00576EAE" w:rsidRPr="00576EAE">
        <w:rPr>
          <w:rFonts w:eastAsia="PMingLiU"/>
          <w:sz w:val="20"/>
          <w:lang w:eastAsia="zh-TW"/>
        </w:rPr>
        <w:t>Yangtongqing@tongji.edu.cn</w:t>
      </w:r>
    </w:p>
    <w:p w:rsidR="00FD6BC6" w:rsidRPr="00924DCC" w:rsidRDefault="00FD6BC6" w:rsidP="005C5F9D">
      <w:pPr>
        <w:jc w:val="center"/>
        <w:rPr>
          <w:sz w:val="20"/>
        </w:rPr>
      </w:pPr>
      <w:r w:rsidRPr="00FD6BC6">
        <w:rPr>
          <w:sz w:val="20"/>
          <w:vertAlign w:val="superscript"/>
        </w:rPr>
        <w:t>#</w:t>
      </w:r>
      <w:r>
        <w:rPr>
          <w:sz w:val="20"/>
        </w:rPr>
        <w:t xml:space="preserve"> Presenter: </w:t>
      </w:r>
      <w:r w:rsidR="00576EAE">
        <w:rPr>
          <w:sz w:val="20"/>
        </w:rPr>
        <w:t>2011222</w:t>
      </w:r>
      <w:r w:rsidR="00576EAE" w:rsidRPr="00576EAE">
        <w:rPr>
          <w:rFonts w:eastAsia="PMingLiU"/>
          <w:sz w:val="20"/>
          <w:lang w:eastAsia="zh-TW"/>
        </w:rPr>
        <w:t>@tongji.edu.cn</w:t>
      </w:r>
    </w:p>
    <w:p w:rsidR="00926F3D" w:rsidRPr="00710F68" w:rsidRDefault="00926F3D" w:rsidP="005C5F9D"/>
    <w:p w:rsidR="005C5F9D" w:rsidRPr="00635FF6" w:rsidRDefault="0009544F" w:rsidP="005C5F9D">
      <w:pPr>
        <w:rPr>
          <w:szCs w:val="24"/>
        </w:rPr>
      </w:pPr>
      <w:r w:rsidRPr="0009544F">
        <w:rPr>
          <w:rStyle w:val="style151"/>
          <w:sz w:val="24"/>
          <w:szCs w:val="24"/>
        </w:rPr>
        <w:t>Dielectric capacitors capable of rapid charge–discharge operations are crucial for pulsed power and high-energy electronic systems, yet their recoverable energy density (</w:t>
      </w:r>
      <w:proofErr w:type="spellStart"/>
      <w:r w:rsidRPr="0009544F">
        <w:rPr>
          <w:rStyle w:val="style151"/>
          <w:i/>
          <w:iCs/>
          <w:sz w:val="24"/>
          <w:szCs w:val="24"/>
        </w:rPr>
        <w:t>W</w:t>
      </w:r>
      <w:r w:rsidRPr="0009544F">
        <w:rPr>
          <w:rStyle w:val="style151"/>
          <w:sz w:val="24"/>
          <w:szCs w:val="24"/>
          <w:vertAlign w:val="subscript"/>
        </w:rPr>
        <w:t>rec</w:t>
      </w:r>
      <w:proofErr w:type="spellEnd"/>
      <w:r w:rsidRPr="0009544F">
        <w:rPr>
          <w:rStyle w:val="style151"/>
          <w:sz w:val="24"/>
          <w:szCs w:val="24"/>
          <w:vertAlign w:val="subscript"/>
        </w:rPr>
        <w:t>)</w:t>
      </w:r>
      <w:r w:rsidRPr="0009544F">
        <w:rPr>
          <w:rStyle w:val="style151"/>
          <w:sz w:val="24"/>
          <w:szCs w:val="24"/>
        </w:rPr>
        <w:t xml:space="preserve"> remains far below that of electrochemical devices due to the intrinsic trade-off between polarization (Δ</w:t>
      </w:r>
      <w:r w:rsidRPr="0009544F">
        <w:rPr>
          <w:rStyle w:val="style151"/>
          <w:i/>
          <w:iCs/>
          <w:sz w:val="24"/>
          <w:szCs w:val="24"/>
        </w:rPr>
        <w:t>P</w:t>
      </w:r>
      <w:r w:rsidRPr="0009544F">
        <w:rPr>
          <w:rStyle w:val="style151"/>
          <w:sz w:val="24"/>
          <w:szCs w:val="24"/>
        </w:rPr>
        <w:t>) and breakdown strength (</w:t>
      </w:r>
      <w:r w:rsidRPr="0009544F">
        <w:rPr>
          <w:rStyle w:val="style151"/>
          <w:i/>
          <w:iCs/>
          <w:sz w:val="24"/>
          <w:szCs w:val="24"/>
        </w:rPr>
        <w:t>E</w:t>
      </w:r>
      <w:r w:rsidRPr="0009544F">
        <w:rPr>
          <w:rStyle w:val="style151"/>
          <w:sz w:val="24"/>
          <w:szCs w:val="24"/>
          <w:vertAlign w:val="subscript"/>
        </w:rPr>
        <w:t>B</w:t>
      </w:r>
      <w:r w:rsidRPr="0009544F">
        <w:rPr>
          <w:rStyle w:val="style151"/>
          <w:sz w:val="24"/>
          <w:szCs w:val="24"/>
        </w:rPr>
        <w:t>). Here, a heterostructure strategy is proposed to overcome this limitation by integrating antiferroelectric PbHfO</w:t>
      </w:r>
      <w:r w:rsidR="0000169D" w:rsidRPr="0000169D">
        <w:rPr>
          <w:rStyle w:val="style151"/>
          <w:sz w:val="24"/>
          <w:szCs w:val="24"/>
          <w:vertAlign w:val="subscript"/>
        </w:rPr>
        <w:t>3</w:t>
      </w:r>
      <w:r w:rsidRPr="0009544F">
        <w:rPr>
          <w:rStyle w:val="style151"/>
          <w:sz w:val="24"/>
          <w:szCs w:val="24"/>
        </w:rPr>
        <w:t xml:space="preserve"> (PH) and linear SrHfO</w:t>
      </w:r>
      <w:r w:rsidR="0000169D" w:rsidRPr="0000169D">
        <w:rPr>
          <w:rStyle w:val="style151"/>
          <w:sz w:val="24"/>
          <w:szCs w:val="24"/>
          <w:vertAlign w:val="subscript"/>
        </w:rPr>
        <w:t>3</w:t>
      </w:r>
      <w:r w:rsidRPr="0009544F">
        <w:rPr>
          <w:rStyle w:val="style151"/>
          <w:sz w:val="24"/>
          <w:szCs w:val="24"/>
        </w:rPr>
        <w:t xml:space="preserve"> (SH) into a laminated architecture. </w:t>
      </w:r>
      <w:r w:rsidR="00635FF6">
        <w:t xml:space="preserve">By optimizing the PH/SH thickness ratio, tailored </w:t>
      </w:r>
      <w:r w:rsidR="00635FF6" w:rsidRPr="00635FF6">
        <w:rPr>
          <w:i/>
          <w:iCs/>
        </w:rPr>
        <w:t>P</w:t>
      </w:r>
      <w:r w:rsidR="00635FF6" w:rsidRPr="00635FF6">
        <w:rPr>
          <w:i/>
          <w:iCs/>
        </w:rPr>
        <w:t>-</w:t>
      </w:r>
      <w:r w:rsidR="00635FF6" w:rsidRPr="00635FF6">
        <w:rPr>
          <w:i/>
          <w:iCs/>
        </w:rPr>
        <w:t>E</w:t>
      </w:r>
      <w:r w:rsidR="00635FF6">
        <w:t xml:space="preserve"> loops can be constructed, featuring a large Δ</w:t>
      </w:r>
      <w:r w:rsidR="00635FF6" w:rsidRPr="00635FF6">
        <w:rPr>
          <w:i/>
          <w:iCs/>
        </w:rPr>
        <w:t>P</w:t>
      </w:r>
      <w:r w:rsidR="00635FF6">
        <w:t>, low remanent polarization (</w:t>
      </w:r>
      <w:proofErr w:type="spellStart"/>
      <w:r w:rsidR="00635FF6" w:rsidRPr="00635FF6">
        <w:rPr>
          <w:i/>
          <w:iCs/>
        </w:rPr>
        <w:t>P</w:t>
      </w:r>
      <w:r w:rsidR="00635FF6" w:rsidRPr="00635FF6">
        <w:rPr>
          <w:vertAlign w:val="subscript"/>
        </w:rPr>
        <w:t>r</w:t>
      </w:r>
      <w:proofErr w:type="spellEnd"/>
      <w:r w:rsidR="00635FF6">
        <w:t xml:space="preserve">), and enhanced </w:t>
      </w:r>
      <w:r w:rsidR="00635FF6" w:rsidRPr="0009544F">
        <w:rPr>
          <w:rStyle w:val="style151"/>
          <w:i/>
          <w:iCs/>
          <w:sz w:val="24"/>
          <w:szCs w:val="24"/>
        </w:rPr>
        <w:t>E</w:t>
      </w:r>
      <w:r w:rsidR="00635FF6" w:rsidRPr="0009544F">
        <w:rPr>
          <w:rStyle w:val="style151"/>
          <w:sz w:val="24"/>
          <w:szCs w:val="24"/>
          <w:vertAlign w:val="subscript"/>
        </w:rPr>
        <w:t>B</w:t>
      </w:r>
      <w:r w:rsidR="00635FF6">
        <w:t>.</w:t>
      </w:r>
      <w:r w:rsidR="00635FF6">
        <w:rPr>
          <w:rStyle w:val="style151"/>
          <w:rFonts w:hint="eastAsia"/>
          <w:sz w:val="24"/>
          <w:szCs w:val="24"/>
        </w:rPr>
        <w:t xml:space="preserve"> </w:t>
      </w:r>
      <w:r w:rsidRPr="0009544F">
        <w:rPr>
          <w:rStyle w:val="style151"/>
          <w:sz w:val="24"/>
          <w:szCs w:val="24"/>
        </w:rPr>
        <w:t>Finite-element analysis and spectroscopic measurements further reveal that the strong dielectric and electron affinity mismatch between PH and SH layers induces interfacial deep traps and Maxwell–Wagner–Sillars polarization, which promote charge trapping and electric-field redistribution, thereby suppressing carrier injection and electrical breakdown. Benefiting from these synergistic effects, the optimized PH/SH laminated ceramic achieves an ultrahigh breakdown strength of 75 kV·mm</w:t>
      </w:r>
      <w:r w:rsidR="00635FF6" w:rsidRPr="00635FF6">
        <w:rPr>
          <w:rStyle w:val="style151"/>
          <w:sz w:val="24"/>
          <w:szCs w:val="24"/>
          <w:vertAlign w:val="superscript"/>
        </w:rPr>
        <w:t>-1</w:t>
      </w:r>
      <w:r w:rsidRPr="0009544F">
        <w:rPr>
          <w:rStyle w:val="style151"/>
          <w:sz w:val="24"/>
          <w:szCs w:val="24"/>
        </w:rPr>
        <w:t xml:space="preserve"> and an outstanding recoverable energy density of 20.2 J·cm</w:t>
      </w:r>
      <w:r w:rsidR="00635FF6" w:rsidRPr="00635FF6">
        <w:rPr>
          <w:rStyle w:val="style151"/>
          <w:sz w:val="24"/>
          <w:szCs w:val="24"/>
          <w:vertAlign w:val="superscript"/>
        </w:rPr>
        <w:t>-3</w:t>
      </w:r>
      <w:r w:rsidRPr="0009544F">
        <w:rPr>
          <w:rStyle w:val="style151"/>
          <w:sz w:val="24"/>
          <w:szCs w:val="24"/>
        </w:rPr>
        <w:t xml:space="preserve"> with an efficiency of 83.5%. This study demonstrates a viable pathway for reconciling the long-standing Δ</w:t>
      </w:r>
      <w:r w:rsidRPr="00635FF6">
        <w:rPr>
          <w:rStyle w:val="style151"/>
          <w:i/>
          <w:iCs/>
          <w:sz w:val="24"/>
          <w:szCs w:val="24"/>
        </w:rPr>
        <w:t>P</w:t>
      </w:r>
      <w:r w:rsidR="00635FF6">
        <w:rPr>
          <w:rStyle w:val="style151"/>
          <w:sz w:val="24"/>
          <w:szCs w:val="24"/>
        </w:rPr>
        <w:t>-</w:t>
      </w:r>
      <w:r w:rsidR="00635FF6" w:rsidRPr="0009544F">
        <w:rPr>
          <w:rStyle w:val="style151"/>
          <w:i/>
          <w:iCs/>
          <w:sz w:val="24"/>
          <w:szCs w:val="24"/>
        </w:rPr>
        <w:t>E</w:t>
      </w:r>
      <w:r w:rsidR="00635FF6" w:rsidRPr="0009544F">
        <w:rPr>
          <w:rStyle w:val="style151"/>
          <w:sz w:val="24"/>
          <w:szCs w:val="24"/>
          <w:vertAlign w:val="subscript"/>
        </w:rPr>
        <w:t>B</w:t>
      </w:r>
      <w:r w:rsidRPr="0009544F">
        <w:rPr>
          <w:rStyle w:val="style151"/>
          <w:sz w:val="24"/>
          <w:szCs w:val="24"/>
        </w:rPr>
        <w:t xml:space="preserve"> trade-off in ceramic dielectrics through the combination of phase-field-guided structural optimization and heterointerface engineering, providing design insights for next-generation high-performance energy storage capacitors.</w:t>
      </w:r>
    </w:p>
    <w:p w:rsidR="005C5F9D" w:rsidRDefault="001311C5" w:rsidP="005C5F9D">
      <w:pPr>
        <w:jc w:val="center"/>
        <w:rPr>
          <w:rFonts w:eastAsia="PMingLiU"/>
          <w:szCs w:val="24"/>
          <w:lang w:eastAsia="zh-TW"/>
        </w:rPr>
      </w:pPr>
      <w:r>
        <w:rPr>
          <w:noProof/>
          <w:color w:val="000000"/>
        </w:rPr>
        <mc:AlternateContent>
          <mc:Choice Requires="wps">
            <w:drawing>
              <wp:anchor distT="0" distB="0" distL="114300" distR="114300" simplePos="0" relativeHeight="251661312" behindDoc="0" locked="0" layoutInCell="1" allowOverlap="1" wp14:anchorId="1888EFA9" wp14:editId="585EEED9">
                <wp:simplePos x="0" y="0"/>
                <wp:positionH relativeFrom="column">
                  <wp:posOffset>680296</wp:posOffset>
                </wp:positionH>
                <wp:positionV relativeFrom="paragraph">
                  <wp:posOffset>1522730</wp:posOffset>
                </wp:positionV>
                <wp:extent cx="372110" cy="338455"/>
                <wp:effectExtent l="0" t="0" r="0" b="0"/>
                <wp:wrapNone/>
                <wp:docPr id="273329185" name="文本框 1"/>
                <wp:cNvGraphicFramePr/>
                <a:graphic xmlns:a="http://schemas.openxmlformats.org/drawingml/2006/main">
                  <a:graphicData uri="http://schemas.microsoft.com/office/word/2010/wordprocessingShape">
                    <wps:wsp>
                      <wps:cNvSpPr txBox="1"/>
                      <wps:spPr>
                        <a:xfrm>
                          <a:off x="0" y="0"/>
                          <a:ext cx="372110" cy="338455"/>
                        </a:xfrm>
                        <a:prstGeom prst="rect">
                          <a:avLst/>
                        </a:prstGeom>
                        <a:noFill/>
                        <a:ln w="6350">
                          <a:noFill/>
                        </a:ln>
                      </wps:spPr>
                      <wps:txbx>
                        <w:txbxContent>
                          <w:p w:rsidR="001311C5" w:rsidRDefault="001311C5" w:rsidP="001311C5">
                            <w:pPr>
                              <w:rPr>
                                <w:rFonts w:hint="eastAsia"/>
                              </w:rPr>
                            </w:pPr>
                            <w:r>
                              <w:t>(</w:t>
                            </w:r>
                            <w:r>
                              <w:t>b</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8EFA9" id="_x0000_t202" coordsize="21600,21600" o:spt="202" path="m,l,21600r21600,l21600,xe">
                <v:stroke joinstyle="miter"/>
                <v:path gradientshapeok="t" o:connecttype="rect"/>
              </v:shapetype>
              <v:shape id="文本框 1" o:spid="_x0000_s1026" type="#_x0000_t202" style="position:absolute;left:0;text-align:left;margin-left:53.55pt;margin-top:119.9pt;width:29.3pt;height:2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" filled="f" stroked="f" strokeweight=".5pt">
                <v:textbox>
                  <w:txbxContent>
                    <w:p w:rsidR="001311C5" w:rsidRDefault="001311C5" w:rsidP="001311C5">
                      <w:pPr>
                        <w:rPr>
                          <w:rFonts w:hint="eastAsia"/>
                        </w:rPr>
                      </w:pPr>
                      <w:r>
                        <w:t>(</w:t>
                      </w:r>
                      <w:r>
                        <w:t>b</w:t>
                      </w:r>
                      <w:r>
                        <w:t>)</w:t>
                      </w:r>
                    </w:p>
                  </w:txbxContent>
                </v:textbox>
              </v:shape>
            </w:pict>
          </mc:Fallback>
        </mc:AlternateContent>
      </w:r>
      <w:r>
        <w:rPr>
          <w:noProof/>
          <w:color w:val="000000"/>
        </w:rPr>
        <mc:AlternateContent>
          <mc:Choice Requires="wps">
            <w:drawing>
              <wp:anchor distT="0" distB="0" distL="114300" distR="114300" simplePos="0" relativeHeight="251659264" behindDoc="0" locked="0" layoutInCell="1" allowOverlap="1">
                <wp:simplePos x="0" y="0"/>
                <wp:positionH relativeFrom="column">
                  <wp:posOffset>676910</wp:posOffset>
                </wp:positionH>
                <wp:positionV relativeFrom="paragraph">
                  <wp:posOffset>2540</wp:posOffset>
                </wp:positionV>
                <wp:extent cx="372110" cy="338455"/>
                <wp:effectExtent l="0" t="0" r="0" b="0"/>
                <wp:wrapNone/>
                <wp:docPr id="765171400" name="文本框 1"/>
                <wp:cNvGraphicFramePr/>
                <a:graphic xmlns:a="http://schemas.openxmlformats.org/drawingml/2006/main">
                  <a:graphicData uri="http://schemas.microsoft.com/office/word/2010/wordprocessingShape">
                    <wps:wsp>
                      <wps:cNvSpPr txBox="1"/>
                      <wps:spPr>
                        <a:xfrm>
                          <a:off x="0" y="0"/>
                          <a:ext cx="372110" cy="338455"/>
                        </a:xfrm>
                        <a:prstGeom prst="rect">
                          <a:avLst/>
                        </a:prstGeom>
                        <a:noFill/>
                        <a:ln w="6350">
                          <a:noFill/>
                        </a:ln>
                      </wps:spPr>
                      <wps:txbx>
                        <w:txbxContent>
                          <w:p w:rsidR="001311C5" w:rsidRDefault="001311C5">
                            <w:pPr>
                              <w:rPr>
                                <w:rFonts w:hint="eastAsia"/>
                              </w:rPr>
                            </w:pPr>
                            <w:r>
                              <w:t>(</w:t>
                            </w:r>
                            <w:r>
                              <w:rPr>
                                <w:rFonts w:hint="eastAsia"/>
                              </w:rPr>
                              <w:t>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3.3pt;margin-top:.2pt;width:29.3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" filled="f" stroked="f" strokeweight=".5pt">
                <v:textbox>
                  <w:txbxContent>
                    <w:p w:rsidR="001311C5" w:rsidRDefault="001311C5">
                      <w:pPr>
                        <w:rPr>
                          <w:rFonts w:hint="eastAsia"/>
                        </w:rPr>
                      </w:pPr>
                      <w:r>
                        <w:t>(</w:t>
                      </w:r>
                      <w:r>
                        <w:rPr>
                          <w:rFonts w:hint="eastAsia"/>
                        </w:rPr>
                        <w:t>a</w:t>
                      </w:r>
                      <w:r>
                        <w:t>)</w:t>
                      </w:r>
                    </w:p>
                  </w:txbxContent>
                </v:textbox>
              </v:shape>
            </w:pict>
          </mc:Fallback>
        </mc:AlternateContent>
      </w:r>
      <w:r w:rsidRPr="001311C5">
        <w:rPr>
          <w:noProof/>
          <w:color w:val="000000"/>
        </w:rPr>
        <w:drawing>
          <wp:inline distT="0" distB="0" distL="0" distR="0" wp14:anchorId="64029CCC" wp14:editId="534624AF">
            <wp:extent cx="3922932" cy="3095414"/>
            <wp:effectExtent l="0" t="0" r="0" b="0"/>
            <wp:docPr id="605900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00000" name=""/>
                    <pic:cNvPicPr/>
                  </pic:nvPicPr>
                  <pic:blipFill rotWithShape="1">
                    <a:blip r:embed="rId7"/>
                    <a:srcRect l="2118" t="3375" r="1293" b="3735"/>
                    <a:stretch/>
                  </pic:blipFill>
                  <pic:spPr bwMode="auto">
                    <a:xfrm>
                      <a:off x="0" y="0"/>
                      <a:ext cx="3963596" cy="3127500"/>
                    </a:xfrm>
                    <a:prstGeom prst="rect">
                      <a:avLst/>
                    </a:prstGeom>
                    <a:ln>
                      <a:noFill/>
                    </a:ln>
                    <a:extLst>
                      <a:ext uri="{53640926-AAD7-44D8-BBD7-CCE9431645EC}">
                        <a14:shadowObscured xmlns:a14="http://schemas.microsoft.com/office/drawing/2010/main"/>
                      </a:ext>
                    </a:extLst>
                  </pic:spPr>
                </pic:pic>
              </a:graphicData>
            </a:graphic>
          </wp:inline>
        </w:drawing>
      </w:r>
    </w:p>
    <w:p w:rsidR="00926F3D" w:rsidRPr="00B14BD6" w:rsidRDefault="005C5F9D" w:rsidP="00B14BD6">
      <w:pPr>
        <w:jc w:val="center"/>
        <w:rPr>
          <w:rFonts w:eastAsia="DengXian" w:hint="eastAsia"/>
          <w:sz w:val="20"/>
          <w:szCs w:val="24"/>
        </w:rPr>
      </w:pPr>
      <w:r w:rsidRPr="00DD173D">
        <w:rPr>
          <w:rFonts w:eastAsia="PMingLiU"/>
          <w:sz w:val="20"/>
          <w:szCs w:val="24"/>
          <w:lang w:eastAsia="zh-TW"/>
        </w:rPr>
        <w:t xml:space="preserve">Figure 1. </w:t>
      </w:r>
      <w:r w:rsidR="001311C5">
        <w:rPr>
          <w:rFonts w:eastAsia="PMingLiU" w:hint="eastAsia"/>
          <w:sz w:val="20"/>
          <w:szCs w:val="24"/>
        </w:rPr>
        <w:t>a</w:t>
      </w:r>
      <w:r w:rsidR="001311C5">
        <w:rPr>
          <w:rFonts w:eastAsia="PMingLiU"/>
          <w:sz w:val="20"/>
          <w:szCs w:val="24"/>
          <w:lang w:val="en-US"/>
        </w:rPr>
        <w:t xml:space="preserve">) </w:t>
      </w:r>
      <w:r w:rsidR="001311C5" w:rsidRPr="001311C5">
        <w:rPr>
          <w:rFonts w:eastAsia="PMingLiU"/>
          <w:sz w:val="20"/>
          <w:szCs w:val="24"/>
          <w:lang w:eastAsia="zh-TW"/>
        </w:rPr>
        <w:t xml:space="preserve">Schematic illustration of the dielectric energy-storage characteristics of the PSP structure. b) Fabrication process of the single-layer and </w:t>
      </w:r>
      <w:proofErr w:type="spellStart"/>
      <w:r w:rsidR="001311C5" w:rsidRPr="001311C5">
        <w:rPr>
          <w:rFonts w:eastAsia="PMingLiU"/>
          <w:sz w:val="20"/>
          <w:szCs w:val="24"/>
          <w:lang w:eastAsia="zh-TW"/>
        </w:rPr>
        <w:t>trilayer</w:t>
      </w:r>
      <w:proofErr w:type="spellEnd"/>
      <w:r w:rsidR="001311C5" w:rsidRPr="001311C5">
        <w:rPr>
          <w:rFonts w:eastAsia="PMingLiU"/>
          <w:sz w:val="20"/>
          <w:szCs w:val="24"/>
          <w:lang w:eastAsia="zh-TW"/>
        </w:rPr>
        <w:t xml:space="preserve"> </w:t>
      </w:r>
      <w:proofErr w:type="spellStart"/>
      <w:r w:rsidR="001311C5" w:rsidRPr="001311C5">
        <w:rPr>
          <w:rFonts w:eastAsia="PMingLiU"/>
          <w:sz w:val="20"/>
          <w:szCs w:val="24"/>
          <w:lang w:eastAsia="zh-TW"/>
        </w:rPr>
        <w:t>composites</w:t>
      </w:r>
      <w:r w:rsidR="00F452AF" w:rsidRPr="00F452AF">
        <w:rPr>
          <w:rFonts w:eastAsia="PMingLiU"/>
          <w:sz w:val="20"/>
          <w:szCs w:val="24"/>
          <w:lang w:eastAsia="zh-TW"/>
        </w:rPr>
        <w:t>Smart</w:t>
      </w:r>
      <w:proofErr w:type="spellEnd"/>
      <w:r w:rsidR="00F452AF" w:rsidRPr="00F452AF">
        <w:rPr>
          <w:rFonts w:eastAsia="PMingLiU"/>
          <w:sz w:val="20"/>
          <w:szCs w:val="24"/>
          <w:lang w:eastAsia="zh-TW"/>
        </w:rPr>
        <w:t xml:space="preserve"> material deformation analysis</w:t>
      </w:r>
      <w:r w:rsidR="006177D0">
        <w:rPr>
          <w:rFonts w:ascii="DengXian" w:eastAsia="DengXian" w:hAnsi="DengXian" w:hint="eastAsia"/>
          <w:sz w:val="20"/>
          <w:szCs w:val="24"/>
        </w:rPr>
        <w:t>.</w:t>
      </w:r>
    </w:p>
    <w:p w:rsidR="00926F3D" w:rsidRPr="00955C63" w:rsidRDefault="00926F3D" w:rsidP="005C5F9D">
      <w:pPr>
        <w:rPr>
          <w:rFonts w:eastAsia="PMingLiU"/>
          <w:b/>
          <w:szCs w:val="24"/>
          <w:lang w:eastAsia="zh-TW"/>
        </w:rPr>
      </w:pPr>
      <w:r w:rsidRPr="00955C63">
        <w:rPr>
          <w:rFonts w:eastAsia="PMingLiU"/>
          <w:b/>
          <w:szCs w:val="24"/>
          <w:lang w:eastAsia="zh-TW"/>
        </w:rPr>
        <w:lastRenderedPageBreak/>
        <w:t>References</w:t>
      </w:r>
    </w:p>
    <w:p w:rsidR="00B14BD6" w:rsidRPr="00B14BD6" w:rsidRDefault="00B14BD6" w:rsidP="00B14BD6">
      <w:pPr>
        <w:pStyle w:val="References"/>
        <w:ind w:left="187" w:hanging="187"/>
        <w:rPr>
          <w:rFonts w:ascii="Times New Roman" w:hAnsi="Times New Roman"/>
        </w:rPr>
      </w:pPr>
      <w:r w:rsidRPr="00B14BD6">
        <w:rPr>
          <w:rFonts w:ascii="Times New Roman" w:hAnsi="Times New Roman"/>
        </w:rPr>
        <w:t>D. Li, X. Zeng, Z. Li, Z.-Y. Shen, H. Hao, W. Luo, X. Wang, F. Song, Z. Wang, Y. Li, Progress and Perspectives in Dielectric Energy Storage Ceramics, J. Adv. Ceram. 10 (2021) 675−703.</w:t>
      </w:r>
    </w:p>
    <w:p w:rsidR="00B14BD6" w:rsidRDefault="00B14BD6" w:rsidP="00B14BD6">
      <w:pPr>
        <w:pStyle w:val="References"/>
        <w:spacing w:before="60" w:line="240" w:lineRule="auto"/>
        <w:ind w:left="187" w:hanging="187"/>
        <w:rPr>
          <w:rFonts w:ascii="Times New Roman" w:hAnsi="Times New Roman"/>
        </w:rPr>
      </w:pPr>
      <w:r w:rsidRPr="00B14BD6">
        <w:rPr>
          <w:rFonts w:ascii="Times New Roman" w:hAnsi="Times New Roman"/>
        </w:rPr>
        <w:t xml:space="preserve">Q. Li, L. Chen, M.R. </w:t>
      </w:r>
      <w:proofErr w:type="spellStart"/>
      <w:r w:rsidRPr="00B14BD6">
        <w:rPr>
          <w:rFonts w:ascii="Times New Roman" w:hAnsi="Times New Roman"/>
        </w:rPr>
        <w:t>Gadinski</w:t>
      </w:r>
      <w:proofErr w:type="spellEnd"/>
      <w:r w:rsidRPr="00B14BD6">
        <w:rPr>
          <w:rFonts w:ascii="Times New Roman" w:hAnsi="Times New Roman"/>
        </w:rPr>
        <w:t xml:space="preserve">, S. Zhang, G. Zhang, H.U. Li, E. </w:t>
      </w:r>
      <w:proofErr w:type="spellStart"/>
      <w:r w:rsidRPr="00B14BD6">
        <w:rPr>
          <w:rFonts w:ascii="Times New Roman" w:hAnsi="Times New Roman"/>
        </w:rPr>
        <w:t>Iagodkine</w:t>
      </w:r>
      <w:proofErr w:type="spellEnd"/>
      <w:r w:rsidRPr="00B14BD6">
        <w:rPr>
          <w:rFonts w:ascii="Times New Roman" w:hAnsi="Times New Roman"/>
        </w:rPr>
        <w:t>, A. Haque, L.-Q. Chen, T.N. Jackson, Q. Wang, Flexible High-Temperature Dielectric Materials from Polymer Nanocomposites, Nature 523 (2015) 576–579.</w:t>
      </w:r>
    </w:p>
    <w:p w:rsidR="00B14BD6" w:rsidRPr="00B14BD6" w:rsidRDefault="00B14BD6" w:rsidP="00B14BD6">
      <w:pPr>
        <w:pStyle w:val="References"/>
        <w:ind w:left="187" w:hanging="187"/>
        <w:rPr>
          <w:rFonts w:ascii="Times New Roman" w:hAnsi="Times New Roman"/>
        </w:rPr>
      </w:pPr>
      <w:r w:rsidRPr="00B14BD6">
        <w:rPr>
          <w:rFonts w:ascii="Times New Roman" w:hAnsi="Times New Roman"/>
        </w:rPr>
        <w:t>X. Liu, J. Zhu, Y. Li, T. Yang, X. Hao, W. Gong, High-Performance PbZrO3-Based Antiferroelectric Multilayer Capacitors Based on Multiple Enhancement Strategy, Chem. Eng. J. 446 (2022) 136729.</w:t>
      </w:r>
    </w:p>
    <w:p w:rsidR="00B14BD6" w:rsidRDefault="00B14BD6" w:rsidP="00B14BD6">
      <w:pPr>
        <w:pStyle w:val="References"/>
        <w:spacing w:before="60" w:line="240" w:lineRule="auto"/>
        <w:ind w:left="187" w:hanging="187"/>
        <w:rPr>
          <w:rFonts w:ascii="Times New Roman" w:hAnsi="Times New Roman"/>
        </w:rPr>
      </w:pPr>
      <w:r w:rsidRPr="00B14BD6">
        <w:rPr>
          <w:rFonts w:ascii="Times New Roman" w:hAnsi="Times New Roman"/>
        </w:rPr>
        <w:t xml:space="preserve">H. Wang, Y. Liu, T. Yang, S. Zhang, Ultrahigh Energy-Storage Density in Antiferroelectric Ceramics with Field-Induced Multiphase Transitions, Adv. </w:t>
      </w:r>
      <w:proofErr w:type="spellStart"/>
      <w:r w:rsidRPr="00B14BD6">
        <w:rPr>
          <w:rFonts w:ascii="Times New Roman" w:hAnsi="Times New Roman"/>
        </w:rPr>
        <w:t>Funct</w:t>
      </w:r>
      <w:proofErr w:type="spellEnd"/>
      <w:r w:rsidRPr="00B14BD6">
        <w:rPr>
          <w:rFonts w:ascii="Times New Roman" w:hAnsi="Times New Roman"/>
        </w:rPr>
        <w:t>. Mater. 29 (2019) 1807321.</w:t>
      </w:r>
    </w:p>
    <w:p w:rsidR="00B14BD6" w:rsidRDefault="00B14BD6" w:rsidP="00B14BD6">
      <w:pPr>
        <w:pStyle w:val="References"/>
        <w:spacing w:before="60" w:line="240" w:lineRule="auto"/>
        <w:ind w:left="187" w:hanging="187"/>
        <w:rPr>
          <w:rFonts w:ascii="Times New Roman" w:hAnsi="Times New Roman"/>
        </w:rPr>
      </w:pPr>
      <w:r w:rsidRPr="00B14BD6">
        <w:rPr>
          <w:rFonts w:ascii="Times New Roman" w:hAnsi="Times New Roman"/>
        </w:rPr>
        <w:t xml:space="preserve">W. Chao, J. Wei, T. Yang, Y. Li, Phase Transition Behavior of </w:t>
      </w:r>
      <w:proofErr w:type="gramStart"/>
      <w:r w:rsidRPr="00B14BD6">
        <w:rPr>
          <w:rFonts w:ascii="Times New Roman" w:hAnsi="Times New Roman"/>
        </w:rPr>
        <w:t>Pb(</w:t>
      </w:r>
      <w:proofErr w:type="gramEnd"/>
      <w:r w:rsidRPr="00B14BD6">
        <w:rPr>
          <w:rFonts w:ascii="Times New Roman" w:hAnsi="Times New Roman"/>
        </w:rPr>
        <w:t xml:space="preserve">Hf, Sn, </w:t>
      </w:r>
      <w:proofErr w:type="spellStart"/>
      <w:r w:rsidRPr="00B14BD6">
        <w:rPr>
          <w:rFonts w:ascii="Times New Roman" w:hAnsi="Times New Roman"/>
        </w:rPr>
        <w:t>Ti</w:t>
      </w:r>
      <w:proofErr w:type="spellEnd"/>
      <w:r w:rsidRPr="00B14BD6">
        <w:rPr>
          <w:rFonts w:ascii="Times New Roman" w:hAnsi="Times New Roman"/>
        </w:rPr>
        <w:t>, Nb)O3 Ceramics at Morphotropic Phase Boundary, J. Am. Ceram. Soc. 103 (2020) 2185–2192.</w:t>
      </w:r>
    </w:p>
    <w:p w:rsidR="00B14BD6" w:rsidRDefault="00B14BD6" w:rsidP="00B14BD6">
      <w:pPr>
        <w:pStyle w:val="References"/>
        <w:spacing w:before="60" w:line="240" w:lineRule="auto"/>
        <w:ind w:left="187" w:hanging="187"/>
        <w:rPr>
          <w:rFonts w:ascii="Times New Roman" w:hAnsi="Times New Roman"/>
        </w:rPr>
      </w:pPr>
      <w:r w:rsidRPr="00B14BD6">
        <w:rPr>
          <w:rFonts w:ascii="Times New Roman" w:hAnsi="Times New Roman"/>
        </w:rPr>
        <w:t>J. Wei, T. Yang, H. Wang, Excellent Energy Storage and Charge-Discharge Performances in PbHfO3 Antiferroelectric Ceramics, J. Eur. Ceram. Soc. 39 (2019) 624–630.</w:t>
      </w:r>
    </w:p>
    <w:p w:rsidR="00B14BD6" w:rsidRPr="00955C63" w:rsidRDefault="00B14BD6" w:rsidP="00B14BD6">
      <w:pPr>
        <w:pStyle w:val="References"/>
        <w:spacing w:before="60" w:line="240" w:lineRule="auto"/>
        <w:ind w:left="187" w:hanging="187"/>
        <w:rPr>
          <w:rFonts w:ascii="Times New Roman" w:hAnsi="Times New Roman"/>
        </w:rPr>
      </w:pPr>
      <w:r w:rsidRPr="00B14BD6">
        <w:rPr>
          <w:rFonts w:ascii="Times New Roman" w:hAnsi="Times New Roman"/>
        </w:rPr>
        <w:t xml:space="preserve">Y. Li, T. Yang, X. Liu, Improving Energy Storage Properties of PbHfO3-Based Antiferroelectric Ceramics with Lower Phase Transition Fields, </w:t>
      </w:r>
      <w:proofErr w:type="spellStart"/>
      <w:r w:rsidRPr="00B14BD6">
        <w:rPr>
          <w:rFonts w:ascii="Times New Roman" w:hAnsi="Times New Roman"/>
        </w:rPr>
        <w:t>Inorg</w:t>
      </w:r>
      <w:proofErr w:type="spellEnd"/>
      <w:r w:rsidRPr="00B14BD6">
        <w:rPr>
          <w:rFonts w:ascii="Times New Roman" w:hAnsi="Times New Roman"/>
        </w:rPr>
        <w:t>. Chem. Front. 11 (2024) 196.</w:t>
      </w:r>
    </w:p>
    <w:p w:rsidR="00983882" w:rsidRPr="00DD173D" w:rsidRDefault="00983882" w:rsidP="005C5F9D">
      <w:pPr>
        <w:rPr>
          <w:rFonts w:eastAsia="PMingLiU"/>
          <w:lang w:eastAsia="zh-TW"/>
        </w:rPr>
      </w:pPr>
    </w:p>
    <w:sectPr w:rsidR="00983882" w:rsidRPr="00DD173D" w:rsidSect="00AE2300">
      <w:headerReference w:type="default" r:id="rId8"/>
      <w:footerReference w:type="default" r:id="rId9"/>
      <w:pgSz w:w="11900"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1205" w:rsidRDefault="00121205" w:rsidP="00AE2300">
      <w:pPr>
        <w:spacing w:before="0" w:after="0"/>
      </w:pPr>
      <w:r>
        <w:separator/>
      </w:r>
    </w:p>
  </w:endnote>
  <w:endnote w:type="continuationSeparator" w:id="0">
    <w:p w:rsidR="00121205" w:rsidRDefault="00121205" w:rsidP="00AE23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Sylfae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2300" w:rsidRPr="00AE2300" w:rsidRDefault="008F4C6B" w:rsidP="00434C9A">
    <w:pPr>
      <w:pStyle w:val="a8"/>
      <w:pBdr>
        <w:top w:val="single" w:sz="4" w:space="1" w:color="auto"/>
      </w:pBdr>
      <w:jc w:val="right"/>
      <w:rPr>
        <w:sz w:val="20"/>
      </w:rPr>
    </w:pPr>
    <w:r>
      <w:rPr>
        <w:rFonts w:hint="eastAsia"/>
        <w:sz w:val="20"/>
      </w:rPr>
      <w:t>October 13-15</w:t>
    </w:r>
    <w:r w:rsidR="0099258A">
      <w:rPr>
        <w:sz w:val="20"/>
      </w:rPr>
      <w:t>, 202</w:t>
    </w:r>
    <w:r w:rsidR="007777E9">
      <w:rPr>
        <w:sz w:val="20"/>
      </w:rPr>
      <w:t>5</w:t>
    </w:r>
    <w:r w:rsidR="00307743">
      <w:rPr>
        <w:sz w:val="20"/>
      </w:rPr>
      <w:t xml:space="preserve">, </w:t>
    </w:r>
    <w:r>
      <w:rPr>
        <w:rFonts w:hint="eastAsia"/>
        <w:sz w:val="20"/>
      </w:rPr>
      <w:t>Shanghai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1205" w:rsidRDefault="00121205" w:rsidP="00AE2300">
      <w:pPr>
        <w:spacing w:before="0" w:after="0"/>
      </w:pPr>
      <w:r>
        <w:separator/>
      </w:r>
    </w:p>
  </w:footnote>
  <w:footnote w:type="continuationSeparator" w:id="0">
    <w:p w:rsidR="00121205" w:rsidRDefault="00121205" w:rsidP="00AE230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2300" w:rsidRDefault="008F4C6B" w:rsidP="00AE2300">
    <w:pPr>
      <w:pStyle w:val="a6"/>
      <w:pBdr>
        <w:bottom w:val="single" w:sz="4" w:space="1" w:color="auto"/>
      </w:pBdr>
      <w:jc w:val="right"/>
      <w:rPr>
        <w:sz w:val="20"/>
      </w:rPr>
    </w:pPr>
    <w:r w:rsidRPr="008F4C6B">
      <w:rPr>
        <w:sz w:val="20"/>
      </w:rPr>
      <w:t>International Forum of Graduate Students on Mechanics of Smart Materials 2025</w:t>
    </w:r>
  </w:p>
  <w:p w:rsidR="00AE2300" w:rsidRPr="00AE2300" w:rsidRDefault="008F4C6B" w:rsidP="00307743">
    <w:pPr>
      <w:pStyle w:val="a6"/>
      <w:pBdr>
        <w:bottom w:val="single" w:sz="4" w:space="1" w:color="auto"/>
      </w:pBdr>
      <w:jc w:val="right"/>
      <w:rPr>
        <w:sz w:val="20"/>
      </w:rPr>
    </w:pPr>
    <w:r w:rsidRPr="008F4C6B">
      <w:rPr>
        <w:sz w:val="20"/>
      </w:rPr>
      <w:t>Jointly organized by Tongji University and TU Darmstadt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3D"/>
    <w:rsid w:val="000009AA"/>
    <w:rsid w:val="0000169D"/>
    <w:rsid w:val="000868A0"/>
    <w:rsid w:val="0009544F"/>
    <w:rsid w:val="0009721D"/>
    <w:rsid w:val="00121205"/>
    <w:rsid w:val="001307D1"/>
    <w:rsid w:val="001311C5"/>
    <w:rsid w:val="001515F3"/>
    <w:rsid w:val="001D71D9"/>
    <w:rsid w:val="002743C7"/>
    <w:rsid w:val="002B54EC"/>
    <w:rsid w:val="002B797B"/>
    <w:rsid w:val="002D5A75"/>
    <w:rsid w:val="002E55F8"/>
    <w:rsid w:val="00307743"/>
    <w:rsid w:val="003B6AF0"/>
    <w:rsid w:val="00434C9A"/>
    <w:rsid w:val="00576EAE"/>
    <w:rsid w:val="005C5F9D"/>
    <w:rsid w:val="00602C72"/>
    <w:rsid w:val="006177D0"/>
    <w:rsid w:val="00634B6C"/>
    <w:rsid w:val="00635FF6"/>
    <w:rsid w:val="00641C46"/>
    <w:rsid w:val="006D2927"/>
    <w:rsid w:val="00731B49"/>
    <w:rsid w:val="007777E9"/>
    <w:rsid w:val="007812FE"/>
    <w:rsid w:val="008F3333"/>
    <w:rsid w:val="008F4C6B"/>
    <w:rsid w:val="00926F3D"/>
    <w:rsid w:val="0096312C"/>
    <w:rsid w:val="00983882"/>
    <w:rsid w:val="0099258A"/>
    <w:rsid w:val="009C1F24"/>
    <w:rsid w:val="009C539F"/>
    <w:rsid w:val="00A43E1E"/>
    <w:rsid w:val="00AE2300"/>
    <w:rsid w:val="00B14BD6"/>
    <w:rsid w:val="00B273D5"/>
    <w:rsid w:val="00B3180E"/>
    <w:rsid w:val="00B36228"/>
    <w:rsid w:val="00B51050"/>
    <w:rsid w:val="00B979AB"/>
    <w:rsid w:val="00C176B5"/>
    <w:rsid w:val="00C36880"/>
    <w:rsid w:val="00C5233F"/>
    <w:rsid w:val="00CC314C"/>
    <w:rsid w:val="00CE3F3F"/>
    <w:rsid w:val="00D33EA5"/>
    <w:rsid w:val="00D741BE"/>
    <w:rsid w:val="00D86764"/>
    <w:rsid w:val="00DA1618"/>
    <w:rsid w:val="00DD173D"/>
    <w:rsid w:val="00DE50D8"/>
    <w:rsid w:val="00E2077C"/>
    <w:rsid w:val="00EA2C14"/>
    <w:rsid w:val="00ED45B3"/>
    <w:rsid w:val="00F452AF"/>
    <w:rsid w:val="00F71E8C"/>
    <w:rsid w:val="00F80A0C"/>
    <w:rsid w:val="00FD6BC6"/>
    <w:rsid w:val="00FE4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357896"/>
  <w14:defaultImageDpi w14:val="300"/>
  <w15:chartTrackingRefBased/>
  <w15:docId w15:val="{E4A41BCD-3885-0E47-B674-7A75FFAA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F9D"/>
    <w:pPr>
      <w:spacing w:before="60" w:after="60"/>
      <w:jc w:val="both"/>
    </w:pPr>
    <w:rPr>
      <w:rFonts w:ascii="Times New Roman" w:eastAsia="宋体" w:hAnsi="Times New Roman"/>
      <w:sz w:val="24"/>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51">
    <w:name w:val="style151"/>
    <w:rsid w:val="00926F3D"/>
    <w:rPr>
      <w:sz w:val="18"/>
      <w:szCs w:val="18"/>
    </w:rPr>
  </w:style>
  <w:style w:type="paragraph" w:customStyle="1" w:styleId="References">
    <w:name w:val="References"/>
    <w:basedOn w:val="a"/>
    <w:rsid w:val="00926F3D"/>
    <w:pPr>
      <w:spacing w:before="120" w:line="240" w:lineRule="exact"/>
      <w:ind w:left="180" w:hanging="180"/>
    </w:pPr>
    <w:rPr>
      <w:rFonts w:ascii="Times" w:eastAsia="Times" w:hAnsi="Times"/>
      <w:sz w:val="20"/>
      <w:lang w:val="en-US" w:eastAsia="en-US"/>
    </w:rPr>
  </w:style>
  <w:style w:type="paragraph" w:styleId="a3">
    <w:name w:val="Balloon Text"/>
    <w:basedOn w:val="a"/>
    <w:link w:val="a4"/>
    <w:uiPriority w:val="99"/>
    <w:semiHidden/>
    <w:unhideWhenUsed/>
    <w:rsid w:val="005C5F9D"/>
    <w:pPr>
      <w:spacing w:before="0" w:after="0"/>
    </w:pPr>
    <w:rPr>
      <w:rFonts w:ascii="Tahoma" w:hAnsi="Tahoma" w:cs="Tahoma"/>
      <w:sz w:val="16"/>
      <w:szCs w:val="16"/>
    </w:rPr>
  </w:style>
  <w:style w:type="character" w:customStyle="1" w:styleId="a4">
    <w:name w:val="批注框文本 字符"/>
    <w:link w:val="a3"/>
    <w:uiPriority w:val="99"/>
    <w:semiHidden/>
    <w:rsid w:val="005C5F9D"/>
    <w:rPr>
      <w:rFonts w:ascii="Tahoma" w:eastAsia="宋体" w:hAnsi="Tahoma" w:cs="Tahoma"/>
      <w:sz w:val="16"/>
      <w:szCs w:val="16"/>
      <w:lang w:val="en-GB" w:eastAsia="zh-CN"/>
    </w:rPr>
  </w:style>
  <w:style w:type="character" w:styleId="a5">
    <w:name w:val="Hyperlink"/>
    <w:uiPriority w:val="99"/>
    <w:unhideWhenUsed/>
    <w:rsid w:val="00AE2300"/>
    <w:rPr>
      <w:color w:val="0000FF"/>
      <w:u w:val="single"/>
    </w:rPr>
  </w:style>
  <w:style w:type="paragraph" w:styleId="a6">
    <w:name w:val="header"/>
    <w:basedOn w:val="a"/>
    <w:link w:val="a7"/>
    <w:uiPriority w:val="99"/>
    <w:unhideWhenUsed/>
    <w:rsid w:val="00AE2300"/>
    <w:pPr>
      <w:tabs>
        <w:tab w:val="center" w:pos="4680"/>
        <w:tab w:val="right" w:pos="9360"/>
      </w:tabs>
      <w:spacing w:before="0" w:after="0"/>
    </w:pPr>
  </w:style>
  <w:style w:type="character" w:customStyle="1" w:styleId="a7">
    <w:name w:val="页眉 字符"/>
    <w:link w:val="a6"/>
    <w:uiPriority w:val="99"/>
    <w:rsid w:val="00AE2300"/>
    <w:rPr>
      <w:rFonts w:ascii="Times New Roman" w:eastAsia="宋体" w:hAnsi="Times New Roman" w:cs="Times New Roman"/>
      <w:szCs w:val="20"/>
      <w:lang w:val="en-GB" w:eastAsia="zh-CN"/>
    </w:rPr>
  </w:style>
  <w:style w:type="paragraph" w:styleId="a8">
    <w:name w:val="footer"/>
    <w:basedOn w:val="a"/>
    <w:link w:val="a9"/>
    <w:uiPriority w:val="99"/>
    <w:unhideWhenUsed/>
    <w:rsid w:val="00AE2300"/>
    <w:pPr>
      <w:tabs>
        <w:tab w:val="center" w:pos="4680"/>
        <w:tab w:val="right" w:pos="9360"/>
      </w:tabs>
      <w:spacing w:before="0" w:after="0"/>
    </w:pPr>
  </w:style>
  <w:style w:type="character" w:customStyle="1" w:styleId="a9">
    <w:name w:val="页脚 字符"/>
    <w:link w:val="a8"/>
    <w:uiPriority w:val="99"/>
    <w:rsid w:val="00AE2300"/>
    <w:rPr>
      <w:rFonts w:ascii="Times New Roman" w:eastAsia="宋体" w:hAnsi="Times New Roman" w:cs="Times New Roman"/>
      <w:szCs w:val="20"/>
      <w:lang w:val="en-GB" w:eastAsia="zh-CN"/>
    </w:rPr>
  </w:style>
  <w:style w:type="character" w:styleId="aa">
    <w:name w:val="Unresolved Mention"/>
    <w:uiPriority w:val="99"/>
    <w:semiHidden/>
    <w:unhideWhenUsed/>
    <w:rsid w:val="009C1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B49FB-E1DF-4A1F-BE3F-4959CFB18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CityU</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LAM</dc:creator>
  <cp:keywords/>
  <cp:lastModifiedBy>Microsoft Office User</cp:lastModifiedBy>
  <cp:revision>3</cp:revision>
  <dcterms:created xsi:type="dcterms:W3CDTF">2025-10-09T08:21:00Z</dcterms:created>
  <dcterms:modified xsi:type="dcterms:W3CDTF">2025-10-09T08:24:00Z</dcterms:modified>
</cp:coreProperties>
</file>