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before="240" w:after="160"/>
      </w:pPr>
      <w:r>
        <w:rPr>
          <w:b/>
          <w:bCs/>
          <w:sz w:val="36"/>
          <w:szCs w:val="36"/>
          <w:rFonts w:ascii="Arial" w:cs="Arial" w:eastAsia="Arial" w:hAnsi="Arial"/>
        </w:rPr>
        <w:t xml:space="preserve">Jobwork P&amp;L Split — Design Spec</w:t>
      </w:r>
    </w:p>
    <w:p>
      <w:pPr>
        <w:spacing w:after="80"/>
      </w:pPr>
      <w:r>
        <w:rPr>
          <w:b/>
          <w:bCs/>
          <w:sz w:val="22"/>
          <w:szCs w:val="22"/>
          <w:rFonts w:ascii="Arial" w:cs="Arial" w:eastAsia="Arial" w:hAnsi="Arial"/>
        </w:rPr>
        <w:t xml:space="preserve">Date: </w:t>
      </w:r>
      <w:r>
        <w:rPr>
          <w:sz w:val="22"/>
          <w:szCs w:val="22"/>
          <w:rFonts w:ascii="Arial" w:cs="Arial" w:eastAsia="Arial" w:hAnsi="Arial"/>
        </w:rPr>
        <w:t xml:space="preserve">2026-06-08</w:t>
      </w:r>
    </w:p>
    <w:p>
      <w:pPr>
        <w:spacing w:after="80"/>
      </w:pPr>
      <w:r>
        <w:rPr>
          <w:b/>
          <w:bCs/>
          <w:sz w:val="22"/>
          <w:szCs w:val="22"/>
          <w:rFonts w:ascii="Arial" w:cs="Arial" w:eastAsia="Arial" w:hAnsi="Arial"/>
        </w:rPr>
        <w:t xml:space="preserve">Author: </w:t>
      </w:r>
      <w:r>
        <w:rPr>
          <w:sz w:val="22"/>
          <w:szCs w:val="22"/>
          <w:rFonts w:ascii="Arial" w:cs="Arial" w:eastAsia="Arial" w:hAnsi="Arial"/>
        </w:rPr>
        <w:t xml:space="preserve">PPK TEX ERP</w:t>
      </w:r>
    </w:p>
    <w:p>
      <w:pPr>
        <w:spacing w:after="80"/>
      </w:pPr>
      <w:r>
        <w:rPr>
          <w:b/>
          <w:bCs/>
          <w:sz w:val="22"/>
          <w:szCs w:val="22"/>
          <w:rFonts w:ascii="Arial" w:cs="Arial" w:eastAsia="Arial" w:hAnsi="Arial"/>
        </w:rPr>
        <w:t xml:space="preserve">Status: </w:t>
      </w:r>
      <w:r>
        <w:rPr>
          <w:sz w:val="22"/>
          <w:szCs w:val="22"/>
          <w:rFonts w:ascii="Arial" w:cs="Arial" w:eastAsia="Arial" w:hAnsi="Arial"/>
        </w:rPr>
        <w:t xml:space="preserve">Approved (brainstorming complete)</w:t>
      </w:r>
    </w:p>
    <w:p>
      <w:pPr>
        <w:pStyle w:val="Heading2"/>
        <w:spacing w:before="240" w:after="120"/>
      </w:pPr>
      <w:r>
        <w:rPr>
          <w:b/>
          <w:bCs/>
          <w:sz w:val="28"/>
          <w:szCs w:val="28"/>
          <w:rFonts w:ascii="Arial" w:cs="Arial" w:eastAsia="Arial" w:hAnsi="Arial"/>
        </w:rPr>
        <w:t xml:space="preserve">Goal</w:t>
      </w:r>
    </w:p>
    <w:p>
      <w:pPr>
        <w:spacing w:after="80"/>
      </w:pPr>
      <w:r>
        <w:rPr>
          <w:sz w:val="22"/>
          <w:szCs w:val="22"/>
          <w:rFonts w:ascii="Arial" w:cs="Arial" w:eastAsia="Arial" w:hAnsi="Arial"/>
        </w:rPr>
        <w:t xml:space="preserve">Period-end P&amp;L report split three ways: own-production, jobwork, and combined. Make jobwork's contribution visible so the owner can decide whether jobwork is paying its share of mill overhead.</w:t>
      </w:r>
    </w:p>
    <w:p>
      <w:pPr>
        <w:pStyle w:val="Heading2"/>
        <w:spacing w:before="240" w:after="120"/>
      </w:pPr>
      <w:r>
        <w:rPr>
          <w:b/>
          <w:bCs/>
          <w:sz w:val="28"/>
          <w:szCs w:val="28"/>
          <w:rFonts w:ascii="Arial" w:cs="Arial" w:eastAsia="Arial" w:hAnsi="Arial"/>
        </w:rPr>
        <w:t xml:space="preserve">Constraints</w:t>
      </w:r>
    </w:p>
    <w:p>
      <w:pPr>
        <w:pStyle w:val="ListParagraph"/>
        <w:numPr>
          <w:ilvl w:val="0"/>
          <w:numId w:val="2"/>
        </w:numPr>
        <w:spacing w:after="60"/>
      </w:pPr>
      <w:r>
        <w:rPr>
          <w:sz w:val="22"/>
          <w:szCs w:val="22"/>
          <w:rFonts w:ascii="Arial" w:cs="Arial" w:eastAsia="Arial" w:hAnsi="Arial"/>
        </w:rPr>
        <w:t xml:space="preserve">Must not break the existing </w:t>
      </w:r>
      <w:r>
        <w:rPr>
          <w:sz w:val="20"/>
          <w:szCs w:val="20"/>
          <w:rFonts w:ascii="Consolas" w:cs="Consolas" w:eastAsia="Consolas" w:hAnsi="Consolas"/>
          <w:shd w:fill="F2F2F2" w:val="clear"/>
        </w:rPr>
        <w:t xml:space="preserve">/app/reports/pnl</w:t>
      </w:r>
      <w:r>
        <w:rPr>
          <w:sz w:val="22"/>
          <w:szCs w:val="22"/>
          <w:rFonts w:ascii="Arial" w:cs="Arial" w:eastAsia="Arial" w:hAnsi="Arial"/>
        </w:rPr>
        <w:t xml:space="preserve"> view — its current numbers should match the new "Combined" column exactly.</w:t>
      </w:r>
    </w:p>
    <w:p>
      <w:pPr>
        <w:pStyle w:val="ListParagraph"/>
        <w:numPr>
          <w:ilvl w:val="0"/>
          <w:numId w:val="2"/>
        </w:numPr>
        <w:spacing w:after="60"/>
      </w:pPr>
      <w:r>
        <w:rPr>
          <w:sz w:val="22"/>
          <w:szCs w:val="22"/>
          <w:rFonts w:ascii="Arial" w:cs="Arial" w:eastAsia="Arial" w:hAnsi="Arial"/>
        </w:rPr>
        <w:t xml:space="preserve">No schema changes to </w:t>
      </w:r>
      <w:r>
        <w:rPr>
          <w:sz w:val="20"/>
          <w:szCs w:val="20"/>
          <w:rFonts w:ascii="Consolas" w:cs="Consolas" w:eastAsia="Consolas" w:hAnsi="Consolas"/>
          <w:shd w:fill="F2F2F2" w:val="clear"/>
        </w:rPr>
        <w:t xml:space="preserve">jobwork_order</w:t>
      </w:r>
      <w:r>
        <w:rPr>
          <w:sz w:val="22"/>
          <w:szCs w:val="22"/>
          <w:rFonts w:ascii="Arial" w:cs="Arial" w:eastAsia="Arial" w:hAnsi="Arial"/>
        </w:rPr>
        <w:t xml:space="preserve"> or </w:t>
      </w:r>
      <w:r>
        <w:rPr>
          <w:sz w:val="20"/>
          <w:szCs w:val="20"/>
          <w:rFonts w:ascii="Consolas" w:cs="Consolas" w:eastAsia="Consolas" w:hAnsi="Consolas"/>
          <w:shd w:fill="F2F2F2" w:val="clear"/>
        </w:rPr>
        <w:t xml:space="preserve">production_batch</w:t>
      </w:r>
      <w:r>
        <w:rPr>
          <w:sz w:val="22"/>
          <w:szCs w:val="22"/>
          <w:rFonts w:ascii="Arial" w:cs="Arial" w:eastAsia="Arial" w:hAnsi="Arial"/>
        </w:rPr>
        <w:t xml:space="preserve"> — the design uses what’s already on the tables.</w:t>
      </w:r>
    </w:p>
    <w:p>
      <w:pPr>
        <w:pStyle w:val="ListParagraph"/>
        <w:numPr>
          <w:ilvl w:val="0"/>
          <w:numId w:val="2"/>
        </w:numPr>
        <w:spacing w:after="60"/>
      </w:pPr>
      <w:r>
        <w:rPr>
          <w:sz w:val="22"/>
          <w:szCs w:val="22"/>
          <w:rFonts w:ascii="Arial" w:cs="Arial" w:eastAsia="Arial" w:hAnsi="Arial"/>
        </w:rPr>
        <w:t xml:space="preserve">Single SQL function so the math is computed in one place and the page is a thin renderer.</w:t>
      </w:r>
    </w:p>
    <w:p>
      <w:pPr>
        <w:pStyle w:val="Heading2"/>
        <w:spacing w:before="240" w:after="120"/>
      </w:pPr>
      <w:r>
        <w:rPr>
          <w:b/>
          <w:bCs/>
          <w:sz w:val="28"/>
          <w:szCs w:val="28"/>
          <w:rFonts w:ascii="Arial" w:cs="Arial" w:eastAsia="Arial" w:hAnsi="Arial"/>
        </w:rPr>
        <w:t xml:space="preserve">Decisions</w:t>
      </w:r>
    </w:p>
    <w:p>
      <w:pPr>
        <w:pStyle w:val="ListParagraph"/>
        <w:numPr>
          <w:ilvl w:val="0"/>
          <w:numId w:val="3"/>
        </w:numPr>
        <w:spacing w:after="60"/>
      </w:pPr>
      <w:r>
        <w:rPr>
          <w:b/>
          <w:bCs/>
          <w:sz w:val="22"/>
          <w:szCs w:val="22"/>
          <w:rFonts w:ascii="Arial" w:cs="Arial" w:eastAsia="Arial" w:hAnsi="Arial"/>
        </w:rPr>
        <w:t xml:space="preserve">Allocation basis: metres produced</w:t>
      </w:r>
      <w:r>
        <w:rPr>
          <w:sz w:val="22"/>
          <w:szCs w:val="22"/>
          <w:rFonts w:ascii="Arial" w:cs="Arial" w:eastAsia="Arial" w:hAnsi="Arial"/>
        </w:rPr>
        <w:t xml:space="preserve"> — </w:t>
      </w:r>
      <w:r>
        <w:rPr>
          <w:sz w:val="20"/>
          <w:szCs w:val="20"/>
          <w:rFonts w:ascii="Consolas" w:cs="Consolas" w:eastAsia="Consolas" w:hAnsi="Consolas"/>
          <w:shd w:fill="F2F2F2" w:val="clear"/>
        </w:rPr>
        <w:t xml:space="preserve">jobwork_metres / (own_metres + jobwork_metres)</w:t>
      </w:r>
      <w:r>
        <w:rPr>
          <w:sz w:val="22"/>
          <w:szCs w:val="22"/>
          <w:rFonts w:ascii="Arial" w:cs="Arial" w:eastAsia="Arial" w:hAnsi="Arial"/>
        </w:rPr>
        <w:t xml:space="preserve">. Treats one jobwork metre as equivalent to one own-production metre for shared-cost absorption. Rejected alternative: tracking loom-hours on </w:t>
      </w:r>
      <w:r>
        <w:rPr>
          <w:sz w:val="20"/>
          <w:szCs w:val="20"/>
          <w:rFonts w:ascii="Consolas" w:cs="Consolas" w:eastAsia="Consolas" w:hAnsi="Consolas"/>
          <w:shd w:fill="F2F2F2" w:val="clear"/>
        </w:rPr>
        <w:t xml:space="preserve">jobwork_order</w:t>
      </w:r>
      <w:r>
        <w:rPr>
          <w:sz w:val="22"/>
          <w:szCs w:val="22"/>
          <w:rFonts w:ascii="Arial" w:cs="Arial" w:eastAsia="Arial" w:hAnsi="Arial"/>
        </w:rPr>
        <w:t xml:space="preserve"> (more accurate but needs schema + data-entry change). Loom-hours can be added later if the metres approximation proves misleading.</w:t>
      </w:r>
    </w:p>
    <w:p>
      <w:pPr>
        <w:pStyle w:val="ListParagraph"/>
        <w:numPr>
          <w:ilvl w:val="0"/>
          <w:numId w:val="3"/>
        </w:numPr>
        <w:spacing w:after="60"/>
      </w:pPr>
      <w:r>
        <w:rPr>
          <w:b/>
          <w:bCs/>
          <w:sz w:val="22"/>
          <w:szCs w:val="22"/>
          <w:rFonts w:ascii="Arial" w:cs="Arial" w:eastAsia="Arial" w:hAnsi="Arial"/>
        </w:rPr>
        <w:t xml:space="preserve">Cost split: all period costs split by metre ratio</w:t>
      </w:r>
      <w:r>
        <w:rPr>
          <w:sz w:val="22"/>
          <w:szCs w:val="22"/>
          <w:rFonts w:ascii="Arial" w:cs="Arial" w:eastAsia="Arial" w:hAnsi="Arial"/>
        </w:rPr>
        <w:t xml:space="preserve"> — wages, factory expenses, bank expenses each split between own and jobwork by the share ratio. Rejected alternative: tagging each cost category individually (more accurate, more data-entry burden).</w:t>
      </w:r>
    </w:p>
    <w:p>
      <w:pPr>
        <w:pStyle w:val="ListParagraph"/>
        <w:numPr>
          <w:ilvl w:val="0"/>
          <w:numId w:val="3"/>
        </w:numPr>
        <w:spacing w:after="60"/>
      </w:pPr>
      <w:r>
        <w:rPr>
          <w:b/>
          <w:bCs/>
          <w:sz w:val="22"/>
          <w:szCs w:val="22"/>
          <w:rFonts w:ascii="Arial" w:cs="Arial" w:eastAsia="Arial" w:hAnsi="Arial"/>
        </w:rPr>
        <w:t xml:space="preserve">Location: extend </w:t>
      </w:r>
      <w:r>
        <w:rPr>
          <w:sz w:val="20"/>
          <w:szCs w:val="20"/>
          <w:rFonts w:ascii="Consolas" w:cs="Consolas" w:eastAsia="Consolas" w:hAnsi="Consolas"/>
          <w:shd w:fill="F2F2F2" w:val="clear"/>
        </w:rPr>
        <w:t xml:space="preserve">/app/reports/pnl</w:t>
      </w:r>
      <w:r>
        <w:rPr>
          <w:sz w:val="22"/>
          <w:szCs w:val="22"/>
          <w:rFonts w:ascii="Arial" w:cs="Arial" w:eastAsia="Arial" w:hAnsi="Arial"/>
        </w:rPr>
        <w:t xml:space="preserve"> — Combined/Split toggle on the existing page rather than a new URL. Same period inputs, same data sources, same audience.</w:t>
      </w:r>
    </w:p>
    <w:p>
      <w:pPr>
        <w:pStyle w:val="Heading2"/>
        <w:spacing w:before="240" w:after="120"/>
      </w:pPr>
      <w:r>
        <w:rPr>
          <w:b/>
          <w:bCs/>
          <w:sz w:val="28"/>
          <w:szCs w:val="28"/>
          <w:rFonts w:ascii="Arial" w:cs="Arial" w:eastAsia="Arial" w:hAnsi="Arial"/>
        </w:rPr>
        <w:t xml:space="preserve">Allocation Math</w:t>
      </w:r>
    </w:p>
    <w:p>
      <w:pPr>
        <w:spacing w:after="80"/>
      </w:pPr>
      <w:r>
        <w:rPr>
          <w:sz w:val="22"/>
          <w:szCs w:val="22"/>
          <w:rFonts w:ascii="Arial" w:cs="Arial" w:eastAsia="Arial" w:hAnsi="Arial"/>
        </w:rPr>
        <w:t xml:space="preserve">For the window </w:t>
      </w:r>
      <w:r>
        <w:rPr>
          <w:sz w:val="20"/>
          <w:szCs w:val="20"/>
          <w:rFonts w:ascii="Consolas" w:cs="Consolas" w:eastAsia="Consolas" w:hAnsi="Consolas"/>
          <w:shd w:fill="F2F2F2" w:val="clear"/>
        </w:rPr>
        <w:t xml:space="preserve">[p_from, p_to]</w:t>
      </w:r>
      <w:r>
        <w:rPr>
          <w:sz w:val="22"/>
          <w:szCs w:val="22"/>
          <w:rFonts w:ascii="Arial" w:cs="Arial" w:eastAsia="Arial" w:hAnsi="Arial"/>
        </w:rPr>
        <w:t xml:space="preserve">:</w:t>
      </w:r>
    </w:p>
    <w:p>
      <w:pPr>
        <w:shd w:fill="F2F2F2" w:val="clear"/>
        <w:spacing w:after="0" w:line="240"/>
      </w:pPr>
      <w:r>
        <w:rPr>
          <w:sz w:val="20"/>
          <w:szCs w:val="20"/>
          <w:rFonts w:ascii="Consolas" w:cs="Consolas" w:eastAsia="Consolas" w:hAnsi="Consolas"/>
        </w:rPr>
        <w:t xml:space="preserve">own_metres     = SUM(production_batch.produced_m  WHERE end_date BETWEEN p_from AND p_to)</w:t>
      </w:r>
    </w:p>
    <w:p>
      <w:pPr>
        <w:shd w:fill="F2F2F2" w:val="clear"/>
        <w:spacing w:after="0" w:line="240"/>
      </w:pPr>
      <w:r>
        <w:rPr>
          <w:sz w:val="20"/>
          <w:szCs w:val="20"/>
          <w:rFonts w:ascii="Consolas" w:cs="Consolas" w:eastAsia="Consolas" w:hAnsi="Consolas"/>
        </w:rPr>
        <w:t xml:space="preserve">jobwork_metres = SUM(jobwork_order.delivered_metres WHERE delivered_date BETWEEN p_from AND p_to)</w:t>
      </w:r>
    </w:p>
    <w:p>
      <w:pPr>
        <w:shd w:fill="F2F2F2" w:val="clear"/>
        <w:spacing w:after="0" w:line="240"/>
      </w:pPr>
      <w:r>
        <w:rPr>
          <w:sz w:val="20"/>
          <w:szCs w:val="20"/>
          <w:rFonts w:ascii="Consolas" w:cs="Consolas" w:eastAsia="Consolas" w:hAnsi="Consolas"/>
        </w:rPr>
        <w:t xml:space="preserve">total_metres   = own_metres + jobwork_metres</w:t>
      </w:r>
    </w:p>
    <w:p>
      <w:pPr>
        <w:shd w:fill="F2F2F2" w:val="clear"/>
        <w:spacing w:after="0" w:line="240"/>
      </w:pPr>
      <w:r>
        <w:rPr>
          <w:sz w:val="20"/>
          <w:szCs w:val="20"/>
          <w:rFonts w:ascii="Consolas" w:cs="Consolas" w:eastAsia="Consolas" w:hAnsi="Consolas"/>
        </w:rPr>
      </w:r>
    </w:p>
    <w:p>
      <w:pPr>
        <w:shd w:fill="F2F2F2" w:val="clear"/>
        <w:spacing w:after="0" w:line="240"/>
      </w:pPr>
      <w:r>
        <w:rPr>
          <w:sz w:val="20"/>
          <w:szCs w:val="20"/>
          <w:rFonts w:ascii="Consolas" w:cs="Consolas" w:eastAsia="Consolas" w:hAnsi="Consolas"/>
        </w:rPr>
        <w:t xml:space="preserve">IF total_metres &gt; 0:</w:t>
      </w:r>
    </w:p>
    <w:p>
      <w:pPr>
        <w:shd w:fill="F2F2F2" w:val="clear"/>
        <w:spacing w:after="0" w:line="240"/>
      </w:pPr>
      <w:r>
        <w:rPr>
          <w:sz w:val="20"/>
          <w:szCs w:val="20"/>
          <w:rFonts w:ascii="Consolas" w:cs="Consolas" w:eastAsia="Consolas" w:hAnsi="Consolas"/>
        </w:rPr>
        <w:t xml:space="preserve">  own_share = own_metres / total_metres</w:t>
      </w:r>
    </w:p>
    <w:p>
      <w:pPr>
        <w:shd w:fill="F2F2F2" w:val="clear"/>
        <w:spacing w:after="0" w:line="240"/>
      </w:pPr>
      <w:r>
        <w:rPr>
          <w:sz w:val="20"/>
          <w:szCs w:val="20"/>
          <w:rFonts w:ascii="Consolas" w:cs="Consolas" w:eastAsia="Consolas" w:hAnsi="Consolas"/>
        </w:rPr>
        <w:t xml:space="preserve">  jw_share  = jobwork_metres / total_metres</w:t>
      </w:r>
    </w:p>
    <w:p>
      <w:pPr>
        <w:shd w:fill="F2F2F2" w:val="clear"/>
        <w:spacing w:after="0" w:line="240"/>
      </w:pPr>
      <w:r>
        <w:rPr>
          <w:sz w:val="20"/>
          <w:szCs w:val="20"/>
          <w:rFonts w:ascii="Consolas" w:cs="Consolas" w:eastAsia="Consolas" w:hAnsi="Consolas"/>
        </w:rPr>
        <w:t xml:space="preserve">ELSE:</w:t>
      </w:r>
    </w:p>
    <w:p>
      <w:pPr>
        <w:shd w:fill="F2F2F2" w:val="clear"/>
        <w:spacing w:after="0" w:line="240"/>
      </w:pPr>
      <w:r>
        <w:rPr>
          <w:sz w:val="20"/>
          <w:szCs w:val="20"/>
          <w:rFonts w:ascii="Consolas" w:cs="Consolas" w:eastAsia="Consolas" w:hAnsi="Consolas"/>
        </w:rPr>
        <w:t xml:space="preserve">  own_share = 1</w:t>
      </w:r>
    </w:p>
    <w:p>
      <w:pPr>
        <w:shd w:fill="F2F2F2" w:val="clear"/>
        <w:spacing w:after="0" w:line="240"/>
      </w:pPr>
      <w:r>
        <w:rPr>
          <w:sz w:val="20"/>
          <w:szCs w:val="20"/>
          <w:rFonts w:ascii="Consolas" w:cs="Consolas" w:eastAsia="Consolas" w:hAnsi="Consolas"/>
        </w:rPr>
        <w:t xml:space="preserve">  jw_share  = 0</w:t>
      </w:r>
    </w:p>
    <w:p>
      <w:pPr>
        <w:pStyle w:val="Heading3"/>
        <w:spacing w:before="160" w:after="100"/>
      </w:pPr>
      <w:r>
        <w:rPr>
          <w:b/>
          <w:bCs/>
          <w:sz w:val="24"/>
          <w:szCs w:val="24"/>
          <w:rFonts w:ascii="Arial" w:cs="Arial" w:eastAsia="Arial" w:hAnsi="Arial"/>
        </w:rPr>
        <w:t xml:space="preserve">Per-line treatment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2200"/>
        <w:gridCol w:w="1880"/>
        <w:gridCol w:w="1880"/>
      </w:tblGrid>
      <w:tr>
        <w:trPr>
          <w:tblHeader/>
        </w:trPr>
        <w:tc>
          <w:tcPr>
            <w:tcW w:type="dxa" w:w="1200"/>
            <w:tcBorders>
              <w:top w:val="single" w:color="CCCCCC" w:sz="4"/>
              <w:left w:val="single" w:color="CCCCCC" w:sz="4"/>
              <w:bottom w:val="single" w:color="CCCCCC" w:sz="4"/>
              <w:right w:val="single" w:color="CCCCCC" w:sz="4"/>
            </w:tcBorders>
            <w:shd w:fill="E7E6E6" w:val="clear"/>
            <w:tcMar>
              <w:top w:type="dxa" w:w="80"/>
              <w:left w:type="dxa" w:w="100"/>
              <w:bottom w:type="dxa" w:w="80"/>
              <w:right w:type="dxa" w:w="100"/>
            </w:tcMar>
          </w:tcPr>
          <w:p>
            <w:pPr>
              <w:jc w:val="left"/>
            </w:pPr>
            <w:r>
              <w:rPr>
                <w:b/>
                <w:bCs/>
                <w:sz w:val="18"/>
                <w:szCs w:val="18"/>
                <w:rFonts w:ascii="Arial" w:cs="Arial" w:eastAsia="Arial" w:hAnsi="Arial"/>
              </w:rPr>
              <w:t xml:space="preserve">Line</w:t>
            </w:r>
          </w:p>
        </w:tc>
        <w:tc>
          <w:tcPr>
            <w:tcW w:type="dxa" w:w="2200"/>
            <w:tcBorders>
              <w:top w:val="single" w:color="CCCCCC" w:sz="4"/>
              <w:left w:val="single" w:color="CCCCCC" w:sz="4"/>
              <w:bottom w:val="single" w:color="CCCCCC" w:sz="4"/>
              <w:right w:val="single" w:color="CCCCCC" w:sz="4"/>
            </w:tcBorders>
            <w:shd w:fill="E7E6E6" w:val="clear"/>
            <w:tcMar>
              <w:top w:type="dxa" w:w="80"/>
              <w:left w:type="dxa" w:w="100"/>
              <w:bottom w:type="dxa" w:w="80"/>
              <w:right w:type="dxa" w:w="100"/>
            </w:tcMar>
          </w:tcPr>
          <w:p>
            <w:pPr>
              <w:jc w:val="left"/>
            </w:pPr>
            <w:r>
              <w:rPr>
                <w:b/>
                <w:bCs/>
                <w:sz w:val="18"/>
                <w:szCs w:val="18"/>
                <w:rFonts w:ascii="Arial" w:cs="Arial" w:eastAsia="Arial" w:hAnsi="Arial"/>
              </w:rPr>
              <w:t xml:space="preserve">Own</w:t>
            </w:r>
          </w:p>
        </w:tc>
        <w:tc>
          <w:tcPr>
            <w:tcW w:type="dxa" w:w="2200"/>
            <w:tcBorders>
              <w:top w:val="single" w:color="CCCCCC" w:sz="4"/>
              <w:left w:val="single" w:color="CCCCCC" w:sz="4"/>
              <w:bottom w:val="single" w:color="CCCCCC" w:sz="4"/>
              <w:right w:val="single" w:color="CCCCCC" w:sz="4"/>
            </w:tcBorders>
            <w:shd w:fill="E7E6E6" w:val="clear"/>
            <w:tcMar>
              <w:top w:type="dxa" w:w="80"/>
              <w:left w:type="dxa" w:w="100"/>
              <w:bottom w:type="dxa" w:w="80"/>
              <w:right w:type="dxa" w:w="100"/>
            </w:tcMar>
          </w:tcPr>
          <w:p>
            <w:pPr>
              <w:jc w:val="left"/>
            </w:pPr>
            <w:r>
              <w:rPr>
                <w:b/>
                <w:bCs/>
                <w:sz w:val="18"/>
                <w:szCs w:val="18"/>
                <w:rFonts w:ascii="Arial" w:cs="Arial" w:eastAsia="Arial" w:hAnsi="Arial"/>
              </w:rPr>
              <w:t xml:space="preserve">Jobwork</w:t>
            </w:r>
          </w:p>
        </w:tc>
        <w:tc>
          <w:tcPr>
            <w:tcW w:type="dxa" w:w="1880"/>
            <w:tcBorders>
              <w:top w:val="single" w:color="CCCCCC" w:sz="4"/>
              <w:left w:val="single" w:color="CCCCCC" w:sz="4"/>
              <w:bottom w:val="single" w:color="CCCCCC" w:sz="4"/>
              <w:right w:val="single" w:color="CCCCCC" w:sz="4"/>
            </w:tcBorders>
            <w:shd w:fill="E7E6E6" w:val="clear"/>
            <w:tcMar>
              <w:top w:type="dxa" w:w="80"/>
              <w:left w:type="dxa" w:w="100"/>
              <w:bottom w:type="dxa" w:w="80"/>
              <w:right w:type="dxa" w:w="100"/>
            </w:tcMar>
          </w:tcPr>
          <w:p>
            <w:pPr>
              <w:jc w:val="left"/>
            </w:pPr>
            <w:r>
              <w:rPr>
                <w:b/>
                <w:bCs/>
                <w:sz w:val="18"/>
                <w:szCs w:val="18"/>
                <w:rFonts w:ascii="Arial" w:cs="Arial" w:eastAsia="Arial" w:hAnsi="Arial"/>
              </w:rPr>
              <w:t xml:space="preserve">Combined</w:t>
            </w:r>
          </w:p>
        </w:tc>
        <w:tc>
          <w:tcPr>
            <w:tcW w:type="dxa" w:w="1880"/>
            <w:tcBorders>
              <w:top w:val="single" w:color="CCCCCC" w:sz="4"/>
              <w:left w:val="single" w:color="CCCCCC" w:sz="4"/>
              <w:bottom w:val="single" w:color="CCCCCC" w:sz="4"/>
              <w:right w:val="single" w:color="CCCCCC" w:sz="4"/>
            </w:tcBorders>
            <w:shd w:fill="E7E6E6" w:val="clear"/>
            <w:tcMar>
              <w:top w:type="dxa" w:w="80"/>
              <w:left w:type="dxa" w:w="100"/>
              <w:bottom w:type="dxa" w:w="80"/>
              <w:right w:type="dxa" w:w="100"/>
            </w:tcMar>
          </w:tcPr>
          <w:p>
            <w:pPr>
              <w:jc w:val="left"/>
            </w:pPr>
            <w:r>
              <w:rPr>
                <w:b/>
                <w:bCs/>
                <w:sz w:val="18"/>
                <w:szCs w:val="18"/>
                <w:rFonts w:ascii="Arial" w:cs="Arial" w:eastAsia="Arial" w:hAnsi="Arial"/>
              </w:rPr>
              <w:t xml:space="preserve">Source</w:t>
            </w:r>
          </w:p>
        </w:tc>
      </w:tr>
      <w:tr>
        <w:tc>
          <w:tcPr>
            <w:tcW w:type="dxa" w:w="1200"/>
            <w:tcBorders>
              <w:top w:val="single" w:color="CCCCCC" w:sz="4"/>
              <w:left w:val="single" w:color="CCCCCC" w:sz="4"/>
              <w:bottom w:val="single" w:color="CCCCCC" w:sz="4"/>
              <w:right w:val="single" w:color="CCCCCC" w:sz="4"/>
            </w:tcBorders>
            <w:tcMar>
              <w:top w:type="dxa" w:w="80"/>
              <w:left w:type="dxa" w:w="100"/>
              <w:bottom w:type="dxa" w:w="80"/>
              <w:right w:type="dxa" w:w="100"/>
            </w:tcMar>
          </w:tcPr>
          <w:p>
            <w:pPr>
              <w:jc w:val="left"/>
            </w:pPr>
            <w:r>
              <w:rPr>
                <w:sz w:val="18"/>
                <w:szCs w:val="18"/>
                <w:rFonts w:ascii="Arial" w:cs="Arial" w:eastAsia="Arial" w:hAnsi="Arial"/>
              </w:rPr>
              <w:t xml:space="preserve">Revenue</w:t>
            </w:r>
          </w:p>
        </w:tc>
        <w:tc>
          <w:tcPr>
            <w:tcW w:type="dxa" w:w="2200"/>
            <w:tcBorders>
              <w:top w:val="single" w:color="CCCCCC" w:sz="4"/>
              <w:left w:val="single" w:color="CCCCCC" w:sz="4"/>
              <w:bottom w:val="single" w:color="CCCCCC" w:sz="4"/>
              <w:right w:val="single" w:color="CCCCCC" w:sz="4"/>
            </w:tcBorders>
            <w:tcMar>
              <w:top w:type="dxa" w:w="80"/>
              <w:left w:type="dxa" w:w="100"/>
              <w:bottom w:type="dxa" w:w="80"/>
              <w:right w:type="dxa" w:w="100"/>
            </w:tcMar>
          </w:tcPr>
          <w:p>
            <w:pPr>
              <w:jc w:val="left"/>
            </w:pPr>
            <w:r>
              <w:rPr>
                <w:sz w:val="18"/>
                <w:szCs w:val="18"/>
                <w:rFonts w:ascii="Consolas" w:cs="Consolas" w:eastAsia="Consolas" w:hAnsi="Consolas"/>
              </w:rPr>
              <w:t xml:space="preserve">invoice.taxable_value</w:t>
            </w:r>
            <w:r>
              <w:rPr>
                <w:sz w:val="18"/>
                <w:szCs w:val="18"/>
                <w:rFonts w:ascii="Arial" w:cs="Arial" w:eastAsia="Arial" w:hAnsi="Arial"/>
              </w:rPr>
              <w:t xml:space="preserve"> where </w:t>
            </w:r>
            <w:r>
              <w:rPr>
                <w:sz w:val="18"/>
                <w:szCs w:val="18"/>
                <w:rFonts w:ascii="Consolas" w:cs="Consolas" w:eastAsia="Consolas" w:hAnsi="Consolas"/>
              </w:rPr>
              <w:t xml:space="preserve">doc_type IN ('tax_invoice','yarn_sale','general_sale')</w:t>
            </w:r>
            <w:r>
              <w:rPr>
                <w:sz w:val="18"/>
                <w:szCs w:val="18"/>
                <w:rFonts w:ascii="Arial" w:cs="Arial" w:eastAsia="Arial" w:hAnsi="Arial"/>
              </w:rPr>
              <w:t xml:space="preserve">, status not draft/cancelled, invoice_date in window</w:t>
            </w:r>
          </w:p>
        </w:tc>
        <w:tc>
          <w:tcPr>
            <w:tcW w:type="dxa" w:w="2200"/>
            <w:tcBorders>
              <w:top w:val="single" w:color="CCCCCC" w:sz="4"/>
              <w:left w:val="single" w:color="CCCCCC" w:sz="4"/>
              <w:bottom w:val="single" w:color="CCCCCC" w:sz="4"/>
              <w:right w:val="single" w:color="CCCCCC" w:sz="4"/>
            </w:tcBorders>
            <w:tcMar>
              <w:top w:type="dxa" w:w="80"/>
              <w:left w:type="dxa" w:w="100"/>
              <w:bottom w:type="dxa" w:w="80"/>
              <w:right w:type="dxa" w:w="100"/>
            </w:tcMar>
          </w:tcPr>
          <w:p>
            <w:pPr>
              <w:jc w:val="left"/>
            </w:pPr>
            <w:r>
              <w:rPr>
                <w:sz w:val="18"/>
                <w:szCs w:val="18"/>
                <w:rFonts w:ascii="Consolas" w:cs="Consolas" w:eastAsia="Consolas" w:hAnsi="Consolas"/>
              </w:rPr>
              <w:t xml:space="preserve">invoice.taxable_value</w:t>
            </w:r>
            <w:r>
              <w:rPr>
                <w:sz w:val="18"/>
                <w:szCs w:val="18"/>
                <w:rFonts w:ascii="Arial" w:cs="Arial" w:eastAsia="Arial" w:hAnsi="Arial"/>
              </w:rPr>
              <w:t xml:space="preserve"> where </w:t>
            </w:r>
            <w:r>
              <w:rPr>
                <w:sz w:val="18"/>
                <w:szCs w:val="18"/>
                <w:rFonts w:ascii="Consolas" w:cs="Consolas" w:eastAsia="Consolas" w:hAnsi="Consolas"/>
              </w:rPr>
              <w:t xml:space="preserve">doc_type IN ('jobwork_invoice','weaving_bill')</w:t>
            </w:r>
            <w:r>
              <w:rPr>
                <w:sz w:val="18"/>
                <w:szCs w:val="18"/>
                <w:rFonts w:ascii="Arial" w:cs="Arial" w:eastAsia="Arial" w:hAnsi="Arial"/>
              </w:rPr>
              <w:t xml:space="preserve">, same filters</w:t>
            </w:r>
          </w:p>
        </w:tc>
        <w:tc>
          <w:tcPr>
            <w:tcW w:type="dxa" w:w="1880"/>
            <w:tcBorders>
              <w:top w:val="single" w:color="CCCCCC" w:sz="4"/>
              <w:left w:val="single" w:color="CCCCCC" w:sz="4"/>
              <w:bottom w:val="single" w:color="CCCCCC" w:sz="4"/>
              <w:right w:val="single" w:color="CCCCCC" w:sz="4"/>
            </w:tcBorders>
            <w:tcMar>
              <w:top w:type="dxa" w:w="80"/>
              <w:left w:type="dxa" w:w="100"/>
              <w:bottom w:type="dxa" w:w="80"/>
              <w:right w:type="dxa" w:w="100"/>
            </w:tcMar>
          </w:tcPr>
          <w:p>
            <w:pPr>
              <w:jc w:val="left"/>
            </w:pPr>
            <w:r>
              <w:rPr>
                <w:sz w:val="18"/>
                <w:szCs w:val="18"/>
                <w:rFonts w:ascii="Arial" w:cs="Arial" w:eastAsia="Arial" w:hAnsi="Arial"/>
              </w:rPr>
              <w:t xml:space="preserve">own + jobwork</w:t>
            </w:r>
          </w:p>
        </w:tc>
        <w:tc>
          <w:tcPr>
            <w:tcW w:type="dxa" w:w="1880"/>
            <w:tcBorders>
              <w:top w:val="single" w:color="CCCCCC" w:sz="4"/>
              <w:left w:val="single" w:color="CCCCCC" w:sz="4"/>
              <w:bottom w:val="single" w:color="CCCCCC" w:sz="4"/>
              <w:right w:val="single" w:color="CCCCCC" w:sz="4"/>
            </w:tcBorders>
            <w:tcMar>
              <w:top w:type="dxa" w:w="80"/>
              <w:left w:type="dxa" w:w="100"/>
              <w:bottom w:type="dxa" w:w="80"/>
              <w:right w:type="dxa" w:w="100"/>
            </w:tcMar>
          </w:tcPr>
          <w:p>
            <w:pPr>
              <w:jc w:val="left"/>
            </w:pPr>
            <w:r>
              <w:rPr>
                <w:sz w:val="18"/>
                <w:szCs w:val="18"/>
                <w:rFonts w:ascii="Consolas" w:cs="Consolas" w:eastAsia="Consolas" w:hAnsi="Consolas"/>
              </w:rPr>
              <w:t xml:space="preserve">invoice</w:t>
            </w:r>
          </w:p>
        </w:tc>
      </w:tr>
      <w:tr>
        <w:tc>
          <w:tcPr>
            <w:tcW w:type="dxa" w:w="1200"/>
            <w:tcBorders>
              <w:top w:val="single" w:color="CCCCCC" w:sz="4"/>
              <w:left w:val="single" w:color="CCCCCC" w:sz="4"/>
              <w:bottom w:val="single" w:color="CCCCCC" w:sz="4"/>
              <w:right w:val="single" w:color="CCCCCC" w:sz="4"/>
            </w:tcBorders>
            <w:tcMar>
              <w:top w:type="dxa" w:w="80"/>
              <w:left w:type="dxa" w:w="100"/>
              <w:bottom w:type="dxa" w:w="80"/>
              <w:right w:type="dxa" w:w="100"/>
            </w:tcMar>
          </w:tcPr>
          <w:p>
            <w:pPr>
              <w:jc w:val="left"/>
            </w:pPr>
            <w:r>
              <w:rPr>
                <w:sz w:val="18"/>
                <w:szCs w:val="18"/>
                <w:rFonts w:ascii="Arial" w:cs="Arial" w:eastAsia="Arial" w:hAnsi="Arial"/>
              </w:rPr>
              <w:t xml:space="preserve">Credit Notes</w:t>
            </w:r>
          </w:p>
        </w:tc>
        <w:tc>
          <w:tcPr>
            <w:tcW w:type="dxa" w:w="2200"/>
            <w:tcBorders>
              <w:top w:val="single" w:color="CCCCCC" w:sz="4"/>
              <w:left w:val="single" w:color="CCCCCC" w:sz="4"/>
              <w:bottom w:val="single" w:color="CCCCCC" w:sz="4"/>
              <w:right w:val="single" w:color="CCCCCC" w:sz="4"/>
            </w:tcBorders>
            <w:tcMar>
              <w:top w:type="dxa" w:w="80"/>
              <w:left w:type="dxa" w:w="100"/>
              <w:bottom w:type="dxa" w:w="80"/>
              <w:right w:type="dxa" w:w="100"/>
            </w:tcMar>
          </w:tcPr>
          <w:p>
            <w:pPr>
              <w:jc w:val="left"/>
            </w:pPr>
            <w:r>
              <w:rPr>
                <w:sz w:val="18"/>
                <w:szCs w:val="18"/>
                <w:rFonts w:ascii="Consolas" w:cs="Consolas" w:eastAsia="Consolas" w:hAnsi="Consolas"/>
              </w:rPr>
              <w:t xml:space="preserve">invoice.taxable_value</w:t>
            </w:r>
            <w:r>
              <w:rPr>
                <w:sz w:val="18"/>
                <w:szCs w:val="18"/>
                <w:rFonts w:ascii="Arial" w:cs="Arial" w:eastAsia="Arial" w:hAnsi="Arial"/>
              </w:rPr>
              <w:t xml:space="preserve"> where </w:t>
            </w:r>
            <w:r>
              <w:rPr>
                <w:sz w:val="18"/>
                <w:szCs w:val="18"/>
                <w:rFonts w:ascii="Consolas" w:cs="Consolas" w:eastAsia="Consolas" w:hAnsi="Consolas"/>
              </w:rPr>
              <w:t xml:space="preserve">doc_type = 'credit_note'</w:t>
            </w:r>
            <w:r>
              <w:rPr>
                <w:sz w:val="18"/>
                <w:szCs w:val="18"/>
                <w:rFonts w:ascii="Arial" w:cs="Arial" w:eastAsia="Arial" w:hAnsi="Arial"/>
              </w:rPr>
              <w:t xml:space="preserve">, same filters (subtracted)</w:t>
            </w:r>
          </w:p>
        </w:tc>
        <w:tc>
          <w:tcPr>
            <w:tcW w:type="dxa" w:w="2200"/>
            <w:tcBorders>
              <w:top w:val="single" w:color="CCCCCC" w:sz="4"/>
              <w:left w:val="single" w:color="CCCCCC" w:sz="4"/>
              <w:bottom w:val="single" w:color="CCCCCC" w:sz="4"/>
              <w:right w:val="single" w:color="CCCCCC" w:sz="4"/>
            </w:tcBorders>
            <w:tcMar>
              <w:top w:type="dxa" w:w="80"/>
              <w:left w:type="dxa" w:w="100"/>
              <w:bottom w:type="dxa" w:w="80"/>
              <w:right w:type="dxa" w:w="100"/>
            </w:tcMar>
          </w:tcPr>
          <w:p>
            <w:pPr>
              <w:jc w:val="left"/>
            </w:pPr>
            <w:r>
              <w:rPr>
                <w:sz w:val="18"/>
                <w:szCs w:val="18"/>
                <w:rFonts w:ascii="Arial" w:cs="Arial" w:eastAsia="Arial" w:hAnsi="Arial"/>
              </w:rPr>
              <w:t xml:space="preserve">0</w:t>
            </w:r>
          </w:p>
        </w:tc>
        <w:tc>
          <w:tcPr>
            <w:tcW w:type="dxa" w:w="1880"/>
            <w:tcBorders>
              <w:top w:val="single" w:color="CCCCCC" w:sz="4"/>
              <w:left w:val="single" w:color="CCCCCC" w:sz="4"/>
              <w:bottom w:val="single" w:color="CCCCCC" w:sz="4"/>
              <w:right w:val="single" w:color="CCCCCC" w:sz="4"/>
            </w:tcBorders>
            <w:tcMar>
              <w:top w:type="dxa" w:w="80"/>
              <w:left w:type="dxa" w:w="100"/>
              <w:bottom w:type="dxa" w:w="80"/>
              <w:right w:type="dxa" w:w="100"/>
            </w:tcMar>
          </w:tcPr>
          <w:p>
            <w:pPr>
              <w:jc w:val="left"/>
            </w:pPr>
            <w:r>
              <w:rPr>
                <w:sz w:val="18"/>
                <w:szCs w:val="18"/>
                <w:rFonts w:ascii="Arial" w:cs="Arial" w:eastAsia="Arial" w:hAnsi="Arial"/>
              </w:rPr>
              <w:t xml:space="preserve">own</w:t>
            </w:r>
          </w:p>
        </w:tc>
        <w:tc>
          <w:tcPr>
            <w:tcW w:type="dxa" w:w="1880"/>
            <w:tcBorders>
              <w:top w:val="single" w:color="CCCCCC" w:sz="4"/>
              <w:left w:val="single" w:color="CCCCCC" w:sz="4"/>
              <w:bottom w:val="single" w:color="CCCCCC" w:sz="4"/>
              <w:right w:val="single" w:color="CCCCCC" w:sz="4"/>
            </w:tcBorders>
            <w:tcMar>
              <w:top w:type="dxa" w:w="80"/>
              <w:left w:type="dxa" w:w="100"/>
              <w:bottom w:type="dxa" w:w="80"/>
              <w:right w:type="dxa" w:w="100"/>
            </w:tcMar>
          </w:tcPr>
          <w:p>
            <w:pPr>
              <w:jc w:val="left"/>
            </w:pPr>
            <w:r>
              <w:rPr>
                <w:sz w:val="18"/>
                <w:szCs w:val="18"/>
                <w:rFonts w:ascii="Consolas" w:cs="Consolas" w:eastAsia="Consolas" w:hAnsi="Consolas"/>
              </w:rPr>
              <w:t xml:space="preserve">invoice</w:t>
            </w:r>
          </w:p>
        </w:tc>
      </w:tr>
      <w:tr>
        <w:tc>
          <w:tcPr>
            <w:tcW w:type="dxa" w:w="1200"/>
            <w:tcBorders>
              <w:top w:val="single" w:color="CCCCCC" w:sz="4"/>
              <w:left w:val="single" w:color="CCCCCC" w:sz="4"/>
              <w:bottom w:val="single" w:color="CCCCCC" w:sz="4"/>
              <w:right w:val="single" w:color="CCCCCC" w:sz="4"/>
            </w:tcBorders>
            <w:tcMar>
              <w:top w:type="dxa" w:w="80"/>
              <w:left w:type="dxa" w:w="100"/>
              <w:bottom w:type="dxa" w:w="80"/>
              <w:right w:type="dxa" w:w="100"/>
            </w:tcMar>
          </w:tcPr>
          <w:p>
            <w:pPr>
              <w:jc w:val="left"/>
            </w:pPr>
            <w:r>
              <w:rPr>
                <w:sz w:val="18"/>
                <w:szCs w:val="18"/>
                <w:rFonts w:ascii="Arial" w:cs="Arial" w:eastAsia="Arial" w:hAnsi="Arial"/>
              </w:rPr>
              <w:t xml:space="preserve">COGS</w:t>
            </w:r>
          </w:p>
        </w:tc>
        <w:tc>
          <w:tcPr>
            <w:tcW w:type="dxa" w:w="2200"/>
            <w:tcBorders>
              <w:top w:val="single" w:color="CCCCCC" w:sz="4"/>
              <w:left w:val="single" w:color="CCCCCC" w:sz="4"/>
              <w:bottom w:val="single" w:color="CCCCCC" w:sz="4"/>
              <w:right w:val="single" w:color="CCCCCC" w:sz="4"/>
            </w:tcBorders>
            <w:tcMar>
              <w:top w:type="dxa" w:w="80"/>
              <w:left w:type="dxa" w:w="100"/>
              <w:bottom w:type="dxa" w:w="80"/>
              <w:right w:type="dxa" w:w="100"/>
            </w:tcMar>
          </w:tcPr>
          <w:p>
            <w:pPr>
              <w:jc w:val="left"/>
            </w:pPr>
            <w:r>
              <w:rPr>
                <w:sz w:val="18"/>
                <w:szCs w:val="18"/>
                <w:rFonts w:ascii="Consolas" w:cs="Consolas" w:eastAsia="Consolas" w:hAnsi="Consolas"/>
              </w:rPr>
              <w:t xml:space="preserve">SUM(produced_m × actual_true_cost_per_m)</w:t>
            </w:r>
            <w:r>
              <w:rPr>
                <w:sz w:val="18"/>
                <w:szCs w:val="18"/>
                <w:rFonts w:ascii="Arial" w:cs="Arial" w:eastAsia="Arial" w:hAnsi="Arial"/>
              </w:rPr>
              <w:t xml:space="preserve"> where </w:t>
            </w:r>
            <w:r>
              <w:rPr>
                <w:sz w:val="18"/>
                <w:szCs w:val="18"/>
                <w:rFonts w:ascii="Consolas" w:cs="Consolas" w:eastAsia="Consolas" w:hAnsi="Consolas"/>
              </w:rPr>
              <w:t xml:space="preserve">end_date</w:t>
            </w:r>
            <w:r>
              <w:rPr>
                <w:sz w:val="18"/>
                <w:szCs w:val="18"/>
                <w:rFonts w:ascii="Arial" w:cs="Arial" w:eastAsia="Arial" w:hAnsi="Arial"/>
              </w:rPr>
              <w:t xml:space="preserve"> in window</w:t>
            </w:r>
          </w:p>
        </w:tc>
        <w:tc>
          <w:tcPr>
            <w:tcW w:type="dxa" w:w="2200"/>
            <w:tcBorders>
              <w:top w:val="single" w:color="CCCCCC" w:sz="4"/>
              <w:left w:val="single" w:color="CCCCCC" w:sz="4"/>
              <w:bottom w:val="single" w:color="CCCCCC" w:sz="4"/>
              <w:right w:val="single" w:color="CCCCCC" w:sz="4"/>
            </w:tcBorders>
            <w:tcMar>
              <w:top w:type="dxa" w:w="80"/>
              <w:left w:type="dxa" w:w="100"/>
              <w:bottom w:type="dxa" w:w="80"/>
              <w:right w:type="dxa" w:w="100"/>
            </w:tcMar>
          </w:tcPr>
          <w:p>
            <w:pPr>
              <w:jc w:val="left"/>
            </w:pPr>
            <w:r>
              <w:rPr>
                <w:sz w:val="18"/>
                <w:szCs w:val="18"/>
                <w:rFonts w:ascii="Arial" w:cs="Arial" w:eastAsia="Arial" w:hAnsi="Arial"/>
              </w:rPr>
              <w:t xml:space="preserve">0 (customer's yarn)</w:t>
            </w:r>
          </w:p>
        </w:tc>
        <w:tc>
          <w:tcPr>
            <w:tcW w:type="dxa" w:w="1880"/>
            <w:tcBorders>
              <w:top w:val="single" w:color="CCCCCC" w:sz="4"/>
              <w:left w:val="single" w:color="CCCCCC" w:sz="4"/>
              <w:bottom w:val="single" w:color="CCCCCC" w:sz="4"/>
              <w:right w:val="single" w:color="CCCCCC" w:sz="4"/>
            </w:tcBorders>
            <w:tcMar>
              <w:top w:type="dxa" w:w="80"/>
              <w:left w:type="dxa" w:w="100"/>
              <w:bottom w:type="dxa" w:w="80"/>
              <w:right w:type="dxa" w:w="100"/>
            </w:tcMar>
          </w:tcPr>
          <w:p>
            <w:pPr>
              <w:jc w:val="left"/>
            </w:pPr>
            <w:r>
              <w:rPr>
                <w:sz w:val="18"/>
                <w:szCs w:val="18"/>
                <w:rFonts w:ascii="Arial" w:cs="Arial" w:eastAsia="Arial" w:hAnsi="Arial"/>
              </w:rPr>
              <w:t xml:space="preserve">own</w:t>
            </w:r>
          </w:p>
        </w:tc>
        <w:tc>
          <w:tcPr>
            <w:tcW w:type="dxa" w:w="1880"/>
            <w:tcBorders>
              <w:top w:val="single" w:color="CCCCCC" w:sz="4"/>
              <w:left w:val="single" w:color="CCCCCC" w:sz="4"/>
              <w:bottom w:val="single" w:color="CCCCCC" w:sz="4"/>
              <w:right w:val="single" w:color="CCCCCC" w:sz="4"/>
            </w:tcBorders>
            <w:tcMar>
              <w:top w:type="dxa" w:w="80"/>
              <w:left w:type="dxa" w:w="100"/>
              <w:bottom w:type="dxa" w:w="80"/>
              <w:right w:type="dxa" w:w="100"/>
            </w:tcMar>
          </w:tcPr>
          <w:p>
            <w:pPr>
              <w:jc w:val="left"/>
            </w:pPr>
            <w:r>
              <w:rPr>
                <w:sz w:val="18"/>
                <w:szCs w:val="18"/>
                <w:rFonts w:ascii="Consolas" w:cs="Consolas" w:eastAsia="Consolas" w:hAnsi="Consolas"/>
              </w:rPr>
              <w:t xml:space="preserve">production_batch</w:t>
            </w:r>
          </w:p>
        </w:tc>
      </w:tr>
      <w:tr>
        <w:tc>
          <w:tcPr>
            <w:tcW w:type="dxa" w:w="1200"/>
            <w:tcBorders>
              <w:top w:val="single" w:color="CCCCCC" w:sz="4"/>
              <w:left w:val="single" w:color="CCCCCC" w:sz="4"/>
              <w:bottom w:val="single" w:color="CCCCCC" w:sz="4"/>
              <w:right w:val="single" w:color="CCCCCC" w:sz="4"/>
            </w:tcBorders>
            <w:shd w:fill="F9F9F9" w:val="clear"/>
            <w:tcMar>
              <w:top w:type="dxa" w:w="80"/>
              <w:left w:type="dxa" w:w="100"/>
              <w:bottom w:type="dxa" w:w="80"/>
              <w:right w:type="dxa" w:w="100"/>
            </w:tcMar>
          </w:tcPr>
          <w:p>
            <w:pPr>
              <w:jc w:val="left"/>
            </w:pPr>
            <w:r>
              <w:rPr>
                <w:b/>
                <w:bCs/>
                <w:sz w:val="18"/>
                <w:szCs w:val="18"/>
                <w:rFonts w:ascii="Arial" w:cs="Arial" w:eastAsia="Arial" w:hAnsi="Arial"/>
              </w:rPr>
              <w:t xml:space="preserve">Gross Profit</w:t>
            </w:r>
          </w:p>
        </w:tc>
        <w:tc>
          <w:tcPr>
            <w:tcW w:type="dxa" w:w="2200"/>
            <w:tcBorders>
              <w:top w:val="single" w:color="CCCCCC" w:sz="4"/>
              <w:left w:val="single" w:color="CCCCCC" w:sz="4"/>
              <w:bottom w:val="single" w:color="CCCCCC" w:sz="4"/>
              <w:right w:val="single" w:color="CCCCCC" w:sz="4"/>
            </w:tcBorders>
            <w:shd w:fill="F9F9F9" w:val="clear"/>
            <w:tcMar>
              <w:top w:type="dxa" w:w="80"/>
              <w:left w:type="dxa" w:w="100"/>
              <w:bottom w:type="dxa" w:w="80"/>
              <w:right w:type="dxa" w:w="100"/>
            </w:tcMar>
          </w:tcPr>
          <w:p>
            <w:pPr>
              <w:jc w:val="left"/>
            </w:pPr>
            <w:r>
              <w:rPr>
                <w:sz w:val="18"/>
                <w:szCs w:val="18"/>
                <w:rFonts w:ascii="Arial" w:cs="Arial" w:eastAsia="Arial" w:hAnsi="Arial"/>
              </w:rPr>
              <w:t xml:space="preserve">Revenue − Credit Notes − COGS</w:t>
            </w:r>
          </w:p>
        </w:tc>
        <w:tc>
          <w:tcPr>
            <w:tcW w:type="dxa" w:w="2200"/>
            <w:tcBorders>
              <w:top w:val="single" w:color="CCCCCC" w:sz="4"/>
              <w:left w:val="single" w:color="CCCCCC" w:sz="4"/>
              <w:bottom w:val="single" w:color="CCCCCC" w:sz="4"/>
              <w:right w:val="single" w:color="CCCCCC" w:sz="4"/>
            </w:tcBorders>
            <w:shd w:fill="F9F9F9" w:val="clear"/>
            <w:tcMar>
              <w:top w:type="dxa" w:w="80"/>
              <w:left w:type="dxa" w:w="100"/>
              <w:bottom w:type="dxa" w:w="80"/>
              <w:right w:type="dxa" w:w="100"/>
            </w:tcMar>
          </w:tcPr>
          <w:p>
            <w:pPr>
              <w:jc w:val="left"/>
            </w:pPr>
            <w:r>
              <w:rPr>
                <w:sz w:val="18"/>
                <w:szCs w:val="18"/>
                <w:rFonts w:ascii="Arial" w:cs="Arial" w:eastAsia="Arial" w:hAnsi="Arial"/>
              </w:rPr>
              <w:t xml:space="preserve">Jobwork Revenue</w:t>
            </w:r>
          </w:p>
        </w:tc>
        <w:tc>
          <w:tcPr>
            <w:tcW w:type="dxa" w:w="1880"/>
            <w:tcBorders>
              <w:top w:val="single" w:color="CCCCCC" w:sz="4"/>
              <w:left w:val="single" w:color="CCCCCC" w:sz="4"/>
              <w:bottom w:val="single" w:color="CCCCCC" w:sz="4"/>
              <w:right w:val="single" w:color="CCCCCC" w:sz="4"/>
            </w:tcBorders>
            <w:shd w:fill="F9F9F9" w:val="clear"/>
            <w:tcMar>
              <w:top w:type="dxa" w:w="80"/>
              <w:left w:type="dxa" w:w="100"/>
              <w:bottom w:type="dxa" w:w="80"/>
              <w:right w:type="dxa" w:w="100"/>
            </w:tcMar>
          </w:tcPr>
          <w:p>
            <w:pPr>
              <w:jc w:val="left"/>
            </w:pPr>
            <w:r>
              <w:rPr>
                <w:sz w:val="18"/>
                <w:szCs w:val="18"/>
                <w:rFonts w:ascii="Arial" w:cs="Arial" w:eastAsia="Arial" w:hAnsi="Arial"/>
              </w:rPr>
              <w:t xml:space="preserve">sum</w:t>
            </w:r>
          </w:p>
        </w:tc>
        <w:tc>
          <w:tcPr>
            <w:tcW w:type="dxa" w:w="1880"/>
            <w:tcBorders>
              <w:top w:val="single" w:color="CCCCCC" w:sz="4"/>
              <w:left w:val="single" w:color="CCCCCC" w:sz="4"/>
              <w:bottom w:val="single" w:color="CCCCCC" w:sz="4"/>
              <w:right w:val="single" w:color="CCCCCC" w:sz="4"/>
            </w:tcBorders>
            <w:shd w:fill="F9F9F9" w:val="clear"/>
            <w:tcMar>
              <w:top w:type="dxa" w:w="80"/>
              <w:left w:type="dxa" w:w="100"/>
              <w:bottom w:type="dxa" w:w="80"/>
              <w:right w:type="dxa" w:w="100"/>
            </w:tcMar>
          </w:tcPr>
          <w:p>
            <w:pPr>
              <w:jc w:val="left"/>
            </w:pPr>
            <w:r>
              <w:rPr>
                <w:sz w:val="18"/>
                <w:szCs w:val="18"/>
                <w:rFonts w:ascii="Arial" w:cs="Arial" w:eastAsia="Arial" w:hAnsi="Arial"/>
              </w:rPr>
              <w:t xml:space="preserve">derived</w:t>
            </w:r>
          </w:p>
        </w:tc>
      </w:tr>
      <w:tr>
        <w:tc>
          <w:tcPr>
            <w:tcW w:type="dxa" w:w="1200"/>
            <w:tcBorders>
              <w:top w:val="single" w:color="CCCCCC" w:sz="4"/>
              <w:left w:val="single" w:color="CCCCCC" w:sz="4"/>
              <w:bottom w:val="single" w:color="CCCCCC" w:sz="4"/>
              <w:right w:val="single" w:color="CCCCCC" w:sz="4"/>
            </w:tcBorders>
            <w:tcMar>
              <w:top w:type="dxa" w:w="80"/>
              <w:left w:type="dxa" w:w="100"/>
              <w:bottom w:type="dxa" w:w="80"/>
              <w:right w:type="dxa" w:w="100"/>
            </w:tcMar>
          </w:tcPr>
          <w:p>
            <w:pPr>
              <w:jc w:val="left"/>
            </w:pPr>
            <w:r>
              <w:rPr>
                <w:sz w:val="18"/>
                <w:szCs w:val="18"/>
                <w:rFonts w:ascii="Arial" w:cs="Arial" w:eastAsia="Arial" w:hAnsi="Arial"/>
              </w:rPr>
              <w:t xml:space="preserve">Wages</w:t>
            </w:r>
          </w:p>
        </w:tc>
        <w:tc>
          <w:tcPr>
            <w:tcW w:type="dxa" w:w="2200"/>
            <w:tcBorders>
              <w:top w:val="single" w:color="CCCCCC" w:sz="4"/>
              <w:left w:val="single" w:color="CCCCCC" w:sz="4"/>
              <w:bottom w:val="single" w:color="CCCCCC" w:sz="4"/>
              <w:right w:val="single" w:color="CCCCCC" w:sz="4"/>
            </w:tcBorders>
            <w:tcMar>
              <w:top w:type="dxa" w:w="80"/>
              <w:left w:type="dxa" w:w="100"/>
              <w:bottom w:type="dxa" w:w="80"/>
              <w:right w:type="dxa" w:w="100"/>
            </w:tcMar>
          </w:tcPr>
          <w:p>
            <w:pPr>
              <w:jc w:val="left"/>
            </w:pPr>
            <w:r>
              <w:rPr>
                <w:sz w:val="18"/>
                <w:szCs w:val="18"/>
                <w:rFonts w:ascii="Consolas" w:cs="Consolas" w:eastAsia="Consolas" w:hAnsi="Consolas"/>
              </w:rPr>
              <w:t xml:space="preserve">wage_entry.amount × own_share</w:t>
            </w:r>
            <w:r>
              <w:rPr>
                <w:sz w:val="18"/>
                <w:szCs w:val="18"/>
                <w:rFonts w:ascii="Arial" w:cs="Arial" w:eastAsia="Arial" w:hAnsi="Arial"/>
              </w:rPr>
              <w:t xml:space="preserve"> in window</w:t>
            </w:r>
          </w:p>
        </w:tc>
        <w:tc>
          <w:tcPr>
            <w:tcW w:type="dxa" w:w="2200"/>
            <w:tcBorders>
              <w:top w:val="single" w:color="CCCCCC" w:sz="4"/>
              <w:left w:val="single" w:color="CCCCCC" w:sz="4"/>
              <w:bottom w:val="single" w:color="CCCCCC" w:sz="4"/>
              <w:right w:val="single" w:color="CCCCCC" w:sz="4"/>
            </w:tcBorders>
            <w:tcMar>
              <w:top w:type="dxa" w:w="80"/>
              <w:left w:type="dxa" w:w="100"/>
              <w:bottom w:type="dxa" w:w="80"/>
              <w:right w:type="dxa" w:w="100"/>
            </w:tcMar>
          </w:tcPr>
          <w:p>
            <w:pPr>
              <w:jc w:val="left"/>
            </w:pPr>
            <w:r>
              <w:rPr>
                <w:sz w:val="18"/>
                <w:szCs w:val="18"/>
                <w:rFonts w:ascii="Consolas" w:cs="Consolas" w:eastAsia="Consolas" w:hAnsi="Consolas"/>
              </w:rPr>
              <w:t xml:space="preserve">wage_entry.amount × jw_share</w:t>
            </w:r>
            <w:r>
              <w:rPr>
                <w:sz w:val="18"/>
                <w:szCs w:val="18"/>
                <w:rFonts w:ascii="Arial" w:cs="Arial" w:eastAsia="Arial" w:hAnsi="Arial"/>
              </w:rPr>
              <w:t xml:space="preserve"> in window</w:t>
            </w:r>
          </w:p>
        </w:tc>
        <w:tc>
          <w:tcPr>
            <w:tcW w:type="dxa" w:w="1880"/>
            <w:tcBorders>
              <w:top w:val="single" w:color="CCCCCC" w:sz="4"/>
              <w:left w:val="single" w:color="CCCCCC" w:sz="4"/>
              <w:bottom w:val="single" w:color="CCCCCC" w:sz="4"/>
              <w:right w:val="single" w:color="CCCCCC" w:sz="4"/>
            </w:tcBorders>
            <w:tcMar>
              <w:top w:type="dxa" w:w="80"/>
              <w:left w:type="dxa" w:w="100"/>
              <w:bottom w:type="dxa" w:w="80"/>
              <w:right w:type="dxa" w:w="100"/>
            </w:tcMar>
          </w:tcPr>
          <w:p>
            <w:pPr>
              <w:jc w:val="left"/>
            </w:pPr>
            <w:r>
              <w:rPr>
                <w:sz w:val="18"/>
                <w:szCs w:val="18"/>
                <w:rFonts w:ascii="Arial" w:cs="Arial" w:eastAsia="Arial" w:hAnsi="Arial"/>
              </w:rPr>
              <w:t xml:space="preserve">full sum</w:t>
            </w:r>
          </w:p>
        </w:tc>
        <w:tc>
          <w:tcPr>
            <w:tcW w:type="dxa" w:w="1880"/>
            <w:tcBorders>
              <w:top w:val="single" w:color="CCCCCC" w:sz="4"/>
              <w:left w:val="single" w:color="CCCCCC" w:sz="4"/>
              <w:bottom w:val="single" w:color="CCCCCC" w:sz="4"/>
              <w:right w:val="single" w:color="CCCCCC" w:sz="4"/>
            </w:tcBorders>
            <w:tcMar>
              <w:top w:type="dxa" w:w="80"/>
              <w:left w:type="dxa" w:w="100"/>
              <w:bottom w:type="dxa" w:w="80"/>
              <w:right w:type="dxa" w:w="100"/>
            </w:tcMar>
          </w:tcPr>
          <w:p>
            <w:pPr>
              <w:jc w:val="left"/>
            </w:pPr>
            <w:r>
              <w:rPr>
                <w:sz w:val="18"/>
                <w:szCs w:val="18"/>
                <w:rFonts w:ascii="Consolas" w:cs="Consolas" w:eastAsia="Consolas" w:hAnsi="Consolas"/>
              </w:rPr>
              <w:t xml:space="preserve">wage_entry</w:t>
            </w:r>
          </w:p>
        </w:tc>
      </w:tr>
      <w:tr>
        <w:tc>
          <w:tcPr>
            <w:tcW w:type="dxa" w:w="1200"/>
            <w:tcBorders>
              <w:top w:val="single" w:color="CCCCCC" w:sz="4"/>
              <w:left w:val="single" w:color="CCCCCC" w:sz="4"/>
              <w:bottom w:val="single" w:color="CCCCCC" w:sz="4"/>
              <w:right w:val="single" w:color="CCCCCC" w:sz="4"/>
            </w:tcBorders>
            <w:tcMar>
              <w:top w:type="dxa" w:w="80"/>
              <w:left w:type="dxa" w:w="100"/>
              <w:bottom w:type="dxa" w:w="80"/>
              <w:right w:type="dxa" w:w="100"/>
            </w:tcMar>
          </w:tcPr>
          <w:p>
            <w:pPr>
              <w:jc w:val="left"/>
            </w:pPr>
            <w:r>
              <w:rPr>
                <w:sz w:val="18"/>
                <w:szCs w:val="18"/>
                <w:rFonts w:ascii="Arial" w:cs="Arial" w:eastAsia="Arial" w:hAnsi="Arial"/>
              </w:rPr>
              <w:t xml:space="preserve">Factory Expenses</w:t>
            </w:r>
          </w:p>
        </w:tc>
        <w:tc>
          <w:tcPr>
            <w:tcW w:type="dxa" w:w="2200"/>
            <w:tcBorders>
              <w:top w:val="single" w:color="CCCCCC" w:sz="4"/>
              <w:left w:val="single" w:color="CCCCCC" w:sz="4"/>
              <w:bottom w:val="single" w:color="CCCCCC" w:sz="4"/>
              <w:right w:val="single" w:color="CCCCCC" w:sz="4"/>
            </w:tcBorders>
            <w:tcMar>
              <w:top w:type="dxa" w:w="80"/>
              <w:left w:type="dxa" w:w="100"/>
              <w:bottom w:type="dxa" w:w="80"/>
              <w:right w:type="dxa" w:w="100"/>
            </w:tcMar>
          </w:tcPr>
          <w:p>
            <w:pPr>
              <w:jc w:val="left"/>
            </w:pPr>
            <w:r>
              <w:rPr>
                <w:sz w:val="18"/>
                <w:szCs w:val="18"/>
                <w:rFonts w:ascii="Consolas" w:cs="Consolas" w:eastAsia="Consolas" w:hAnsi="Consolas"/>
              </w:rPr>
              <w:t xml:space="preserve">expense_entry.amount × own_share</w:t>
            </w:r>
            <w:r>
              <w:rPr>
                <w:sz w:val="18"/>
                <w:szCs w:val="18"/>
                <w:rFonts w:ascii="Arial" w:cs="Arial" w:eastAsia="Arial" w:hAnsi="Arial"/>
              </w:rPr>
              <w:t xml:space="preserve"> in window</w:t>
            </w:r>
          </w:p>
        </w:tc>
        <w:tc>
          <w:tcPr>
            <w:tcW w:type="dxa" w:w="2200"/>
            <w:tcBorders>
              <w:top w:val="single" w:color="CCCCCC" w:sz="4"/>
              <w:left w:val="single" w:color="CCCCCC" w:sz="4"/>
              <w:bottom w:val="single" w:color="CCCCCC" w:sz="4"/>
              <w:right w:val="single" w:color="CCCCCC" w:sz="4"/>
            </w:tcBorders>
            <w:tcMar>
              <w:top w:type="dxa" w:w="80"/>
              <w:left w:type="dxa" w:w="100"/>
              <w:bottom w:type="dxa" w:w="80"/>
              <w:right w:type="dxa" w:w="100"/>
            </w:tcMar>
          </w:tcPr>
          <w:p>
            <w:pPr>
              <w:jc w:val="left"/>
            </w:pPr>
            <w:r>
              <w:rPr>
                <w:sz w:val="18"/>
                <w:szCs w:val="18"/>
                <w:rFonts w:ascii="Consolas" w:cs="Consolas" w:eastAsia="Consolas" w:hAnsi="Consolas"/>
              </w:rPr>
              <w:t xml:space="preserve">expense_entry.amount × jw_share</w:t>
            </w:r>
            <w:r>
              <w:rPr>
                <w:sz w:val="18"/>
                <w:szCs w:val="18"/>
                <w:rFonts w:ascii="Arial" w:cs="Arial" w:eastAsia="Arial" w:hAnsi="Arial"/>
              </w:rPr>
              <w:t xml:space="preserve"> in window</w:t>
            </w:r>
          </w:p>
        </w:tc>
        <w:tc>
          <w:tcPr>
            <w:tcW w:type="dxa" w:w="1880"/>
            <w:tcBorders>
              <w:top w:val="single" w:color="CCCCCC" w:sz="4"/>
              <w:left w:val="single" w:color="CCCCCC" w:sz="4"/>
              <w:bottom w:val="single" w:color="CCCCCC" w:sz="4"/>
              <w:right w:val="single" w:color="CCCCCC" w:sz="4"/>
            </w:tcBorders>
            <w:tcMar>
              <w:top w:type="dxa" w:w="80"/>
              <w:left w:type="dxa" w:w="100"/>
              <w:bottom w:type="dxa" w:w="80"/>
              <w:right w:type="dxa" w:w="100"/>
            </w:tcMar>
          </w:tcPr>
          <w:p>
            <w:pPr>
              <w:jc w:val="left"/>
            </w:pPr>
            <w:r>
              <w:rPr>
                <w:sz w:val="18"/>
                <w:szCs w:val="18"/>
                <w:rFonts w:ascii="Arial" w:cs="Arial" w:eastAsia="Arial" w:hAnsi="Arial"/>
              </w:rPr>
              <w:t xml:space="preserve">full sum</w:t>
            </w:r>
          </w:p>
        </w:tc>
        <w:tc>
          <w:tcPr>
            <w:tcW w:type="dxa" w:w="1880"/>
            <w:tcBorders>
              <w:top w:val="single" w:color="CCCCCC" w:sz="4"/>
              <w:left w:val="single" w:color="CCCCCC" w:sz="4"/>
              <w:bottom w:val="single" w:color="CCCCCC" w:sz="4"/>
              <w:right w:val="single" w:color="CCCCCC" w:sz="4"/>
            </w:tcBorders>
            <w:tcMar>
              <w:top w:type="dxa" w:w="80"/>
              <w:left w:type="dxa" w:w="100"/>
              <w:bottom w:type="dxa" w:w="80"/>
              <w:right w:type="dxa" w:w="100"/>
            </w:tcMar>
          </w:tcPr>
          <w:p>
            <w:pPr>
              <w:jc w:val="left"/>
            </w:pPr>
            <w:r>
              <w:rPr>
                <w:sz w:val="18"/>
                <w:szCs w:val="18"/>
                <w:rFonts w:ascii="Consolas" w:cs="Consolas" w:eastAsia="Consolas" w:hAnsi="Consolas"/>
              </w:rPr>
              <w:t xml:space="preserve">expense_entry</w:t>
            </w:r>
          </w:p>
        </w:tc>
      </w:tr>
      <w:tr>
        <w:tc>
          <w:tcPr>
            <w:tcW w:type="dxa" w:w="1200"/>
            <w:tcBorders>
              <w:top w:val="single" w:color="CCCCCC" w:sz="4"/>
              <w:left w:val="single" w:color="CCCCCC" w:sz="4"/>
              <w:bottom w:val="single" w:color="CCCCCC" w:sz="4"/>
              <w:right w:val="single" w:color="CCCCCC" w:sz="4"/>
            </w:tcBorders>
            <w:tcMar>
              <w:top w:type="dxa" w:w="80"/>
              <w:left w:type="dxa" w:w="100"/>
              <w:bottom w:type="dxa" w:w="80"/>
              <w:right w:type="dxa" w:w="100"/>
            </w:tcMar>
          </w:tcPr>
          <w:p>
            <w:pPr>
              <w:jc w:val="left"/>
            </w:pPr>
            <w:r>
              <w:rPr>
                <w:sz w:val="18"/>
                <w:szCs w:val="18"/>
                <w:rFonts w:ascii="Arial" w:cs="Arial" w:eastAsia="Arial" w:hAnsi="Arial"/>
              </w:rPr>
              <w:t xml:space="preserve">Bank Expenses</w:t>
            </w:r>
          </w:p>
        </w:tc>
        <w:tc>
          <w:tcPr>
            <w:tcW w:type="dxa" w:w="2200"/>
            <w:tcBorders>
              <w:top w:val="single" w:color="CCCCCC" w:sz="4"/>
              <w:left w:val="single" w:color="CCCCCC" w:sz="4"/>
              <w:bottom w:val="single" w:color="CCCCCC" w:sz="4"/>
              <w:right w:val="single" w:color="CCCCCC" w:sz="4"/>
            </w:tcBorders>
            <w:tcMar>
              <w:top w:type="dxa" w:w="80"/>
              <w:left w:type="dxa" w:w="100"/>
              <w:bottom w:type="dxa" w:w="80"/>
              <w:right w:type="dxa" w:w="100"/>
            </w:tcMar>
          </w:tcPr>
          <w:p>
            <w:pPr>
              <w:jc w:val="left"/>
            </w:pPr>
            <w:r>
              <w:rPr>
                <w:sz w:val="18"/>
                <w:szCs w:val="18"/>
                <w:rFonts w:ascii="Consolas" w:cs="Consolas" w:eastAsia="Consolas" w:hAnsi="Consolas"/>
              </w:rPr>
              <w:t xml:space="preserve">bank_entry.amount × own_share</w:t>
            </w:r>
            <w:r>
              <w:rPr>
                <w:sz w:val="18"/>
                <w:szCs w:val="18"/>
                <w:rFonts w:ascii="Arial" w:cs="Arial" w:eastAsia="Arial" w:hAnsi="Arial"/>
              </w:rPr>
              <w:t xml:space="preserve"> where </w:t>
            </w:r>
            <w:r>
              <w:rPr>
                <w:sz w:val="18"/>
                <w:szCs w:val="18"/>
                <w:rFonts w:ascii="Consolas" w:cs="Consolas" w:eastAsia="Consolas" w:hAnsi="Consolas"/>
              </w:rPr>
              <w:t xml:space="preserve">pl_treatment='expense'</w:t>
            </w:r>
            <w:r>
              <w:rPr>
                <w:sz w:val="18"/>
                <w:szCs w:val="18"/>
                <w:rFonts w:ascii="Arial" w:cs="Arial" w:eastAsia="Arial" w:hAnsi="Arial"/>
              </w:rPr>
              <w:t xml:space="preserve">, direction='out', status='active'</w:t>
            </w:r>
          </w:p>
        </w:tc>
        <w:tc>
          <w:tcPr>
            <w:tcW w:type="dxa" w:w="2200"/>
            <w:tcBorders>
              <w:top w:val="single" w:color="CCCCCC" w:sz="4"/>
              <w:left w:val="single" w:color="CCCCCC" w:sz="4"/>
              <w:bottom w:val="single" w:color="CCCCCC" w:sz="4"/>
              <w:right w:val="single" w:color="CCCCCC" w:sz="4"/>
            </w:tcBorders>
            <w:tcMar>
              <w:top w:type="dxa" w:w="80"/>
              <w:left w:type="dxa" w:w="100"/>
              <w:bottom w:type="dxa" w:w="80"/>
              <w:right w:type="dxa" w:w="100"/>
            </w:tcMar>
          </w:tcPr>
          <w:p>
            <w:pPr>
              <w:jc w:val="left"/>
            </w:pPr>
            <w:r>
              <w:rPr>
                <w:sz w:val="18"/>
                <w:szCs w:val="18"/>
                <w:rFonts w:ascii="Consolas" w:cs="Consolas" w:eastAsia="Consolas" w:hAnsi="Consolas"/>
              </w:rPr>
              <w:t xml:space="preserve">bank_entry.amount × jw_share</w:t>
            </w:r>
            <w:r>
              <w:rPr>
                <w:sz w:val="18"/>
                <w:szCs w:val="18"/>
                <w:rFonts w:ascii="Arial" w:cs="Arial" w:eastAsia="Arial" w:hAnsi="Arial"/>
              </w:rPr>
              <w:t xml:space="preserve">, same filters</w:t>
            </w:r>
          </w:p>
        </w:tc>
        <w:tc>
          <w:tcPr>
            <w:tcW w:type="dxa" w:w="1880"/>
            <w:tcBorders>
              <w:top w:val="single" w:color="CCCCCC" w:sz="4"/>
              <w:left w:val="single" w:color="CCCCCC" w:sz="4"/>
              <w:bottom w:val="single" w:color="CCCCCC" w:sz="4"/>
              <w:right w:val="single" w:color="CCCCCC" w:sz="4"/>
            </w:tcBorders>
            <w:tcMar>
              <w:top w:type="dxa" w:w="80"/>
              <w:left w:type="dxa" w:w="100"/>
              <w:bottom w:type="dxa" w:w="80"/>
              <w:right w:type="dxa" w:w="100"/>
            </w:tcMar>
          </w:tcPr>
          <w:p>
            <w:pPr>
              <w:jc w:val="left"/>
            </w:pPr>
            <w:r>
              <w:rPr>
                <w:sz w:val="18"/>
                <w:szCs w:val="18"/>
                <w:rFonts w:ascii="Arial" w:cs="Arial" w:eastAsia="Arial" w:hAnsi="Arial"/>
              </w:rPr>
              <w:t xml:space="preserve">full sum</w:t>
            </w:r>
          </w:p>
        </w:tc>
        <w:tc>
          <w:tcPr>
            <w:tcW w:type="dxa" w:w="1880"/>
            <w:tcBorders>
              <w:top w:val="single" w:color="CCCCCC" w:sz="4"/>
              <w:left w:val="single" w:color="CCCCCC" w:sz="4"/>
              <w:bottom w:val="single" w:color="CCCCCC" w:sz="4"/>
              <w:right w:val="single" w:color="CCCCCC" w:sz="4"/>
            </w:tcBorders>
            <w:tcMar>
              <w:top w:type="dxa" w:w="80"/>
              <w:left w:type="dxa" w:w="100"/>
              <w:bottom w:type="dxa" w:w="80"/>
              <w:right w:type="dxa" w:w="100"/>
            </w:tcMar>
          </w:tcPr>
          <w:p>
            <w:pPr>
              <w:jc w:val="left"/>
            </w:pPr>
            <w:r>
              <w:rPr>
                <w:sz w:val="18"/>
                <w:szCs w:val="18"/>
                <w:rFonts w:ascii="Consolas" w:cs="Consolas" w:eastAsia="Consolas" w:hAnsi="Consolas"/>
              </w:rPr>
              <w:t xml:space="preserve">bank_entry × bank_category</w:t>
            </w:r>
          </w:p>
        </w:tc>
      </w:tr>
      <w:tr>
        <w:tc>
          <w:tcPr>
            <w:tcW w:type="dxa" w:w="1200"/>
            <w:tcBorders>
              <w:top w:val="single" w:color="CCCCCC" w:sz="4"/>
              <w:left w:val="single" w:color="CCCCCC" w:sz="4"/>
              <w:bottom w:val="single" w:color="CCCCCC" w:sz="4"/>
              <w:right w:val="single" w:color="CCCCCC" w:sz="4"/>
            </w:tcBorders>
            <w:tcMar>
              <w:top w:type="dxa" w:w="80"/>
              <w:left w:type="dxa" w:w="100"/>
              <w:bottom w:type="dxa" w:w="80"/>
              <w:right w:type="dxa" w:w="100"/>
            </w:tcMar>
          </w:tcPr>
          <w:p>
            <w:pPr>
              <w:jc w:val="left"/>
            </w:pPr>
            <w:r>
              <w:rPr>
                <w:sz w:val="18"/>
                <w:szCs w:val="18"/>
                <w:rFonts w:ascii="Arial" w:cs="Arial" w:eastAsia="Arial" w:hAnsi="Arial"/>
              </w:rPr>
              <w:t xml:space="preserve">Bank Income</w:t>
            </w:r>
          </w:p>
        </w:tc>
        <w:tc>
          <w:tcPr>
            <w:tcW w:type="dxa" w:w="2200"/>
            <w:tcBorders>
              <w:top w:val="single" w:color="CCCCCC" w:sz="4"/>
              <w:left w:val="single" w:color="CCCCCC" w:sz="4"/>
              <w:bottom w:val="single" w:color="CCCCCC" w:sz="4"/>
              <w:right w:val="single" w:color="CCCCCC" w:sz="4"/>
            </w:tcBorders>
            <w:tcMar>
              <w:top w:type="dxa" w:w="80"/>
              <w:left w:type="dxa" w:w="100"/>
              <w:bottom w:type="dxa" w:w="80"/>
              <w:right w:type="dxa" w:w="100"/>
            </w:tcMar>
          </w:tcPr>
          <w:p>
            <w:pPr>
              <w:jc w:val="left"/>
            </w:pPr>
            <w:r>
              <w:rPr>
                <w:sz w:val="18"/>
                <w:szCs w:val="18"/>
                <w:rFonts w:ascii="Arial" w:cs="Arial" w:eastAsia="Arial" w:hAnsi="Arial"/>
              </w:rPr>
              <w:t xml:space="preserve">full </w:t>
            </w:r>
            <w:r>
              <w:rPr>
                <w:sz w:val="18"/>
                <w:szCs w:val="18"/>
                <w:rFonts w:ascii="Consolas" w:cs="Consolas" w:eastAsia="Consolas" w:hAnsi="Consolas"/>
              </w:rPr>
              <w:t xml:space="preserve">bank_entry.amount</w:t>
            </w:r>
            <w:r>
              <w:rPr>
                <w:sz w:val="18"/>
                <w:szCs w:val="18"/>
                <w:rFonts w:ascii="Arial" w:cs="Arial" w:eastAsia="Arial" w:hAnsi="Arial"/>
              </w:rPr>
              <w:t xml:space="preserve"> where </w:t>
            </w:r>
            <w:r>
              <w:rPr>
                <w:sz w:val="18"/>
                <w:szCs w:val="18"/>
                <w:rFonts w:ascii="Consolas" w:cs="Consolas" w:eastAsia="Consolas" w:hAnsi="Consolas"/>
              </w:rPr>
              <w:t xml:space="preserve">pl_treatment='income'</w:t>
            </w:r>
            <w:r>
              <w:rPr>
                <w:sz w:val="18"/>
                <w:szCs w:val="18"/>
                <w:rFonts w:ascii="Arial" w:cs="Arial" w:eastAsia="Arial" w:hAnsi="Arial"/>
              </w:rPr>
              <w:t xml:space="preserve">, direction='in', status='active'</w:t>
            </w:r>
          </w:p>
        </w:tc>
        <w:tc>
          <w:tcPr>
            <w:tcW w:type="dxa" w:w="2200"/>
            <w:tcBorders>
              <w:top w:val="single" w:color="CCCCCC" w:sz="4"/>
              <w:left w:val="single" w:color="CCCCCC" w:sz="4"/>
              <w:bottom w:val="single" w:color="CCCCCC" w:sz="4"/>
              <w:right w:val="single" w:color="CCCCCC" w:sz="4"/>
            </w:tcBorders>
            <w:tcMar>
              <w:top w:type="dxa" w:w="80"/>
              <w:left w:type="dxa" w:w="100"/>
              <w:bottom w:type="dxa" w:w="80"/>
              <w:right w:type="dxa" w:w="100"/>
            </w:tcMar>
          </w:tcPr>
          <w:p>
            <w:pPr>
              <w:jc w:val="left"/>
            </w:pPr>
            <w:r>
              <w:rPr>
                <w:sz w:val="18"/>
                <w:szCs w:val="18"/>
                <w:rFonts w:ascii="Arial" w:cs="Arial" w:eastAsia="Arial" w:hAnsi="Arial"/>
              </w:rPr>
              <w:t xml:space="preserve">0</w:t>
            </w:r>
          </w:p>
        </w:tc>
        <w:tc>
          <w:tcPr>
            <w:tcW w:type="dxa" w:w="1880"/>
            <w:tcBorders>
              <w:top w:val="single" w:color="CCCCCC" w:sz="4"/>
              <w:left w:val="single" w:color="CCCCCC" w:sz="4"/>
              <w:bottom w:val="single" w:color="CCCCCC" w:sz="4"/>
              <w:right w:val="single" w:color="CCCCCC" w:sz="4"/>
            </w:tcBorders>
            <w:tcMar>
              <w:top w:type="dxa" w:w="80"/>
              <w:left w:type="dxa" w:w="100"/>
              <w:bottom w:type="dxa" w:w="80"/>
              <w:right w:type="dxa" w:w="100"/>
            </w:tcMar>
          </w:tcPr>
          <w:p>
            <w:pPr>
              <w:jc w:val="left"/>
            </w:pPr>
            <w:r>
              <w:rPr>
                <w:sz w:val="18"/>
                <w:szCs w:val="18"/>
                <w:rFonts w:ascii="Arial" w:cs="Arial" w:eastAsia="Arial" w:hAnsi="Arial"/>
              </w:rPr>
              <w:t xml:space="preserve">full sum</w:t>
            </w:r>
          </w:p>
        </w:tc>
        <w:tc>
          <w:tcPr>
            <w:tcW w:type="dxa" w:w="1880"/>
            <w:tcBorders>
              <w:top w:val="single" w:color="CCCCCC" w:sz="4"/>
              <w:left w:val="single" w:color="CCCCCC" w:sz="4"/>
              <w:bottom w:val="single" w:color="CCCCCC" w:sz="4"/>
              <w:right w:val="single" w:color="CCCCCC" w:sz="4"/>
            </w:tcBorders>
            <w:tcMar>
              <w:top w:type="dxa" w:w="80"/>
              <w:left w:type="dxa" w:w="100"/>
              <w:bottom w:type="dxa" w:w="80"/>
              <w:right w:type="dxa" w:w="100"/>
            </w:tcMar>
          </w:tcPr>
          <w:p>
            <w:pPr>
              <w:jc w:val="left"/>
            </w:pPr>
            <w:r>
              <w:rPr>
                <w:sz w:val="18"/>
                <w:szCs w:val="18"/>
                <w:rFonts w:ascii="Consolas" w:cs="Consolas" w:eastAsia="Consolas" w:hAnsi="Consolas"/>
              </w:rPr>
              <w:t xml:space="preserve">bank_entry × bank_category</w:t>
            </w:r>
          </w:p>
        </w:tc>
      </w:tr>
      <w:tr>
        <w:tc>
          <w:tcPr>
            <w:tcW w:type="dxa" w:w="1200"/>
            <w:tcBorders>
              <w:top w:val="single" w:color="CCCCCC" w:sz="4"/>
              <w:left w:val="single" w:color="CCCCCC" w:sz="4"/>
              <w:bottom w:val="single" w:color="CCCCCC" w:sz="4"/>
              <w:right w:val="single" w:color="CCCCCC" w:sz="4"/>
            </w:tcBorders>
            <w:shd w:fill="F9F9F9" w:val="clear"/>
            <w:tcMar>
              <w:top w:type="dxa" w:w="80"/>
              <w:left w:type="dxa" w:w="100"/>
              <w:bottom w:type="dxa" w:w="80"/>
              <w:right w:type="dxa" w:w="100"/>
            </w:tcMar>
          </w:tcPr>
          <w:p>
            <w:pPr>
              <w:jc w:val="left"/>
            </w:pPr>
            <w:r>
              <w:rPr>
                <w:b/>
                <w:bCs/>
                <w:sz w:val="18"/>
                <w:szCs w:val="18"/>
                <w:rFonts w:ascii="Arial" w:cs="Arial" w:eastAsia="Arial" w:hAnsi="Arial"/>
              </w:rPr>
              <w:t xml:space="preserve">Period Costs</w:t>
            </w:r>
          </w:p>
        </w:tc>
        <w:tc>
          <w:tcPr>
            <w:tcW w:type="dxa" w:w="2200"/>
            <w:tcBorders>
              <w:top w:val="single" w:color="CCCCCC" w:sz="4"/>
              <w:left w:val="single" w:color="CCCCCC" w:sz="4"/>
              <w:bottom w:val="single" w:color="CCCCCC" w:sz="4"/>
              <w:right w:val="single" w:color="CCCCCC" w:sz="4"/>
            </w:tcBorders>
            <w:shd w:fill="F9F9F9" w:val="clear"/>
            <w:tcMar>
              <w:top w:type="dxa" w:w="80"/>
              <w:left w:type="dxa" w:w="100"/>
              <w:bottom w:type="dxa" w:w="80"/>
              <w:right w:type="dxa" w:w="100"/>
            </w:tcMar>
          </w:tcPr>
          <w:p>
            <w:pPr>
              <w:jc w:val="left"/>
            </w:pPr>
            <w:r>
              <w:rPr>
                <w:sz w:val="18"/>
                <w:szCs w:val="18"/>
                <w:rFonts w:ascii="Arial" w:cs="Arial" w:eastAsia="Arial" w:hAnsi="Arial"/>
              </w:rPr>
              <w:t xml:space="preserve">wages_own + factory_own + bank_exp_own</w:t>
            </w:r>
          </w:p>
        </w:tc>
        <w:tc>
          <w:tcPr>
            <w:tcW w:type="dxa" w:w="2200"/>
            <w:tcBorders>
              <w:top w:val="single" w:color="CCCCCC" w:sz="4"/>
              <w:left w:val="single" w:color="CCCCCC" w:sz="4"/>
              <w:bottom w:val="single" w:color="CCCCCC" w:sz="4"/>
              <w:right w:val="single" w:color="CCCCCC" w:sz="4"/>
            </w:tcBorders>
            <w:shd w:fill="F9F9F9" w:val="clear"/>
            <w:tcMar>
              <w:top w:type="dxa" w:w="80"/>
              <w:left w:type="dxa" w:w="100"/>
              <w:bottom w:type="dxa" w:w="80"/>
              <w:right w:type="dxa" w:w="100"/>
            </w:tcMar>
          </w:tcPr>
          <w:p>
            <w:pPr>
              <w:jc w:val="left"/>
            </w:pPr>
            <w:r>
              <w:rPr>
                <w:sz w:val="18"/>
                <w:szCs w:val="18"/>
                <w:rFonts w:ascii="Arial" w:cs="Arial" w:eastAsia="Arial" w:hAnsi="Arial"/>
              </w:rPr>
              <w:t xml:space="preserve">wages_jw + factory_jw + bank_exp_jw</w:t>
            </w:r>
          </w:p>
        </w:tc>
        <w:tc>
          <w:tcPr>
            <w:tcW w:type="dxa" w:w="1880"/>
            <w:tcBorders>
              <w:top w:val="single" w:color="CCCCCC" w:sz="4"/>
              <w:left w:val="single" w:color="CCCCCC" w:sz="4"/>
              <w:bottom w:val="single" w:color="CCCCCC" w:sz="4"/>
              <w:right w:val="single" w:color="CCCCCC" w:sz="4"/>
            </w:tcBorders>
            <w:shd w:fill="F9F9F9" w:val="clear"/>
            <w:tcMar>
              <w:top w:type="dxa" w:w="80"/>
              <w:left w:type="dxa" w:w="100"/>
              <w:bottom w:type="dxa" w:w="80"/>
              <w:right w:type="dxa" w:w="100"/>
            </w:tcMar>
          </w:tcPr>
          <w:p>
            <w:pPr>
              <w:jc w:val="left"/>
            </w:pPr>
            <w:r>
              <w:rPr>
                <w:sz w:val="18"/>
                <w:szCs w:val="18"/>
                <w:rFonts w:ascii="Arial" w:cs="Arial" w:eastAsia="Arial" w:hAnsi="Arial"/>
              </w:rPr>
              <w:t xml:space="preserve">sum</w:t>
            </w:r>
          </w:p>
        </w:tc>
        <w:tc>
          <w:tcPr>
            <w:tcW w:type="dxa" w:w="1880"/>
            <w:tcBorders>
              <w:top w:val="single" w:color="CCCCCC" w:sz="4"/>
              <w:left w:val="single" w:color="CCCCCC" w:sz="4"/>
              <w:bottom w:val="single" w:color="CCCCCC" w:sz="4"/>
              <w:right w:val="single" w:color="CCCCCC" w:sz="4"/>
            </w:tcBorders>
            <w:shd w:fill="F9F9F9" w:val="clear"/>
            <w:tcMar>
              <w:top w:type="dxa" w:w="80"/>
              <w:left w:type="dxa" w:w="100"/>
              <w:bottom w:type="dxa" w:w="80"/>
              <w:right w:type="dxa" w:w="100"/>
            </w:tcMar>
          </w:tcPr>
          <w:p>
            <w:pPr>
              <w:jc w:val="left"/>
            </w:pPr>
            <w:r>
              <w:rPr>
                <w:sz w:val="18"/>
                <w:szCs w:val="18"/>
                <w:rFonts w:ascii="Arial" w:cs="Arial" w:eastAsia="Arial" w:hAnsi="Arial"/>
              </w:rPr>
              <w:t xml:space="preserve">derived</w:t>
            </w:r>
          </w:p>
        </w:tc>
      </w:tr>
      <w:tr>
        <w:tc>
          <w:tcPr>
            <w:tcW w:type="dxa" w:w="1200"/>
            <w:tcBorders>
              <w:top w:val="single" w:color="CCCCCC" w:sz="4"/>
              <w:left w:val="single" w:color="CCCCCC" w:sz="4"/>
              <w:bottom w:val="single" w:color="CCCCCC" w:sz="4"/>
              <w:right w:val="single" w:color="CCCCCC" w:sz="4"/>
            </w:tcBorders>
            <w:shd w:fill="F9F9F9" w:val="clear"/>
            <w:tcMar>
              <w:top w:type="dxa" w:w="80"/>
              <w:left w:type="dxa" w:w="100"/>
              <w:bottom w:type="dxa" w:w="80"/>
              <w:right w:type="dxa" w:w="100"/>
            </w:tcMar>
          </w:tcPr>
          <w:p>
            <w:pPr>
              <w:jc w:val="left"/>
            </w:pPr>
            <w:r>
              <w:rPr>
                <w:b/>
                <w:bCs/>
                <w:sz w:val="18"/>
                <w:szCs w:val="18"/>
                <w:rFonts w:ascii="Arial" w:cs="Arial" w:eastAsia="Arial" w:hAnsi="Arial"/>
              </w:rPr>
              <w:t xml:space="preserve">Net Profit</w:t>
            </w:r>
          </w:p>
        </w:tc>
        <w:tc>
          <w:tcPr>
            <w:tcW w:type="dxa" w:w="2200"/>
            <w:tcBorders>
              <w:top w:val="single" w:color="CCCCCC" w:sz="4"/>
              <w:left w:val="single" w:color="CCCCCC" w:sz="4"/>
              <w:bottom w:val="single" w:color="CCCCCC" w:sz="4"/>
              <w:right w:val="single" w:color="CCCCCC" w:sz="4"/>
            </w:tcBorders>
            <w:shd w:fill="F9F9F9" w:val="clear"/>
            <w:tcMar>
              <w:top w:type="dxa" w:w="80"/>
              <w:left w:type="dxa" w:w="100"/>
              <w:bottom w:type="dxa" w:w="80"/>
              <w:right w:type="dxa" w:w="100"/>
            </w:tcMar>
          </w:tcPr>
          <w:p>
            <w:pPr>
              <w:jc w:val="left"/>
            </w:pPr>
            <w:r>
              <w:rPr>
                <w:sz w:val="18"/>
                <w:szCs w:val="18"/>
                <w:rFonts w:ascii="Arial" w:cs="Arial" w:eastAsia="Arial" w:hAnsi="Arial"/>
              </w:rPr>
              <w:t xml:space="preserve">Gross_own + Bank_income − Period_Costs_own</w:t>
            </w:r>
          </w:p>
        </w:tc>
        <w:tc>
          <w:tcPr>
            <w:tcW w:type="dxa" w:w="2200"/>
            <w:tcBorders>
              <w:top w:val="single" w:color="CCCCCC" w:sz="4"/>
              <w:left w:val="single" w:color="CCCCCC" w:sz="4"/>
              <w:bottom w:val="single" w:color="CCCCCC" w:sz="4"/>
              <w:right w:val="single" w:color="CCCCCC" w:sz="4"/>
            </w:tcBorders>
            <w:shd w:fill="F9F9F9" w:val="clear"/>
            <w:tcMar>
              <w:top w:type="dxa" w:w="80"/>
              <w:left w:type="dxa" w:w="100"/>
              <w:bottom w:type="dxa" w:w="80"/>
              <w:right w:type="dxa" w:w="100"/>
            </w:tcMar>
          </w:tcPr>
          <w:p>
            <w:pPr>
              <w:jc w:val="left"/>
            </w:pPr>
            <w:r>
              <w:rPr>
                <w:sz w:val="18"/>
                <w:szCs w:val="18"/>
                <w:rFonts w:ascii="Arial" w:cs="Arial" w:eastAsia="Arial" w:hAnsi="Arial"/>
              </w:rPr>
              <w:t xml:space="preserve">Gross_jw − Period_Costs_jw</w:t>
            </w:r>
          </w:p>
        </w:tc>
        <w:tc>
          <w:tcPr>
            <w:tcW w:type="dxa" w:w="1880"/>
            <w:tcBorders>
              <w:top w:val="single" w:color="CCCCCC" w:sz="4"/>
              <w:left w:val="single" w:color="CCCCCC" w:sz="4"/>
              <w:bottom w:val="single" w:color="CCCCCC" w:sz="4"/>
              <w:right w:val="single" w:color="CCCCCC" w:sz="4"/>
            </w:tcBorders>
            <w:shd w:fill="F9F9F9" w:val="clear"/>
            <w:tcMar>
              <w:top w:type="dxa" w:w="80"/>
              <w:left w:type="dxa" w:w="100"/>
              <w:bottom w:type="dxa" w:w="80"/>
              <w:right w:type="dxa" w:w="100"/>
            </w:tcMar>
          </w:tcPr>
          <w:p>
            <w:pPr>
              <w:jc w:val="left"/>
            </w:pPr>
            <w:r>
              <w:rPr>
                <w:sz w:val="18"/>
                <w:szCs w:val="18"/>
                <w:rFonts w:ascii="Arial" w:cs="Arial" w:eastAsia="Arial" w:hAnsi="Arial"/>
              </w:rPr>
              <w:t xml:space="preserve">sum</w:t>
            </w:r>
          </w:p>
        </w:tc>
        <w:tc>
          <w:tcPr>
            <w:tcW w:type="dxa" w:w="1880"/>
            <w:tcBorders>
              <w:top w:val="single" w:color="CCCCCC" w:sz="4"/>
              <w:left w:val="single" w:color="CCCCCC" w:sz="4"/>
              <w:bottom w:val="single" w:color="CCCCCC" w:sz="4"/>
              <w:right w:val="single" w:color="CCCCCC" w:sz="4"/>
            </w:tcBorders>
            <w:shd w:fill="F9F9F9" w:val="clear"/>
            <w:tcMar>
              <w:top w:type="dxa" w:w="80"/>
              <w:left w:type="dxa" w:w="100"/>
              <w:bottom w:type="dxa" w:w="80"/>
              <w:right w:type="dxa" w:w="100"/>
            </w:tcMar>
          </w:tcPr>
          <w:p>
            <w:pPr>
              <w:jc w:val="left"/>
            </w:pPr>
            <w:r>
              <w:rPr>
                <w:sz w:val="18"/>
                <w:szCs w:val="18"/>
                <w:rFonts w:ascii="Arial" w:cs="Arial" w:eastAsia="Arial" w:hAnsi="Arial"/>
              </w:rPr>
              <w:t xml:space="preserve">derived</w:t>
            </w:r>
          </w:p>
        </w:tc>
      </w:tr>
    </w:tbl>
    <w:p>
      <w:pPr>
        <w:spacing w:after="80"/>
      </w:pPr>
      <w:r>
        <w:rPr>
          <w:sz w:val="22"/>
          <w:szCs w:val="22"/>
          <w:rFonts w:ascii="Arial" w:cs="Arial" w:eastAsia="Arial" w:hAnsi="Arial"/>
        </w:rPr>
      </w:r>
    </w:p>
    <w:p>
      <w:pPr>
        <w:pStyle w:val="Heading3"/>
        <w:spacing w:before="160" w:after="100"/>
      </w:pPr>
      <w:r>
        <w:rPr>
          <w:b/>
          <w:bCs/>
          <w:sz w:val="24"/>
          <w:szCs w:val="24"/>
          <w:rFonts w:ascii="Arial" w:cs="Arial" w:eastAsia="Arial" w:hAnsi="Arial"/>
        </w:rPr>
        <w:t xml:space="preserve">Math invariant</w:t>
      </w:r>
    </w:p>
    <w:p>
      <w:pPr>
        <w:spacing w:after="80"/>
      </w:pPr>
      <w:r>
        <w:rPr>
          <w:sz w:val="20"/>
          <w:szCs w:val="20"/>
          <w:rFonts w:ascii="Consolas" w:cs="Consolas" w:eastAsia="Consolas" w:hAnsi="Consolas"/>
          <w:shd w:fill="F2F2F2" w:val="clear"/>
        </w:rPr>
        <w:t xml:space="preserve">net_profit_own + net_profit_jobwork ≡ net_profit_combined</w:t>
      </w:r>
    </w:p>
    <w:p>
      <w:pPr>
        <w:spacing w:after="80"/>
      </w:pPr>
      <w:r>
        <w:rPr>
          <w:sz w:val="22"/>
          <w:szCs w:val="22"/>
          <w:rFonts w:ascii="Arial" w:cs="Arial" w:eastAsia="Arial" w:hAnsi="Arial"/>
        </w:rPr>
        <w:t xml:space="preserve">The function asserts this internally — combined columns are sums of own + jobwork columns, not separate aggregates. This guarantees the Combined column always matches today’s </w:t>
      </w:r>
      <w:r>
        <w:rPr>
          <w:sz w:val="20"/>
          <w:szCs w:val="20"/>
          <w:rFonts w:ascii="Consolas" w:cs="Consolas" w:eastAsia="Consolas" w:hAnsi="Consolas"/>
          <w:shd w:fill="F2F2F2" w:val="clear"/>
        </w:rPr>
        <w:t xml:space="preserve">fn_period_pnl</w:t>
      </w:r>
      <w:r>
        <w:rPr>
          <w:sz w:val="22"/>
          <w:szCs w:val="22"/>
          <w:rFonts w:ascii="Arial" w:cs="Arial" w:eastAsia="Arial" w:hAnsi="Arial"/>
        </w:rPr>
        <w:t xml:space="preserve"> output.</w:t>
      </w:r>
    </w:p>
    <w:p>
      <w:pPr>
        <w:pStyle w:val="Heading2"/>
        <w:spacing w:before="240" w:after="120"/>
      </w:pPr>
      <w:r>
        <w:rPr>
          <w:b/>
          <w:bCs/>
          <w:sz w:val="28"/>
          <w:szCs w:val="28"/>
          <w:rFonts w:ascii="Arial" w:cs="Arial" w:eastAsia="Arial" w:hAnsi="Arial"/>
        </w:rPr>
        <w:t xml:space="preserve">Edge Cases</w:t>
      </w:r>
    </w:p>
    <w:p>
      <w:pPr>
        <w:pStyle w:val="ListParagraph"/>
        <w:numPr>
          <w:ilvl w:val="0"/>
          <w:numId w:val="2"/>
        </w:numPr>
        <w:spacing w:after="60"/>
      </w:pPr>
      <w:r>
        <w:rPr>
          <w:b/>
          <w:bCs/>
          <w:sz w:val="22"/>
          <w:szCs w:val="22"/>
          <w:rFonts w:ascii="Arial" w:cs="Arial" w:eastAsia="Arial" w:hAnsi="Arial"/>
        </w:rPr>
        <w:t xml:space="preserve">Zero jobwork metres in window</w:t>
      </w:r>
      <w:r>
        <w:rPr>
          <w:sz w:val="22"/>
          <w:szCs w:val="22"/>
          <w:rFonts w:ascii="Arial" w:cs="Arial" w:eastAsia="Arial" w:hAnsi="Arial"/>
        </w:rPr>
        <w:t xml:space="preserve"> — </w:t>
      </w:r>
      <w:r>
        <w:rPr>
          <w:sz w:val="20"/>
          <w:szCs w:val="20"/>
          <w:rFonts w:ascii="Consolas" w:cs="Consolas" w:eastAsia="Consolas" w:hAnsi="Consolas"/>
          <w:shd w:fill="F2F2F2" w:val="clear"/>
        </w:rPr>
        <w:t xml:space="preserve">jw_share = 0</w:t>
      </w:r>
      <w:r>
        <w:rPr>
          <w:sz w:val="22"/>
          <w:szCs w:val="22"/>
          <w:rFonts w:ascii="Arial" w:cs="Arial" w:eastAsia="Arial" w:hAnsi="Arial"/>
        </w:rPr>
        <w:t xml:space="preserve">. Jobwork column shows zero costs and (usually) zero revenue. No division by zero.</w:t>
      </w:r>
    </w:p>
    <w:p>
      <w:pPr>
        <w:pStyle w:val="ListParagraph"/>
        <w:numPr>
          <w:ilvl w:val="0"/>
          <w:numId w:val="2"/>
        </w:numPr>
        <w:spacing w:after="60"/>
      </w:pPr>
      <w:r>
        <w:rPr>
          <w:b/>
          <w:bCs/>
          <w:sz w:val="22"/>
          <w:szCs w:val="22"/>
          <w:rFonts w:ascii="Arial" w:cs="Arial" w:eastAsia="Arial" w:hAnsi="Arial"/>
        </w:rPr>
        <w:t xml:space="preserve">Zero own metres in window</w:t>
      </w:r>
      <w:r>
        <w:rPr>
          <w:sz w:val="22"/>
          <w:szCs w:val="22"/>
          <w:rFonts w:ascii="Arial" w:cs="Arial" w:eastAsia="Arial" w:hAnsi="Arial"/>
        </w:rPr>
        <w:t xml:space="preserve"> — </w:t>
      </w:r>
      <w:r>
        <w:rPr>
          <w:sz w:val="20"/>
          <w:szCs w:val="20"/>
          <w:rFonts w:ascii="Consolas" w:cs="Consolas" w:eastAsia="Consolas" w:hAnsi="Consolas"/>
          <w:shd w:fill="F2F2F2" w:val="clear"/>
        </w:rPr>
        <w:t xml:space="preserve">own_share = 0</w:t>
      </w:r>
      <w:r>
        <w:rPr>
          <w:sz w:val="22"/>
          <w:szCs w:val="22"/>
          <w:rFonts w:ascii="Arial" w:cs="Arial" w:eastAsia="Arial" w:hAnsi="Arial"/>
        </w:rPr>
        <w:t xml:space="preserve">. All period costs land on jobwork. Rare but math holds.</w:t>
      </w:r>
    </w:p>
    <w:p>
      <w:pPr>
        <w:pStyle w:val="ListParagraph"/>
        <w:numPr>
          <w:ilvl w:val="0"/>
          <w:numId w:val="2"/>
        </w:numPr>
        <w:spacing w:after="60"/>
      </w:pPr>
      <w:r>
        <w:rPr>
          <w:b/>
          <w:bCs/>
          <w:sz w:val="22"/>
          <w:szCs w:val="22"/>
          <w:rFonts w:ascii="Arial" w:cs="Arial" w:eastAsia="Arial" w:hAnsi="Arial"/>
        </w:rPr>
        <w:t xml:space="preserve">Zero total metres but invoices exist</w:t>
      </w:r>
      <w:r>
        <w:rPr>
          <w:sz w:val="22"/>
          <w:szCs w:val="22"/>
          <w:rFonts w:ascii="Arial" w:cs="Arial" w:eastAsia="Arial" w:hAnsi="Arial"/>
        </w:rPr>
        <w:t xml:space="preserve"> — Fallback </w:t>
      </w:r>
      <w:r>
        <w:rPr>
          <w:sz w:val="20"/>
          <w:szCs w:val="20"/>
          <w:rFonts w:ascii="Consolas" w:cs="Consolas" w:eastAsia="Consolas" w:hAnsi="Consolas"/>
          <w:shd w:fill="F2F2F2" w:val="clear"/>
        </w:rPr>
        <w:t xml:space="preserve">own_share = 1</w:t>
      </w:r>
      <w:r>
        <w:rPr>
          <w:sz w:val="22"/>
          <w:szCs w:val="22"/>
          <w:rFonts w:ascii="Arial" w:cs="Arial" w:eastAsia="Arial" w:hAnsi="Arial"/>
        </w:rPr>
        <w:t xml:space="preserve">, </w:t>
      </w:r>
      <w:r>
        <w:rPr>
          <w:sz w:val="20"/>
          <w:szCs w:val="20"/>
          <w:rFonts w:ascii="Consolas" w:cs="Consolas" w:eastAsia="Consolas" w:hAnsi="Consolas"/>
          <w:shd w:fill="F2F2F2" w:val="clear"/>
        </w:rPr>
        <w:t xml:space="preserve">jw_share = 0</w:t>
      </w:r>
      <w:r>
        <w:rPr>
          <w:sz w:val="22"/>
          <w:szCs w:val="22"/>
          <w:rFonts w:ascii="Arial" w:cs="Arial" w:eastAsia="Arial" w:hAnsi="Arial"/>
        </w:rPr>
        <w:t xml:space="preserve">. Revenue still classified by doc_type. UI shows a yellow note: "No production this period — period costs allocated 100% to own-production."</w:t>
      </w:r>
    </w:p>
    <w:p>
      <w:pPr>
        <w:pStyle w:val="ListParagraph"/>
        <w:numPr>
          <w:ilvl w:val="0"/>
          <w:numId w:val="2"/>
        </w:numPr>
        <w:spacing w:after="60"/>
      </w:pPr>
      <w:r>
        <w:rPr>
          <w:b/>
          <w:bCs/>
          <w:sz w:val="22"/>
          <w:szCs w:val="22"/>
          <w:rFonts w:ascii="Arial" w:cs="Arial" w:eastAsia="Arial" w:hAnsi="Arial"/>
        </w:rPr>
        <w:t xml:space="preserve">Negative bank entries / refunds</w:t>
      </w:r>
      <w:r>
        <w:rPr>
          <w:sz w:val="22"/>
          <w:szCs w:val="22"/>
          <w:rFonts w:ascii="Arial" w:cs="Arial" w:eastAsia="Arial" w:hAnsi="Arial"/>
        </w:rPr>
        <w:t xml:space="preserve"> — handled by the </w:t>
      </w:r>
      <w:r>
        <w:rPr>
          <w:sz w:val="20"/>
          <w:szCs w:val="20"/>
          <w:rFonts w:ascii="Consolas" w:cs="Consolas" w:eastAsia="Consolas" w:hAnsi="Consolas"/>
          <w:shd w:fill="F2F2F2" w:val="clear"/>
        </w:rPr>
        <w:t xml:space="preserve">direction='out'</w:t>
      </w:r>
      <w:r>
        <w:rPr>
          <w:sz w:val="22"/>
          <w:szCs w:val="22"/>
          <w:rFonts w:ascii="Arial" w:cs="Arial" w:eastAsia="Arial" w:hAnsi="Arial"/>
        </w:rPr>
        <w:t xml:space="preserve"> / </w:t>
      </w:r>
      <w:r>
        <w:rPr>
          <w:sz w:val="20"/>
          <w:szCs w:val="20"/>
          <w:rFonts w:ascii="Consolas" w:cs="Consolas" w:eastAsia="Consolas" w:hAnsi="Consolas"/>
          <w:shd w:fill="F2F2F2" w:val="clear"/>
        </w:rPr>
        <w:t xml:space="preserve">direction='in'</w:t>
      </w:r>
      <w:r>
        <w:rPr>
          <w:sz w:val="22"/>
          <w:szCs w:val="22"/>
          <w:rFonts w:ascii="Arial" w:cs="Arial" w:eastAsia="Arial" w:hAnsi="Arial"/>
        </w:rPr>
        <w:t xml:space="preserve"> filter on </w:t>
      </w:r>
      <w:r>
        <w:rPr>
          <w:sz w:val="20"/>
          <w:szCs w:val="20"/>
          <w:rFonts w:ascii="Consolas" w:cs="Consolas" w:eastAsia="Consolas" w:hAnsi="Consolas"/>
          <w:shd w:fill="F2F2F2" w:val="clear"/>
        </w:rPr>
        <w:t xml:space="preserve">bank_entry</w:t>
      </w:r>
      <w:r>
        <w:rPr>
          <w:sz w:val="22"/>
          <w:szCs w:val="22"/>
          <w:rFonts w:ascii="Arial" w:cs="Arial" w:eastAsia="Arial" w:hAnsi="Arial"/>
        </w:rPr>
        <w:t xml:space="preserve">. Refunds reverse direction so don’t double-count.</w:t>
      </w:r>
    </w:p>
    <w:p>
      <w:pPr>
        <w:pStyle w:val="ListParagraph"/>
        <w:numPr>
          <w:ilvl w:val="0"/>
          <w:numId w:val="2"/>
        </w:numPr>
        <w:spacing w:after="60"/>
      </w:pPr>
      <w:r>
        <w:rPr>
          <w:b/>
          <w:bCs/>
          <w:sz w:val="22"/>
          <w:szCs w:val="22"/>
          <w:rFonts w:ascii="Arial" w:cs="Arial" w:eastAsia="Arial" w:hAnsi="Arial"/>
        </w:rPr>
        <w:t xml:space="preserve">Draft / cancelled invoices</w:t>
      </w:r>
      <w:r>
        <w:rPr>
          <w:sz w:val="22"/>
          <w:szCs w:val="22"/>
          <w:rFonts w:ascii="Arial" w:cs="Arial" w:eastAsia="Arial" w:hAnsi="Arial"/>
        </w:rPr>
        <w:t xml:space="preserve"> — excluded everywhere, same as existing </w:t>
      </w:r>
      <w:r>
        <w:rPr>
          <w:sz w:val="20"/>
          <w:szCs w:val="20"/>
          <w:rFonts w:ascii="Consolas" w:cs="Consolas" w:eastAsia="Consolas" w:hAnsi="Consolas"/>
          <w:shd w:fill="F2F2F2" w:val="clear"/>
        </w:rPr>
        <w:t xml:space="preserve">fn_period_pnl</w:t>
      </w:r>
      <w:r>
        <w:rPr>
          <w:sz w:val="22"/>
          <w:szCs w:val="22"/>
          <w:rFonts w:ascii="Arial" w:cs="Arial" w:eastAsia="Arial" w:hAnsi="Arial"/>
        </w:rPr>
        <w:t xml:space="preserve">.</w:t>
      </w:r>
    </w:p>
    <w:p>
      <w:pPr>
        <w:pStyle w:val="ListParagraph"/>
        <w:numPr>
          <w:ilvl w:val="0"/>
          <w:numId w:val="2"/>
        </w:numPr>
        <w:spacing w:after="60"/>
      </w:pPr>
      <w:r>
        <w:rPr>
          <w:b/>
          <w:bCs/>
          <w:sz w:val="22"/>
          <w:szCs w:val="22"/>
          <w:rFonts w:ascii="Arial" w:cs="Arial" w:eastAsia="Arial" w:hAnsi="Arial"/>
        </w:rPr>
        <w:t xml:space="preserve">Jobwork orders without </w:t>
      </w:r>
      <w:r>
        <w:rPr>
          <w:sz w:val="20"/>
          <w:szCs w:val="20"/>
          <w:rFonts w:ascii="Consolas" w:cs="Consolas" w:eastAsia="Consolas" w:hAnsi="Consolas"/>
          <w:shd w:fill="F2F2F2" w:val="clear"/>
        </w:rPr>
        <w:t xml:space="preserve">delivered_metres</w:t>
      </w:r>
      <w:r>
        <w:rPr>
          <w:sz w:val="22"/>
          <w:szCs w:val="22"/>
          <w:rFonts w:ascii="Arial" w:cs="Arial" w:eastAsia="Arial" w:hAnsi="Arial"/>
        </w:rPr>
        <w:t xml:space="preserve"> — treated as zero metres (no production yet). The labour invoice for that order may still land in jobwork revenue once raised, which is correct (revenue accrues when invoiced, costs allocate against produced metres).</w:t>
      </w:r>
    </w:p>
    <w:p>
      <w:pPr>
        <w:pStyle w:val="Heading2"/>
        <w:spacing w:before="240" w:after="120"/>
      </w:pPr>
      <w:r>
        <w:rPr>
          <w:b/>
          <w:bCs/>
          <w:sz w:val="28"/>
          <w:szCs w:val="28"/>
          <w:rFonts w:ascii="Arial" w:cs="Arial" w:eastAsia="Arial" w:hAnsi="Arial"/>
        </w:rPr>
        <w:t xml:space="preserve">UI</w:t>
      </w:r>
    </w:p>
    <w:p>
      <w:pPr>
        <w:spacing w:after="80"/>
      </w:pPr>
      <w:r>
        <w:rPr>
          <w:sz w:val="20"/>
          <w:szCs w:val="20"/>
          <w:rFonts w:ascii="Consolas" w:cs="Consolas" w:eastAsia="Consolas" w:hAnsi="Consolas"/>
          <w:shd w:fill="F2F2F2" w:val="clear"/>
        </w:rPr>
        <w:t xml:space="preserve">/app/reports/pnl</w:t>
      </w:r>
      <w:r>
        <w:rPr>
          <w:sz w:val="22"/>
          <w:szCs w:val="22"/>
          <w:rFonts w:ascii="Arial" w:cs="Arial" w:eastAsia="Arial" w:hAnsi="Arial"/>
        </w:rPr>
        <w:t xml:space="preserve"> page changes:</w:t>
      </w:r>
    </w:p>
    <w:p>
      <w:pPr>
        <w:pStyle w:val="ListParagraph"/>
        <w:numPr>
          <w:ilvl w:val="0"/>
          <w:numId w:val="3"/>
        </w:numPr>
        <w:spacing w:after="60"/>
      </w:pPr>
      <w:r>
        <w:rPr>
          <w:b/>
          <w:bCs/>
          <w:sz w:val="22"/>
          <w:szCs w:val="22"/>
          <w:rFonts w:ascii="Arial" w:cs="Arial" w:eastAsia="Arial" w:hAnsi="Arial"/>
        </w:rPr>
        <w:t xml:space="preserve">Toggle</w:t>
      </w:r>
      <w:r>
        <w:rPr>
          <w:sz w:val="22"/>
          <w:szCs w:val="22"/>
          <w:rFonts w:ascii="Arial" w:cs="Arial" w:eastAsia="Arial" w:hAnsi="Arial"/>
        </w:rPr>
        <w:t xml:space="preserve"> above the period range pickers: two pill buttons </w:t>
      </w:r>
      <w:r>
        <w:rPr>
          <w:sz w:val="20"/>
          <w:szCs w:val="20"/>
          <w:rFonts w:ascii="Consolas" w:cs="Consolas" w:eastAsia="Consolas" w:hAnsi="Consolas"/>
          <w:shd w:fill="F2F2F2" w:val="clear"/>
        </w:rPr>
        <w:t xml:space="preserve">Combined</w:t>
      </w:r>
      <w:r>
        <w:rPr>
          <w:sz w:val="22"/>
          <w:szCs w:val="22"/>
          <w:rFonts w:ascii="Arial" w:cs="Arial" w:eastAsia="Arial" w:hAnsi="Arial"/>
        </w:rPr>
        <w:t xml:space="preserve"> and </w:t>
      </w:r>
      <w:r>
        <w:rPr>
          <w:sz w:val="20"/>
          <w:szCs w:val="20"/>
          <w:rFonts w:ascii="Consolas" w:cs="Consolas" w:eastAsia="Consolas" w:hAnsi="Consolas"/>
          <w:shd w:fill="F2F2F2" w:val="clear"/>
        </w:rPr>
        <w:t xml:space="preserve">Split (Own / Jobwork)</w:t>
      </w:r>
      <w:r>
        <w:rPr>
          <w:sz w:val="22"/>
          <w:szCs w:val="22"/>
          <w:rFonts w:ascii="Arial" w:cs="Arial" w:eastAsia="Arial" w:hAnsi="Arial"/>
        </w:rPr>
        <w:t xml:space="preserve">. URL state via </w:t>
      </w:r>
      <w:r>
        <w:rPr>
          <w:sz w:val="20"/>
          <w:szCs w:val="20"/>
          <w:rFonts w:ascii="Consolas" w:cs="Consolas" w:eastAsia="Consolas" w:hAnsi="Consolas"/>
          <w:shd w:fill="F2F2F2" w:val="clear"/>
        </w:rPr>
        <w:t xml:space="preserve">?view=combined|split</w:t>
      </w:r>
      <w:r>
        <w:rPr>
          <w:sz w:val="22"/>
          <w:szCs w:val="22"/>
          <w:rFonts w:ascii="Arial" w:cs="Arial" w:eastAsia="Arial" w:hAnsi="Arial"/>
        </w:rPr>
        <w:t xml:space="preserve"> (default: combined, so existing bookmarks behave unchanged).</w:t>
      </w:r>
    </w:p>
    <w:p>
      <w:pPr>
        <w:pStyle w:val="ListParagraph"/>
        <w:numPr>
          <w:ilvl w:val="0"/>
          <w:numId w:val="3"/>
        </w:numPr>
        <w:spacing w:after="60"/>
      </w:pPr>
      <w:r>
        <w:rPr>
          <w:b/>
          <w:bCs/>
          <w:sz w:val="22"/>
          <w:szCs w:val="22"/>
          <w:rFonts w:ascii="Arial" w:cs="Arial" w:eastAsia="Arial" w:hAnsi="Arial"/>
        </w:rPr>
        <w:t xml:space="preserve">Combined mode</w:t>
      </w:r>
      <w:r>
        <w:rPr>
          <w:sz w:val="22"/>
          <w:szCs w:val="22"/>
          <w:rFonts w:ascii="Arial" w:cs="Arial" w:eastAsia="Arial" w:hAnsi="Arial"/>
        </w:rPr>
        <w:t xml:space="preserve"> — page unchanged from today (single-column P&amp;L from </w:t>
      </w:r>
      <w:r>
        <w:rPr>
          <w:sz w:val="20"/>
          <w:szCs w:val="20"/>
          <w:rFonts w:ascii="Consolas" w:cs="Consolas" w:eastAsia="Consolas" w:hAnsi="Consolas"/>
          <w:shd w:fill="F2F2F2" w:val="clear"/>
        </w:rPr>
        <w:t xml:space="preserve">fn_period_pnl</w:t>
      </w:r>
      <w:r>
        <w:rPr>
          <w:sz w:val="22"/>
          <w:szCs w:val="22"/>
          <w:rFonts w:ascii="Arial" w:cs="Arial" w:eastAsia="Arial" w:hAnsi="Arial"/>
        </w:rPr>
        <w:t xml:space="preserve">).</w:t>
      </w:r>
    </w:p>
    <w:p>
      <w:pPr>
        <w:pStyle w:val="ListParagraph"/>
        <w:numPr>
          <w:ilvl w:val="0"/>
          <w:numId w:val="3"/>
        </w:numPr>
        <w:spacing w:after="60"/>
      </w:pPr>
      <w:r>
        <w:rPr>
          <w:b/>
          <w:bCs/>
          <w:sz w:val="22"/>
          <w:szCs w:val="22"/>
          <w:rFonts w:ascii="Arial" w:cs="Arial" w:eastAsia="Arial" w:hAnsi="Arial"/>
        </w:rPr>
        <w:t xml:space="preserve">Split mode</w:t>
      </w:r>
      <w:r>
        <w:rPr>
          <w:sz w:val="22"/>
          <w:szCs w:val="22"/>
          <w:rFonts w:ascii="Arial" w:cs="Arial" w:eastAsia="Arial" w:hAnsi="Arial"/>
        </w:rPr>
        <w:t xml:space="preserve"> — three-column table with the lines above. Column headers: </w:t>
      </w:r>
      <w:r>
        <w:rPr>
          <w:sz w:val="20"/>
          <w:szCs w:val="20"/>
          <w:rFonts w:ascii="Consolas" w:cs="Consolas" w:eastAsia="Consolas" w:hAnsi="Consolas"/>
          <w:shd w:fill="F2F2F2" w:val="clear"/>
        </w:rPr>
        <w:t xml:space="preserve">Own Production</w:t>
      </w:r>
      <w:r>
        <w:rPr>
          <w:sz w:val="22"/>
          <w:szCs w:val="22"/>
          <w:rFonts w:ascii="Arial" w:cs="Arial" w:eastAsia="Arial" w:hAnsi="Arial"/>
        </w:rPr>
        <w:t xml:space="preserve">, </w:t>
      </w:r>
      <w:r>
        <w:rPr>
          <w:sz w:val="20"/>
          <w:szCs w:val="20"/>
          <w:rFonts w:ascii="Consolas" w:cs="Consolas" w:eastAsia="Consolas" w:hAnsi="Consolas"/>
          <w:shd w:fill="F2F2F2" w:val="clear"/>
        </w:rPr>
        <w:t xml:space="preserve">Job Work</w:t>
      </w:r>
      <w:r>
        <w:rPr>
          <w:sz w:val="22"/>
          <w:szCs w:val="22"/>
          <w:rFonts w:ascii="Arial" w:cs="Arial" w:eastAsia="Arial" w:hAnsi="Arial"/>
        </w:rPr>
        <w:t xml:space="preserve">, </w:t>
      </w:r>
      <w:r>
        <w:rPr>
          <w:sz w:val="20"/>
          <w:szCs w:val="20"/>
          <w:rFonts w:ascii="Consolas" w:cs="Consolas" w:eastAsia="Consolas" w:hAnsi="Consolas"/>
          <w:shd w:fill="F2F2F2" w:val="clear"/>
        </w:rPr>
        <w:t xml:space="preserve">Combined</w:t>
      </w:r>
      <w:r>
        <w:rPr>
          <w:sz w:val="22"/>
          <w:szCs w:val="22"/>
          <w:rFonts w:ascii="Arial" w:cs="Arial" w:eastAsia="Arial" w:hAnsi="Arial"/>
        </w:rPr>
        <w:t xml:space="preserve">. Same colour treatment for positives/negatives.</w:t>
      </w:r>
    </w:p>
    <w:p>
      <w:pPr>
        <w:pStyle w:val="ListParagraph"/>
        <w:numPr>
          <w:ilvl w:val="0"/>
          <w:numId w:val="3"/>
        </w:numPr>
        <w:spacing w:after="60"/>
      </w:pPr>
      <w:r>
        <w:rPr>
          <w:b/>
          <w:bCs/>
          <w:sz w:val="22"/>
          <w:szCs w:val="22"/>
          <w:rFonts w:ascii="Arial" w:cs="Arial" w:eastAsia="Arial" w:hAnsi="Arial"/>
        </w:rPr>
        <w:t xml:space="preserve">Allocation footnote</w:t>
      </w:r>
      <w:r>
        <w:rPr>
          <w:sz w:val="22"/>
          <w:szCs w:val="22"/>
          <w:rFonts w:ascii="Arial" w:cs="Arial" w:eastAsia="Arial" w:hAnsi="Arial"/>
        </w:rPr>
        <w:t xml:space="preserve"> below the table when in Split mode, with shares rounded to 1 decimal place:</w:t>
      </w:r>
    </w:p>
    <w:p>
      <w:pPr>
        <w:pBdr>
          <w:left w:val="single" w:color="999999" w:sz="18" w:space="8"/>
        </w:pBdr>
        <w:spacing w:before="80" w:after="80"/>
        <w:ind w:left="360"/>
      </w:pPr>
      <w:r>
        <w:rPr>
          <w:i/>
          <w:iCs/>
          <w:sz w:val="22"/>
          <w:szCs w:val="22"/>
          <w:rFonts w:ascii="Arial" w:cs="Arial" w:eastAsia="Arial" w:hAnsi="Arial"/>
        </w:rPr>
        <w:t xml:space="preserve">Period metres: own {own_metres} m + jobwork {jobwork_metres} m = {total_metres} m. Shared period costs (wages, factory expenses, bank expenses) allocated by metre ratio: own {own_share×100}% / jobwork {jw_share×100}%.</w:t>
      </w:r>
    </w:p>
    <w:p>
      <w:pPr>
        <w:pStyle w:val="ListParagraph"/>
        <w:numPr>
          <w:ilvl w:val="0"/>
          <w:numId w:val="3"/>
        </w:numPr>
        <w:spacing w:after="60"/>
      </w:pPr>
      <w:r>
        <w:rPr>
          <w:b/>
          <w:bCs/>
          <w:sz w:val="22"/>
          <w:szCs w:val="22"/>
          <w:rFonts w:ascii="Arial" w:cs="Arial" w:eastAsia="Arial" w:hAnsi="Arial"/>
        </w:rPr>
        <w:t xml:space="preserve">Excel / CSV export</w:t>
      </w:r>
      <w:r>
        <w:rPr>
          <w:sz w:val="22"/>
          <w:szCs w:val="22"/>
          <w:rFonts w:ascii="Arial" w:cs="Arial" w:eastAsia="Arial" w:hAnsi="Arial"/>
        </w:rPr>
        <w:t xml:space="preserve"> — if the existing PnL page already exposes an export, update it to emit three columns in Split mode. If there is no current export, no new export work is in scope.</w:t>
      </w:r>
    </w:p>
    <w:p>
      <w:pPr>
        <w:pStyle w:val="Heading2"/>
        <w:spacing w:before="240" w:after="120"/>
      </w:pPr>
      <w:r>
        <w:rPr>
          <w:b/>
          <w:bCs/>
          <w:sz w:val="28"/>
          <w:szCs w:val="28"/>
          <w:rFonts w:ascii="Arial" w:cs="Arial" w:eastAsia="Arial" w:hAnsi="Arial"/>
        </w:rPr>
        <w:t xml:space="preserve">Implementation Plan (Files)</w:t>
      </w:r>
    </w:p>
    <w:p>
      <w:pPr>
        <w:pStyle w:val="ListParagraph"/>
        <w:numPr>
          <w:ilvl w:val="0"/>
          <w:numId w:val="2"/>
        </w:numPr>
        <w:spacing w:after="60"/>
      </w:pPr>
      <w:r>
        <w:rPr>
          <w:b/>
          <w:bCs/>
          <w:sz w:val="22"/>
          <w:szCs w:val="22"/>
          <w:rFonts w:ascii="Arial" w:cs="Arial" w:eastAsia="Arial" w:hAnsi="Arial"/>
        </w:rPr>
      </w:r>
      <w:r>
        <w:rPr>
          <w:sz w:val="20"/>
          <w:szCs w:val="20"/>
          <w:rFonts w:ascii="Consolas" w:cs="Consolas" w:eastAsia="Consolas" w:hAnsi="Consolas"/>
          <w:shd w:fill="F2F2F2" w:val="clear"/>
        </w:rPr>
        <w:t xml:space="preserve">app/db/migrations/138_period_pnl_split_fn.sql</w:t>
      </w:r>
      <w:r>
        <w:rPr>
          <w:sz w:val="22"/>
          <w:szCs w:val="22"/>
          <w:rFonts w:ascii="Arial" w:cs="Arial" w:eastAsia="Arial" w:hAnsi="Arial"/>
        </w:rPr>
        <w:t xml:space="preserve"> — defines </w:t>
      </w:r>
      <w:r>
        <w:rPr>
          <w:sz w:val="20"/>
          <w:szCs w:val="20"/>
          <w:rFonts w:ascii="Consolas" w:cs="Consolas" w:eastAsia="Consolas" w:hAnsi="Consolas"/>
          <w:shd w:fill="F2F2F2" w:val="clear"/>
        </w:rPr>
        <w:t xml:space="preserve">fn_period_pnl_split(p_from date, p_to date)</w:t>
      </w:r>
      <w:r>
        <w:rPr>
          <w:sz w:val="22"/>
          <w:szCs w:val="22"/>
          <w:rFonts w:ascii="Arial" w:cs="Arial" w:eastAsia="Arial" w:hAnsi="Arial"/>
        </w:rPr>
        <w:t xml:space="preserve"> returning the three columns per line.</w:t>
      </w:r>
    </w:p>
    <w:p>
      <w:pPr>
        <w:pStyle w:val="ListParagraph"/>
        <w:numPr>
          <w:ilvl w:val="0"/>
          <w:numId w:val="2"/>
        </w:numPr>
        <w:spacing w:after="60"/>
      </w:pPr>
      <w:r>
        <w:rPr>
          <w:b/>
          <w:bCs/>
          <w:sz w:val="22"/>
          <w:szCs w:val="22"/>
          <w:rFonts w:ascii="Arial" w:cs="Arial" w:eastAsia="Arial" w:hAnsi="Arial"/>
        </w:rPr>
      </w:r>
      <w:r>
        <w:rPr>
          <w:sz w:val="20"/>
          <w:szCs w:val="20"/>
          <w:rFonts w:ascii="Consolas" w:cs="Consolas" w:eastAsia="Consolas" w:hAnsi="Consolas"/>
          <w:shd w:fill="F2F2F2" w:val="clear"/>
        </w:rPr>
        <w:t xml:space="preserve">app/app/app/reports/pnl/page.tsx</w:t>
      </w:r>
      <w:r>
        <w:rPr>
          <w:sz w:val="22"/>
          <w:szCs w:val="22"/>
          <w:rFonts w:ascii="Arial" w:cs="Arial" w:eastAsia="Arial" w:hAnsi="Arial"/>
        </w:rPr>
        <w:t xml:space="preserve"> — read </w:t>
      </w:r>
      <w:r>
        <w:rPr>
          <w:sz w:val="20"/>
          <w:szCs w:val="20"/>
          <w:rFonts w:ascii="Consolas" w:cs="Consolas" w:eastAsia="Consolas" w:hAnsi="Consolas"/>
          <w:shd w:fill="F2F2F2" w:val="clear"/>
        </w:rPr>
        <w:t xml:space="preserve">?view=</w:t>
      </w:r>
      <w:r>
        <w:rPr>
          <w:sz w:val="22"/>
          <w:szCs w:val="22"/>
          <w:rFonts w:ascii="Arial" w:cs="Arial" w:eastAsia="Arial" w:hAnsi="Arial"/>
        </w:rPr>
        <w:t xml:space="preserve">, branch between single-column existing render and new three-column render. Call </w:t>
      </w:r>
      <w:r>
        <w:rPr>
          <w:sz w:val="20"/>
          <w:szCs w:val="20"/>
          <w:rFonts w:ascii="Consolas" w:cs="Consolas" w:eastAsia="Consolas" w:hAnsi="Consolas"/>
          <w:shd w:fill="F2F2F2" w:val="clear"/>
        </w:rPr>
        <w:t xml:space="preserve">fn_period_pnl</w:t>
      </w:r>
      <w:r>
        <w:rPr>
          <w:sz w:val="22"/>
          <w:szCs w:val="22"/>
          <w:rFonts w:ascii="Arial" w:cs="Arial" w:eastAsia="Arial" w:hAnsi="Arial"/>
        </w:rPr>
        <w:t xml:space="preserve"> for combined, </w:t>
      </w:r>
      <w:r>
        <w:rPr>
          <w:sz w:val="20"/>
          <w:szCs w:val="20"/>
          <w:rFonts w:ascii="Consolas" w:cs="Consolas" w:eastAsia="Consolas" w:hAnsi="Consolas"/>
          <w:shd w:fill="F2F2F2" w:val="clear"/>
        </w:rPr>
        <w:t xml:space="preserve">fn_period_pnl_split</w:t>
      </w:r>
      <w:r>
        <w:rPr>
          <w:sz w:val="22"/>
          <w:szCs w:val="22"/>
          <w:rFonts w:ascii="Arial" w:cs="Arial" w:eastAsia="Arial" w:hAnsi="Arial"/>
        </w:rPr>
        <w:t xml:space="preserve"> for split.</w:t>
      </w:r>
    </w:p>
    <w:p>
      <w:pPr>
        <w:pStyle w:val="ListParagraph"/>
        <w:numPr>
          <w:ilvl w:val="0"/>
          <w:numId w:val="2"/>
        </w:numPr>
        <w:spacing w:after="60"/>
      </w:pPr>
      <w:r>
        <w:rPr>
          <w:b/>
          <w:bCs/>
          <w:sz w:val="22"/>
          <w:szCs w:val="22"/>
          <w:rFonts w:ascii="Arial" w:cs="Arial" w:eastAsia="Arial" w:hAnsi="Arial"/>
        </w:rPr>
        <w:t xml:space="preserve">Excel export route / handler</w:t>
      </w:r>
      <w:r>
        <w:rPr>
          <w:sz w:val="22"/>
          <w:szCs w:val="22"/>
          <w:rFonts w:ascii="Arial" w:cs="Arial" w:eastAsia="Arial" w:hAnsi="Arial"/>
        </w:rPr>
        <w:t xml:space="preserve"> — update if needed to emit three columns in Split mode.</w:t>
      </w:r>
    </w:p>
    <w:p>
      <w:pPr>
        <w:spacing w:after="80"/>
      </w:pPr>
      <w:r>
        <w:rPr>
          <w:sz w:val="22"/>
          <w:szCs w:val="22"/>
          <w:rFonts w:ascii="Arial" w:cs="Arial" w:eastAsia="Arial" w:hAnsi="Arial"/>
        </w:rPr>
        <w:t xml:space="preserve">No changes to: </w:t>
      </w:r>
      <w:r>
        <w:rPr>
          <w:sz w:val="20"/>
          <w:szCs w:val="20"/>
          <w:rFonts w:ascii="Consolas" w:cs="Consolas" w:eastAsia="Consolas" w:hAnsi="Consolas"/>
          <w:shd w:fill="F2F2F2" w:val="clear"/>
        </w:rPr>
        <w:t xml:space="preserve">jobwork_order</w:t>
      </w:r>
      <w:r>
        <w:rPr>
          <w:sz w:val="22"/>
          <w:szCs w:val="22"/>
          <w:rFonts w:ascii="Arial" w:cs="Arial" w:eastAsia="Arial" w:hAnsi="Arial"/>
        </w:rPr>
        <w:t xml:space="preserve"> schema, </w:t>
      </w:r>
      <w:r>
        <w:rPr>
          <w:sz w:val="20"/>
          <w:szCs w:val="20"/>
          <w:rFonts w:ascii="Consolas" w:cs="Consolas" w:eastAsia="Consolas" w:hAnsi="Consolas"/>
          <w:shd w:fill="F2F2F2" w:val="clear"/>
        </w:rPr>
        <w:t xml:space="preserve">production_batch</w:t>
      </w:r>
      <w:r>
        <w:rPr>
          <w:sz w:val="22"/>
          <w:szCs w:val="22"/>
          <w:rFonts w:ascii="Arial" w:cs="Arial" w:eastAsia="Arial" w:hAnsi="Arial"/>
        </w:rPr>
        <w:t xml:space="preserve"> schema, </w:t>
      </w:r>
      <w:r>
        <w:rPr>
          <w:sz w:val="20"/>
          <w:szCs w:val="20"/>
          <w:rFonts w:ascii="Consolas" w:cs="Consolas" w:eastAsia="Consolas" w:hAnsi="Consolas"/>
          <w:shd w:fill="F2F2F2" w:val="clear"/>
        </w:rPr>
        <w:t xml:space="preserve">bank_category</w:t>
      </w:r>
      <w:r>
        <w:rPr>
          <w:sz w:val="22"/>
          <w:szCs w:val="22"/>
          <w:rFonts w:ascii="Arial" w:cs="Arial" w:eastAsia="Arial" w:hAnsi="Arial"/>
        </w:rPr>
        <w:t xml:space="preserve">, existing </w:t>
      </w:r>
      <w:r>
        <w:rPr>
          <w:sz w:val="20"/>
          <w:szCs w:val="20"/>
          <w:rFonts w:ascii="Consolas" w:cs="Consolas" w:eastAsia="Consolas" w:hAnsi="Consolas"/>
          <w:shd w:fill="F2F2F2" w:val="clear"/>
        </w:rPr>
        <w:t xml:space="preserve">fn_period_pnl</w:t>
      </w:r>
      <w:r>
        <w:rPr>
          <w:sz w:val="22"/>
          <w:szCs w:val="22"/>
          <w:rFonts w:ascii="Arial" w:cs="Arial" w:eastAsia="Arial" w:hAnsi="Arial"/>
        </w:rPr>
        <w:t xml:space="preserve">, any other report.</w:t>
      </w:r>
    </w:p>
    <w:p>
      <w:pPr>
        <w:pStyle w:val="Heading2"/>
        <w:spacing w:before="240" w:after="120"/>
      </w:pPr>
      <w:r>
        <w:rPr>
          <w:b/>
          <w:bCs/>
          <w:sz w:val="28"/>
          <w:szCs w:val="28"/>
          <w:rFonts w:ascii="Arial" w:cs="Arial" w:eastAsia="Arial" w:hAnsi="Arial"/>
        </w:rPr>
        <w:t xml:space="preserve">Testing</w:t>
      </w:r>
    </w:p>
    <w:p>
      <w:pPr>
        <w:spacing w:after="80"/>
      </w:pPr>
      <w:r>
        <w:rPr>
          <w:sz w:val="22"/>
          <w:szCs w:val="22"/>
          <w:rFonts w:ascii="Arial" w:cs="Arial" w:eastAsia="Arial" w:hAnsi="Arial"/>
        </w:rPr>
        <w:t xml:space="preserve">Manual verification against a known period:</w:t>
      </w:r>
    </w:p>
    <w:p>
      <w:pPr>
        <w:pStyle w:val="ListParagraph"/>
        <w:numPr>
          <w:ilvl w:val="0"/>
          <w:numId w:val="3"/>
        </w:numPr>
        <w:spacing w:after="60"/>
      </w:pPr>
      <w:r>
        <w:rPr>
          <w:sz w:val="22"/>
          <w:szCs w:val="22"/>
          <w:rFonts w:ascii="Arial" w:cs="Arial" w:eastAsia="Arial" w:hAnsi="Arial"/>
        </w:rPr>
        <w:t xml:space="preserve">Pick a month with known production_batch + jobwork_order activity.</w:t>
      </w:r>
    </w:p>
    <w:p>
      <w:pPr>
        <w:pStyle w:val="ListParagraph"/>
        <w:numPr>
          <w:ilvl w:val="0"/>
          <w:numId w:val="3"/>
        </w:numPr>
        <w:spacing w:after="60"/>
      </w:pPr>
      <w:r>
        <w:rPr>
          <w:sz w:val="22"/>
          <w:szCs w:val="22"/>
          <w:rFonts w:ascii="Arial" w:cs="Arial" w:eastAsia="Arial" w:hAnsi="Arial"/>
        </w:rPr>
        <w:t xml:space="preserve">Compute expected: own_metres, jobwork_metres, share ratios — by hand from the source tables.</w:t>
      </w:r>
    </w:p>
    <w:p>
      <w:pPr>
        <w:pStyle w:val="ListParagraph"/>
        <w:numPr>
          <w:ilvl w:val="0"/>
          <w:numId w:val="3"/>
        </w:numPr>
        <w:spacing w:after="60"/>
      </w:pPr>
      <w:r>
        <w:rPr>
          <w:sz w:val="22"/>
          <w:szCs w:val="22"/>
          <w:rFonts w:ascii="Arial" w:cs="Arial" w:eastAsia="Arial" w:hAnsi="Arial"/>
        </w:rPr>
        <w:t xml:space="preserve">Run </w:t>
      </w:r>
      <w:r>
        <w:rPr>
          <w:sz w:val="20"/>
          <w:szCs w:val="20"/>
          <w:rFonts w:ascii="Consolas" w:cs="Consolas" w:eastAsia="Consolas" w:hAnsi="Consolas"/>
          <w:shd w:fill="F2F2F2" w:val="clear"/>
        </w:rPr>
        <w:t xml:space="preserve">fn_period_pnl_split(p_from, p_to)</w:t>
      </w:r>
      <w:r>
        <w:rPr>
          <w:sz w:val="22"/>
          <w:szCs w:val="22"/>
          <w:rFonts w:ascii="Arial" w:cs="Arial" w:eastAsia="Arial" w:hAnsi="Arial"/>
        </w:rPr>
        <w:t xml:space="preserve">. Verify:</w:t>
      </w:r>
    </w:p>
    <w:p>
      <w:pPr>
        <w:pStyle w:val="ListParagraph"/>
        <w:numPr>
          <w:ilvl w:val="0"/>
          <w:numId w:val="2"/>
        </w:numPr>
        <w:spacing w:after="60"/>
        <w:ind w:left="1440" w:hanging="360"/>
      </w:pPr>
      <w:r>
        <w:rPr>
          <w:sz w:val="20"/>
          <w:szCs w:val="20"/>
          <w:rFonts w:ascii="Consolas" w:cs="Consolas" w:eastAsia="Consolas" w:hAnsi="Consolas"/>
          <w:shd w:fill="F2F2F2" w:val="clear"/>
        </w:rPr>
        <w:t xml:space="preserve">own_metres + jobwork_metres</w:t>
      </w:r>
      <w:r>
        <w:rPr>
          <w:sz w:val="22"/>
          <w:szCs w:val="22"/>
          <w:rFonts w:ascii="Arial" w:cs="Arial" w:eastAsia="Arial" w:hAnsi="Arial"/>
        </w:rPr>
        <w:t xml:space="preserve"> matches the table sums.</w:t>
      </w:r>
    </w:p>
    <w:p>
      <w:pPr>
        <w:pStyle w:val="ListParagraph"/>
        <w:numPr>
          <w:ilvl w:val="0"/>
          <w:numId w:val="2"/>
        </w:numPr>
        <w:spacing w:after="60"/>
        <w:ind w:left="1440" w:hanging="360"/>
      </w:pPr>
      <w:r>
        <w:rPr>
          <w:sz w:val="22"/>
          <w:szCs w:val="22"/>
          <w:rFonts w:ascii="Arial" w:cs="Arial" w:eastAsia="Arial" w:hAnsi="Arial"/>
        </w:rPr>
        <w:t xml:space="preserve">Combined column matches </w:t>
      </w:r>
      <w:r>
        <w:rPr>
          <w:sz w:val="20"/>
          <w:szCs w:val="20"/>
          <w:rFonts w:ascii="Consolas" w:cs="Consolas" w:eastAsia="Consolas" w:hAnsi="Consolas"/>
          <w:shd w:fill="F2F2F2" w:val="clear"/>
        </w:rPr>
        <w:t xml:space="preserve">fn_period_pnl(p_from, p_to)</w:t>
      </w:r>
      <w:r>
        <w:rPr>
          <w:sz w:val="22"/>
          <w:szCs w:val="22"/>
          <w:rFonts w:ascii="Arial" w:cs="Arial" w:eastAsia="Arial" w:hAnsi="Arial"/>
        </w:rPr>
        <w:t xml:space="preserve"> exactly.</w:t>
      </w:r>
    </w:p>
    <w:p>
      <w:pPr>
        <w:pStyle w:val="ListParagraph"/>
        <w:numPr>
          <w:ilvl w:val="0"/>
          <w:numId w:val="2"/>
        </w:numPr>
        <w:spacing w:after="60"/>
        <w:ind w:left="1440" w:hanging="360"/>
      </w:pPr>
      <w:r>
        <w:rPr>
          <w:sz w:val="22"/>
          <w:szCs w:val="22"/>
          <w:rFonts w:ascii="Arial" w:cs="Arial" w:eastAsia="Arial" w:hAnsi="Arial"/>
        </w:rPr>
        <w:t xml:space="preserve">Sum of own column + jobwork column for every line equals combined column for that line.</w:t>
      </w:r>
    </w:p>
    <w:p>
      <w:pPr>
        <w:pStyle w:val="ListParagraph"/>
        <w:numPr>
          <w:ilvl w:val="0"/>
          <w:numId w:val="3"/>
        </w:numPr>
        <w:spacing w:after="60"/>
      </w:pPr>
      <w:r>
        <w:rPr>
          <w:sz w:val="22"/>
          <w:szCs w:val="22"/>
          <w:rFonts w:ascii="Arial" w:cs="Arial" w:eastAsia="Arial" w:hAnsi="Arial"/>
        </w:rPr>
        <w:t xml:space="preserve">Render </w:t>
      </w:r>
      <w:r>
        <w:rPr>
          <w:sz w:val="20"/>
          <w:szCs w:val="20"/>
          <w:rFonts w:ascii="Consolas" w:cs="Consolas" w:eastAsia="Consolas" w:hAnsi="Consolas"/>
          <w:shd w:fill="F2F2F2" w:val="clear"/>
        </w:rPr>
        <w:t xml:space="preserve">/app/reports/pnl?view=split&amp;from=…&amp;to=…</w:t>
      </w:r>
      <w:r>
        <w:rPr>
          <w:sz w:val="22"/>
          <w:szCs w:val="22"/>
          <w:rFonts w:ascii="Arial" w:cs="Arial" w:eastAsia="Arial" w:hAnsi="Arial"/>
        </w:rPr>
        <w:t xml:space="preserve"> and visually confirm the same numbers.</w:t>
      </w:r>
    </w:p>
    <w:p>
      <w:pPr>
        <w:pStyle w:val="Heading2"/>
        <w:spacing w:before="240" w:after="120"/>
      </w:pPr>
      <w:r>
        <w:rPr>
          <w:b/>
          <w:bCs/>
          <w:sz w:val="28"/>
          <w:szCs w:val="28"/>
          <w:rFonts w:ascii="Arial" w:cs="Arial" w:eastAsia="Arial" w:hAnsi="Arial"/>
        </w:rPr>
        <w:t xml:space="preserve">Out of Scope</w:t>
      </w:r>
    </w:p>
    <w:p>
      <w:pPr>
        <w:pStyle w:val="ListParagraph"/>
        <w:numPr>
          <w:ilvl w:val="0"/>
          <w:numId w:val="2"/>
        </w:numPr>
        <w:spacing w:after="60"/>
      </w:pPr>
      <w:r>
        <w:rPr>
          <w:sz w:val="22"/>
          <w:szCs w:val="22"/>
          <w:rFonts w:ascii="Arial" w:cs="Arial" w:eastAsia="Arial" w:hAnsi="Arial"/>
        </w:rPr>
        <w:t xml:space="preserve">Loom-hour-based allocation (deferred; requires </w:t>
      </w:r>
      <w:r>
        <w:rPr>
          <w:sz w:val="20"/>
          <w:szCs w:val="20"/>
          <w:rFonts w:ascii="Consolas" w:cs="Consolas" w:eastAsia="Consolas" w:hAnsi="Consolas"/>
          <w:shd w:fill="F2F2F2" w:val="clear"/>
        </w:rPr>
        <w:t xml:space="preserve">jobwork_order</w:t>
      </w:r>
      <w:r>
        <w:rPr>
          <w:sz w:val="22"/>
          <w:szCs w:val="22"/>
          <w:rFonts w:ascii="Arial" w:cs="Arial" w:eastAsia="Arial" w:hAnsi="Arial"/>
        </w:rPr>
        <w:t xml:space="preserve"> schema change + data entry).</w:t>
      </w:r>
    </w:p>
    <w:p>
      <w:pPr>
        <w:pStyle w:val="ListParagraph"/>
        <w:numPr>
          <w:ilvl w:val="0"/>
          <w:numId w:val="2"/>
        </w:numPr>
        <w:spacing w:after="60"/>
      </w:pPr>
      <w:r>
        <w:rPr>
          <w:sz w:val="22"/>
          <w:szCs w:val="22"/>
          <w:rFonts w:ascii="Arial" w:cs="Arial" w:eastAsia="Arial" w:hAnsi="Arial"/>
        </w:rPr>
        <w:t xml:space="preserve">Per-cost-category attribution flags.</w:t>
      </w:r>
    </w:p>
    <w:p>
      <w:pPr>
        <w:pStyle w:val="ListParagraph"/>
        <w:numPr>
          <w:ilvl w:val="0"/>
          <w:numId w:val="2"/>
        </w:numPr>
        <w:spacing w:after="60"/>
      </w:pPr>
      <w:r>
        <w:rPr>
          <w:sz w:val="22"/>
          <w:szCs w:val="22"/>
          <w:rFonts w:ascii="Arial" w:cs="Arial" w:eastAsia="Arial" w:hAnsi="Arial"/>
        </w:rPr>
        <w:t xml:space="preserve">Quality-level or order-level profitability (separate report).</w:t>
      </w:r>
    </w:p>
    <w:p>
      <w:pPr>
        <w:pStyle w:val="ListParagraph"/>
        <w:numPr>
          <w:ilvl w:val="0"/>
          <w:numId w:val="2"/>
        </w:numPr>
        <w:spacing w:after="60"/>
      </w:pPr>
      <w:r>
        <w:rPr>
          <w:sz w:val="22"/>
          <w:szCs w:val="22"/>
          <w:rFonts w:ascii="Arial" w:cs="Arial" w:eastAsia="Arial" w:hAnsi="Arial"/>
        </w:rPr>
        <w:t xml:space="preserve">Forecasting / budgeting.</w:t>
      </w:r>
    </w:p>
    <w:p>
      <w:pPr>
        <w:pStyle w:val="Heading2"/>
        <w:spacing w:before="240" w:after="120"/>
      </w:pPr>
      <w:r>
        <w:rPr>
          <w:b/>
          <w:bCs/>
          <w:sz w:val="28"/>
          <w:szCs w:val="28"/>
          <w:rFonts w:ascii="Arial" w:cs="Arial" w:eastAsia="Arial" w:hAnsi="Arial"/>
        </w:rPr>
        <w:t xml:space="preserve">Risk / Open Questions</w:t>
      </w:r>
    </w:p>
    <w:p>
      <w:pPr>
        <w:pStyle w:val="ListParagraph"/>
        <w:numPr>
          <w:ilvl w:val="0"/>
          <w:numId w:val="2"/>
        </w:numPr>
        <w:spacing w:after="60"/>
      </w:pPr>
      <w:r>
        <w:rPr>
          <w:b/>
          <w:bCs/>
          <w:sz w:val="22"/>
          <w:szCs w:val="22"/>
          <w:rFonts w:ascii="Arial" w:cs="Arial" w:eastAsia="Arial" w:hAnsi="Arial"/>
        </w:rPr>
        <w:t xml:space="preserve">LOOMS overhead double-count</w:t>
      </w:r>
      <w:r>
        <w:rPr>
          <w:sz w:val="22"/>
          <w:szCs w:val="22"/>
          <w:rFonts w:ascii="Arial" w:cs="Arial" w:eastAsia="Arial" w:hAnsi="Arial"/>
        </w:rPr>
        <w:t xml:space="preserve"> — </w:t>
      </w:r>
      <w:r>
        <w:rPr>
          <w:sz w:val="20"/>
          <w:szCs w:val="20"/>
          <w:rFonts w:ascii="Consolas" w:cs="Consolas" w:eastAsia="Consolas" w:hAnsi="Consolas"/>
          <w:shd w:fill="F2F2F2" w:val="clear"/>
        </w:rPr>
        <w:t xml:space="preserve">production_batch.actual_true_cost_per_m</w:t>
      </w:r>
      <w:r>
        <w:rPr>
          <w:sz w:val="22"/>
          <w:szCs w:val="22"/>
          <w:rFonts w:ascii="Arial" w:cs="Arial" w:eastAsia="Arial" w:hAnsi="Arial"/>
        </w:rPr>
        <w:t xml:space="preserve"> already includes </w:t>
      </w:r>
      <w:r>
        <w:rPr>
          <w:sz w:val="20"/>
          <w:szCs w:val="20"/>
          <w:rFonts w:ascii="Consolas" w:cs="Consolas" w:eastAsia="Consolas" w:hAnsi="Consolas"/>
          <w:shd w:fill="F2F2F2" w:val="clear"/>
        </w:rPr>
        <w:t xml:space="preserve">actual_overhead_per_m</w:t>
      </w:r>
      <w:r>
        <w:rPr>
          <w:sz w:val="22"/>
          <w:szCs w:val="22"/>
          <w:rFonts w:ascii="Arial" w:cs="Arial" w:eastAsia="Arial" w:hAnsi="Arial"/>
        </w:rPr>
        <w:t xml:space="preserve"> (the LOOMS overhead snapshot). The existing </w:t>
      </w:r>
      <w:r>
        <w:rPr>
          <w:sz w:val="20"/>
          <w:szCs w:val="20"/>
          <w:rFonts w:ascii="Consolas" w:cs="Consolas" w:eastAsia="Consolas" w:hAnsi="Consolas"/>
          <w:shd w:fill="F2F2F2" w:val="clear"/>
        </w:rPr>
        <w:t xml:space="preserve">fn_period_pnl</w:t>
      </w:r>
      <w:r>
        <w:rPr>
          <w:sz w:val="22"/>
          <w:szCs w:val="22"/>
          <w:rFonts w:ascii="Arial" w:cs="Arial" w:eastAsia="Arial" w:hAnsi="Arial"/>
        </w:rPr>
        <w:t xml:space="preserve"> then ALSO adds full </w:t>
      </w:r>
      <w:r>
        <w:rPr>
          <w:sz w:val="20"/>
          <w:szCs w:val="20"/>
          <w:rFonts w:ascii="Consolas" w:cs="Consolas" w:eastAsia="Consolas" w:hAnsi="Consolas"/>
          <w:shd w:fill="F2F2F2" w:val="clear"/>
        </w:rPr>
        <w:t xml:space="preserve">factory_expenses</w:t>
      </w:r>
      <w:r>
        <w:rPr>
          <w:sz w:val="22"/>
          <w:szCs w:val="22"/>
          <w:rFonts w:ascii="Arial" w:cs="Arial" w:eastAsia="Arial" w:hAnsi="Arial"/>
        </w:rPr>
        <w:t xml:space="preserve"> and </w:t>
      </w:r>
      <w:r>
        <w:rPr>
          <w:sz w:val="20"/>
          <w:szCs w:val="20"/>
          <w:rFonts w:ascii="Consolas" w:cs="Consolas" w:eastAsia="Consolas" w:hAnsi="Consolas"/>
          <w:shd w:fill="F2F2F2" w:val="clear"/>
        </w:rPr>
        <w:t xml:space="preserve">wages</w:t>
      </w:r>
      <w:r>
        <w:rPr>
          <w:sz w:val="22"/>
          <w:szCs w:val="22"/>
          <w:rFonts w:ascii="Arial" w:cs="Arial" w:eastAsia="Arial" w:hAnsi="Arial"/>
        </w:rPr>
        <w:t xml:space="preserve"> as period costs — so combined P&amp;L overstates overhead by the absorbed amount. This is a pre-existing issue in </w:t>
      </w:r>
      <w:r>
        <w:rPr>
          <w:sz w:val="20"/>
          <w:szCs w:val="20"/>
          <w:rFonts w:ascii="Consolas" w:cs="Consolas" w:eastAsia="Consolas" w:hAnsi="Consolas"/>
          <w:shd w:fill="F2F2F2" w:val="clear"/>
        </w:rPr>
        <w:t xml:space="preserve">fn_period_pnl</w:t>
      </w:r>
      <w:r>
        <w:rPr>
          <w:sz w:val="22"/>
          <w:szCs w:val="22"/>
          <w:rFonts w:ascii="Arial" w:cs="Arial" w:eastAsia="Arial" w:hAnsi="Arial"/>
        </w:rPr>
        <w:t xml:space="preserve"> and is preserved in </w:t>
      </w:r>
      <w:r>
        <w:rPr>
          <w:sz w:val="20"/>
          <w:szCs w:val="20"/>
          <w:rFonts w:ascii="Consolas" w:cs="Consolas" w:eastAsia="Consolas" w:hAnsi="Consolas"/>
          <w:shd w:fill="F2F2F2" w:val="clear"/>
        </w:rPr>
        <w:t xml:space="preserve">fn_period_pnl_split</w:t>
      </w:r>
      <w:r>
        <w:rPr>
          <w:sz w:val="22"/>
          <w:szCs w:val="22"/>
          <w:rFonts w:ascii="Arial" w:cs="Arial" w:eastAsia="Arial" w:hAnsi="Arial"/>
        </w:rPr>
        <w:t xml:space="preserve"> (Combined column matches existing). A future pass can deduct absorbed overhead from period costs to fix both views simultaneously.</w:t>
      </w:r>
    </w:p>
    <w:p>
      <w:pPr>
        <w:pStyle w:val="ListParagraph"/>
        <w:numPr>
          <w:ilvl w:val="0"/>
          <w:numId w:val="2"/>
        </w:numPr>
        <w:spacing w:after="60"/>
      </w:pPr>
      <w:r>
        <w:rPr>
          <w:b/>
          <w:bCs/>
          <w:sz w:val="22"/>
          <w:szCs w:val="22"/>
          <w:rFonts w:ascii="Arial" w:cs="Arial" w:eastAsia="Arial" w:hAnsi="Arial"/>
        </w:rPr>
        <w:t xml:space="preserve">Metre allocation assumes equal loom-hour-per-metre across modes</w:t>
      </w:r>
      <w:r>
        <w:rPr>
          <w:sz w:val="22"/>
          <w:szCs w:val="22"/>
          <w:rFonts w:ascii="Arial" w:cs="Arial" w:eastAsia="Arial" w:hAnsi="Arial"/>
        </w:rPr>
        <w:t xml:space="preserve"> — true on average if jobwork and own-production weave similar quality classes, less true if jobwork specialises in slower/faster cloth. Loom-hour tracking on </w:t>
      </w:r>
      <w:r>
        <w:rPr>
          <w:sz w:val="20"/>
          <w:szCs w:val="20"/>
          <w:rFonts w:ascii="Consolas" w:cs="Consolas" w:eastAsia="Consolas" w:hAnsi="Consolas"/>
          <w:shd w:fill="F2F2F2" w:val="clear"/>
        </w:rPr>
        <w:t xml:space="preserve">jobwork_order</w:t>
      </w:r>
      <w:r>
        <w:rPr>
          <w:sz w:val="22"/>
          <w:szCs w:val="22"/>
          <w:rFonts w:ascii="Arial" w:cs="Arial" w:eastAsia="Arial" w:hAnsi="Arial"/>
        </w:rPr>
        <w:t xml:space="preserve"> is the upgrade path.</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2"/>
        <w:szCs w:val="22"/>
        <w:rFonts w:ascii="Arial" w:cs="Arial" w:eastAsia="Arial" w:hAnsi="Aria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160"/>
      <w:outlineLvl w:val="0"/>
    </w:pPr>
    <w:rPr>
      <w:b/>
      <w:bCs/>
      <w:sz w:val="36"/>
      <w:szCs w:val="36"/>
      <w:rFonts w:ascii="Arial" w:cs="Arial" w:eastAsia="Arial" w:hAnsi="Arial"/>
    </w:rPr>
  </w:style>
  <w:style w:type="paragraph" w:styleId="Heading2">
    <w:name w:val="Heading 2"/>
    <w:basedOn w:val="Normal"/>
    <w:next w:val="Normal"/>
    <w:qFormat/>
    <w:pPr>
      <w:spacing w:before="240" w:after="120"/>
      <w:outlineLvl w:val="1"/>
    </w:pPr>
    <w:rPr>
      <w:b/>
      <w:bCs/>
      <w:sz w:val="28"/>
      <w:szCs w:val="28"/>
      <w:rFonts w:ascii="Arial" w:cs="Arial" w:eastAsia="Arial" w:hAnsi="Arial"/>
    </w:rPr>
  </w:style>
  <w:style w:type="paragraph" w:styleId="Heading3">
    <w:name w:val="Heading 3"/>
    <w:basedOn w:val="Normal"/>
    <w:next w:val="Normal"/>
    <w:qFormat/>
    <w:pPr>
      <w:spacing w:before="160" w:after="100"/>
      <w:outlineLvl w:val="2"/>
    </w:pPr>
    <w:rPr>
      <w:b/>
      <w:bCs/>
      <w:sz w:val="24"/>
      <w:szCs w:val="24"/>
      <w:rFonts w:ascii="Arial" w:cs="Arial" w:eastAsia="Arial" w:hAnsi="Arial"/>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2026-06-08T14:16:14.960Z</dcterms:created>
  <dcterms:modified xsi:type="dcterms:W3CDTF">2026-06-08T14:16:14.961Z</dcterms:modified>
</cp:coreProperties>
</file>

<file path=docProps/custom.xml><?xml version="1.0" encoding="utf-8"?>
<Properties xmlns="http://schemas.openxmlformats.org/officeDocument/2006/custom-properties" xmlns:vt="http://schemas.openxmlformats.org/officeDocument/2006/docPropsVTypes"/>
</file>