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医院自动化管理系统实施操作细则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一、系统概述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系统目标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规范医院日常管理，提升工作效率。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实现数据自动化采集、处理与分析，支撑决策。</w:t>
      </w:r>
      <w:bookmarkEnd w:id="100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整合HIS系统数据，确保台账资料实时更新。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应对各类检查，提供标准化、可追溯的管理依据。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系统架构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数据层：集成HIS接口，存储用户、业务、任务、台账数据。</w:t>
      </w:r>
      <w:bookmarkEnd w:id="1009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业务层：包含用户管理、数据采集、任务调度、台账管理、检查应对模块。</w:t>
      </w:r>
      <w:bookmarkEnd w:id="101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应用层：提供管理看板、报表导出、权限控制等功能。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部署层：基于Docker容器化部署，支持高可用和弹性扩展。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二、数据库表结构设计（核心表）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用户管理模块</w:t>
      </w:r>
      <w:bookmarkEnd w:id="101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用户表（users）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：包含ID、用户名、加密密码、邮箱、角色关联等字段。</w:t>
      </w:r>
      <w:bookmarkEnd w:id="101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角色表（roles）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：定义管理员、科室负责人、普通员工等角色及权限。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用户角色关联表（user_roles）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：记录用户与角色的映射关系。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数据管理模块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数据源表（data_sources）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：存储HIS接口配置（如API地址、认证密钥）。</w:t>
      </w:r>
      <w:bookmarkEnd w:id="1019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数据采集任务表（data_collection_tasks）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：定义采集频率、SQL查询、目标表等。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数据表（data）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：存储采集的原始数据及处理结果（如清洗后的台账数据）。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任务调度模块</w:t>
      </w:r>
      <w:bookmarkEnd w:id="102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任务表（tasks）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：包含定时任务（如数据同步、报表生成）的调度配置。</w:t>
      </w:r>
      <w:bookmarkEnd w:id="102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任务执行记录表（task_executions）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：记录任务执行日志及状态。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台账管理模块</w:t>
      </w:r>
      <w:bookmarkEnd w:id="1025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台账分类表（ledger_categories）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：定义台账类型（如行政、医疗、院感等）。</w:t>
      </w:r>
      <w:bookmarkEnd w:id="1026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台账记录表（ledger_items）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：存储具体台账内容，关联数据表及任务ID。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三、功能模块设计</w:t>
      </w:r>
      <w:bookmarkEnd w:id="102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用户管理与权限控制</w:t>
      </w:r>
      <w:bookmarkEnd w:id="102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支持分级权限：管理员可配置角色权限，科室负责人管理本科室数据。</w:t>
      </w:r>
      <w:bookmarkEnd w:id="103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登录认证集成HIS系统身份，确保账号一致性。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数据采集与同步</w:t>
      </w:r>
      <w:bookmarkEnd w:id="103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通过HIS接口定时同步数据（如门诊量、病历、药品库存）。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支持手动触发数据补采功能，处理异常数据。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任务调度与自动化</w:t>
      </w:r>
      <w:bookmarkEnd w:id="103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基于Quartz或Airflow实现任务调度，支持CRON表达式配置。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任务类型包括数据采集、报表生成、台账更新、检查提醒等。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台账管理与可视化</w:t>
      </w:r>
      <w:bookmarkEnd w:id="103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分类展示台账数据，支持按科室、时间、类型筛选。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提供模板化台账录入界面，自动生成标准化报表（如检查所需的统计表格）。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检查应对与预警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内置检查项清单，关联台账数据，自动标记待完善项。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模拟检查功能，生成自查报告及整改追踪台账。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数据看板与报表</w:t>
      </w:r>
      <w:bookmarkEnd w:id="104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实时展示关键指标（如床位利用率、药占比、院感率）。</w:t>
      </w:r>
      <w:bookmarkEnd w:id="104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支持导出Excel/PDF格式报表，符合检查要求。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四、Docker部署方案</w:t>
      </w:r>
      <w:bookmarkEnd w:id="104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部署环境准备</w:t>
      </w:r>
      <w:bookmarkEnd w:id="104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服务器要求：Linux（推荐CentOS 7+），Docker 20+版本，Docker Compose。</w:t>
      </w:r>
      <w:bookmarkEnd w:id="104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网络配置：开放必要端口（如80/443、数据库端口）。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镜像构建</w:t>
      </w:r>
      <w:bookmarkEnd w:id="105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编写Dockerfile，打包应用服务（前端、后端、数据库）。</w:t>
      </w:r>
      <w:bookmarkEnd w:id="1052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使用多阶段构建优化镜像体积。</w:t>
      </w:r>
      <w:bookmarkEnd w:id="105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容器编排（docker-compose.yml）</w:t>
      </w:r>
      <w:bookmarkEnd w:id="1054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部署步骤</w:t>
      </w:r>
      <w:bookmarkEnd w:id="105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克隆项目仓库，配置.env文件（数据库、HIS密钥等）。</w:t>
      </w:r>
      <w:bookmarkEnd w:id="105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执行docker-compose up -d启动服务。</w:t>
      </w:r>
      <w:bookmarkEnd w:id="1057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初始化数据库：运行数据迁移脚本（如使用Flask-Migrate或Django migrations）。</w:t>
      </w:r>
      <w:bookmarkEnd w:id="1058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高可用扩展</w:t>
      </w:r>
      <w:bookmarkEnd w:id="105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使用Kubernetes部署集群，配置负载均衡和自动伸缩。</w:t>
      </w:r>
      <w:bookmarkEnd w:id="106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数据库采用主从复制或Galera集群。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五、实施步骤与项目管理</w:t>
      </w:r>
      <w:bookmarkEnd w:id="106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项目启动</w:t>
      </w:r>
      <w:bookmarkEnd w:id="106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成立跨部门项目组（IT、医务、行政、院感等）。</w:t>
      </w:r>
      <w:bookmarkEnd w:id="106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明确需求范围，制定实施计划和时间表。</w:t>
      </w:r>
      <w:bookmarkEnd w:id="106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系统开发与测试</w:t>
      </w:r>
      <w:bookmarkEnd w:id="106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分阶段开发：用户管理→数据采集→台账模块→检查应对。</w:t>
      </w:r>
      <w:bookmarkEnd w:id="106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单元测试、集成测试、压力测试，确保系统稳定性。</w:t>
      </w:r>
      <w:bookmarkEnd w:id="106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数据对接与清洗</w:t>
      </w:r>
      <w:bookmarkEnd w:id="1069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对接HIS系统，验证接口权限和字段映射。</w:t>
      </w:r>
      <w:bookmarkEnd w:id="1070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清洗历史数据，导入初始台账。</w:t>
      </w:r>
      <w:bookmarkEnd w:id="107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试点运行</w:t>
      </w:r>
      <w:bookmarkEnd w:id="1072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选择试点科室（如门诊部）试运行，收集反馈优化。</w:t>
      </w:r>
      <w:bookmarkEnd w:id="107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全员培训</w:t>
      </w:r>
      <w:bookmarkEnd w:id="107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分角色培训：管理员（权限配置）、科室人员（台账录入、自查）。</w:t>
      </w:r>
      <w:bookmarkEnd w:id="1075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制作操作手册和视频教程。</w:t>
      </w:r>
      <w:bookmarkEnd w:id="107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正式上线</w:t>
      </w:r>
      <w:bookmarkEnd w:id="107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数据迁移与验证，确保零数据丢失。</w:t>
      </w:r>
      <w:bookmarkEnd w:id="107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发布公告，切换至新系统。</w:t>
      </w:r>
      <w:bookmarkEnd w:id="107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持续运维</w:t>
      </w:r>
      <w:bookmarkEnd w:id="1080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每日监控任务执行情况，处理异常告警。</w:t>
      </w:r>
      <w:bookmarkEnd w:id="108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定期数据备份（如每日全量备份）。</w:t>
      </w:r>
      <w:bookmarkEnd w:id="10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六、安全管理与合规</w:t>
      </w:r>
      <w:bookmarkEnd w:id="1083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数据加密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4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传输加密：使用HTTPS协议，HIS接口双向认证。</w:t>
      </w:r>
      <w:bookmarkEnd w:id="1085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存储加密：敏感数据（如患者信息）加密存储。</w:t>
      </w:r>
      <w:bookmarkEnd w:id="1086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访问控制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7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基于角色的访问控制（RBAC），最小权限原则。</w:t>
      </w:r>
      <w:bookmarkEnd w:id="1088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审计日志记录关键操作。</w:t>
      </w:r>
      <w:bookmarkEnd w:id="1089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合规性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0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遵循《医疗信息安全管理规范》，通过等保测评。</w:t>
      </w:r>
      <w:bookmarkEnd w:id="10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七、应急预案</w:t>
      </w:r>
      <w:bookmarkEnd w:id="1092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数据恢复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：定期演练数据恢复流程，验证备份可用性。</w:t>
      </w:r>
      <w:bookmarkEnd w:id="1093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系统故障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：部署监控告警（如Prometheus+Alertmanager），快速响应故障。</w:t>
      </w:r>
      <w:bookmarkEnd w:id="1094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检查应对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：预留人工录入接口，防止系统异常时影响迎检。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八、附件</w:t>
      </w:r>
      <w:bookmarkEnd w:id="1096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数据库表结构详细设计文档</w:t>
      </w:r>
      <w:bookmarkEnd w:id="1097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Docker部署配置模板</w:t>
      </w:r>
      <w:bookmarkEnd w:id="1098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操作手册（SOP）</w:t>
      </w:r>
      <w:bookmarkEnd w:id="1099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检查应对清单模板</w:t>
      </w:r>
      <w:bookmarkEnd w:id="11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编制人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：XXX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审核人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：XXX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批准人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：XXX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：XXXX年XX月XX日</w:t>
      </w:r>
      <w:bookmarkEnd w:id="11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：本细则需根据实际情况调整配置参数，确保与医院现有系统兼容。</w:t>
      </w:r>
      <w:bookmarkEnd w:id="11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备注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：实施过程中需与HIS厂商紧密协作，确保接口权限和数据安全；同时，定期评估系统效能，优化流程和算法。</w:t>
      </w:r>
      <w:bookmarkEnd w:id="1106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3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2026-02-28T14:49:52Z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jUNaFoa+sK1T6ZbCPzBwNkNmIxRSWaaS7bKvDJAZtfY=","ProduceID":"doc_sgs:fa4f945a-21b6-42df-9204-79e36f74bdd2","ReservedCode2":"jUNaFoa+sK1T6ZbCPzBwNkNmIxRSWaaS7bKvDJAZtfY=","PropagateID":"doc_sgs:fa4f945a-21b6-42df-9204-79e36f74bdd2","ContentProducer":"001191440101MA9Y9T4H7A00000"}</vt:lpwstr>
  </property>
</Properties>
</file>