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医院自动化管理系统实施操作细则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一、系统概述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规范医院日常管理，提升工作效率。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实现数据自动化采集、处理与分析，支撑决策。</w:t>
      </w:r>
      <w:bookmarkEnd w:id="100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整合HIS系统数据，确保台账资料实时更新。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应对各类检查，提供标准化、可追溯的管理依据。</w:t>
      </w:r>
      <w:bookmarkEnd w:id="100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系统架构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数据层：集成HIS接口，存储用户、业务、任务、台账数据。</w:t>
      </w:r>
      <w:bookmarkEnd w:id="100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业务层：包含用户管理、数据采集、任务调度、台账管理、检查应对模块。</w:t>
      </w:r>
      <w:bookmarkEnd w:id="101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应用层：提供管理看板、报表导出、权限控制等功能。</w:t>
      </w:r>
      <w:bookmarkEnd w:id="101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部署层：基于Docker容器化部署，支持高可用和弹性扩展。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二、数据库表结构设计（核心表）</w:t>
      </w:r>
      <w:bookmarkEnd w:id="101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用户管理模块</w:t>
      </w:r>
      <w:bookmarkEnd w:id="101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用户表（users）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：包含ID、用户名、加密密码、邮箱、角色关联等字段。</w:t>
      </w:r>
      <w:bookmarkEnd w:id="101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角色表（roles）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：定义管理员、科室负责人、普通员工等角色及权限。</w:t>
      </w:r>
      <w:bookmarkEnd w:id="101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用户角色关联表（user_roles）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：记录用户与角色的映射关系。</w:t>
      </w:r>
      <w:bookmarkEnd w:id="101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数据管理模块</w:t>
      </w:r>
      <w:bookmarkEnd w:id="101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数据源表（data_sources）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：存储HIS接口配置（如API地址、认证密钥）。</w:t>
      </w:r>
      <w:bookmarkEnd w:id="101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数据采集任务表（data_collection_tasks）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：定义采集频率、SQL查询、目标表等。</w:t>
      </w:r>
      <w:bookmarkEnd w:id="102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数据表（data）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：存储采集的原始数据及处理结果（如清洗后的台账数据）。</w:t>
      </w:r>
      <w:bookmarkEnd w:id="102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任务调度模块</w:t>
      </w:r>
      <w:bookmarkEnd w:id="102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任务表（tasks）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：包含定时任务（如数据同步、报表生成）的调度配置。</w:t>
      </w:r>
      <w:bookmarkEnd w:id="102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任务执行记录表（task_executions）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：记录任务执行日志及状态。</w:t>
      </w:r>
      <w:bookmarkEnd w:id="102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台账管理模块</w:t>
      </w:r>
      <w:bookmarkEnd w:id="102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台账分类表（ledger_categories）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：定义台账类型（如行政、医疗、院感等）。</w:t>
      </w:r>
      <w:bookmarkEnd w:id="102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台账记录表（ledger_items）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：存储具体台账内容，关联数据表及任务ID。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三、功能模块设计</w:t>
      </w:r>
      <w:bookmarkEnd w:id="102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用户管理与权限控制</w:t>
      </w:r>
      <w:bookmarkEnd w:id="102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支持分级权限：管理员可配置角色权限，科室负责人管理本科室数据。</w:t>
      </w:r>
      <w:bookmarkEnd w:id="103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登录认证集成HIS系统身份，确保账号一致性。</w:t>
      </w:r>
      <w:bookmarkEnd w:id="103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数据采集与同步</w:t>
      </w:r>
      <w:bookmarkEnd w:id="103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通过HIS接口定时同步数据（如门诊量、病历、药品库存）。</w:t>
      </w:r>
      <w:bookmarkEnd w:id="103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支持手动触发数据补采功能，处理异常数据。</w:t>
      </w:r>
      <w:bookmarkEnd w:id="103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任务调度与自动化</w:t>
      </w:r>
      <w:bookmarkEnd w:id="103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基于Quartz或Airflow实现任务调度，支持CRON表达式配置。</w:t>
      </w:r>
      <w:bookmarkEnd w:id="103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任务类型包括数据采集、报表生成、台账更新、检查提醒等。</w:t>
      </w:r>
      <w:bookmarkEnd w:id="103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台账管理与可视化</w:t>
      </w:r>
      <w:bookmarkEnd w:id="103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分类展示台账数据，支持按科室、时间、类型筛选。</w:t>
      </w:r>
      <w:bookmarkEnd w:id="103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提供模板化台账录入界面，自动生成标准化报表（如检查所需的统计表格）。</w:t>
      </w:r>
      <w:bookmarkEnd w:id="104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检查应对与预警</w:t>
      </w:r>
      <w:bookmarkEnd w:id="104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内置检查项清单，关联台账数据，自动标记待完善项。</w:t>
      </w:r>
      <w:bookmarkEnd w:id="1042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模拟检查功能，生成自查报告及整改追踪台账。</w:t>
      </w:r>
      <w:bookmarkEnd w:id="1043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数据看板与报表</w:t>
      </w:r>
      <w:bookmarkEnd w:id="1044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实时展示关键指标（如床位利用率、药占比、院感率）。</w:t>
      </w:r>
      <w:bookmarkEnd w:id="104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支持导出Excel/PDF格式报表，符合检查要求。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四、Docker部署方案</w:t>
      </w:r>
      <w:bookmarkEnd w:id="104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部署环境准备</w:t>
      </w:r>
      <w:bookmarkEnd w:id="1048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服务器要求：Linux（推荐CentOS 7+），Docker 20+版本，Docker Compose。</w:t>
      </w:r>
      <w:bookmarkEnd w:id="1049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网络配置：开放必要端口（如80/443、数据库端口）。</w:t>
      </w:r>
      <w:bookmarkEnd w:id="1050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镜像构建</w:t>
      </w:r>
      <w:bookmarkEnd w:id="105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编写Dockerfile，打包应用服务（前端、后端、数据库）。</w:t>
      </w:r>
      <w:bookmarkEnd w:id="1052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使用多阶段构建优化镜像体积。</w:t>
      </w:r>
      <w:bookmarkEnd w:id="1053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容器编排（docker-compose.yml）</w:t>
      </w:r>
      <w:bookmarkEnd w:id="1054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部署步骤</w:t>
      </w:r>
      <w:bookmarkEnd w:id="1055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克隆项目仓库，配置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文件（数据库、HIS密钥等）。</w:t>
      </w:r>
      <w:bookmarkEnd w:id="1056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执行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启动服务。</w:t>
      </w:r>
      <w:bookmarkEnd w:id="105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初始化数据库：运行数据迁移脚本（如使用Flask-Migrate或Django migrations）。</w:t>
      </w:r>
      <w:bookmarkEnd w:id="1058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高可用扩展</w:t>
      </w:r>
      <w:bookmarkEnd w:id="1059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使用Kubernetes部署集群，配置负载均衡和自动伸缩。</w:t>
      </w:r>
      <w:bookmarkEnd w:id="1060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数据库采用主从复制或Galera集群。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五、实施步骤与项目管理</w:t>
      </w:r>
      <w:bookmarkEnd w:id="1062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项目启动</w:t>
      </w:r>
      <w:bookmarkEnd w:id="1063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成立跨部门项目组（IT、医务、行政、院感等）。</w:t>
      </w:r>
      <w:bookmarkEnd w:id="1064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明确需求范围，制定实施计划和时间表。</w:t>
      </w:r>
      <w:bookmarkEnd w:id="1065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系统开发与测试</w:t>
      </w:r>
      <w:bookmarkEnd w:id="1066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分阶段开发：用户管理→数据采集→台账模块→检查应对。</w:t>
      </w:r>
      <w:bookmarkEnd w:id="1067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单元测试、集成测试、压力测试，确保系统稳定性。</w:t>
      </w:r>
      <w:bookmarkEnd w:id="1068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数据对接与清洗</w:t>
      </w:r>
      <w:bookmarkEnd w:id="1069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对接HIS系统，验证接口权限和字段映射。</w:t>
      </w:r>
      <w:bookmarkEnd w:id="1070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清洗历史数据，导入初始台账。</w:t>
      </w:r>
      <w:bookmarkEnd w:id="1071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试点运行</w:t>
      </w:r>
      <w:bookmarkEnd w:id="1072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选择试点科室（如门诊部）试运行，收集反馈优化。</w:t>
      </w:r>
      <w:bookmarkEnd w:id="1073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全员培训</w:t>
      </w:r>
      <w:bookmarkEnd w:id="1074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分角色培训：管理员（权限配置）、科室人员（台账录入、自查）。</w:t>
      </w:r>
      <w:bookmarkEnd w:id="1075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制作操作手册和视频教程。</w:t>
      </w:r>
      <w:bookmarkEnd w:id="1076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正式上线</w:t>
      </w:r>
      <w:bookmarkEnd w:id="1077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数据迁移与验证，确保零数据丢失。</w:t>
      </w:r>
      <w:bookmarkEnd w:id="1078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发布公告，切换至新系统。</w:t>
      </w:r>
      <w:bookmarkEnd w:id="1079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持续运维</w:t>
      </w:r>
      <w:bookmarkEnd w:id="1080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每日监控任务执行情况，处理异常告警。</w:t>
      </w:r>
      <w:bookmarkEnd w:id="1081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定期数据备份（如每日全量备份）。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六、安全管理与合规</w:t>
      </w:r>
      <w:bookmarkEnd w:id="1083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数据加密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4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传输加密：使用HTTPS协议，HIS接口双向认证。</w:t>
      </w:r>
      <w:bookmarkEnd w:id="1085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存储加密：敏感数据（如患者信息）加密存储。</w:t>
      </w:r>
      <w:bookmarkEnd w:id="1086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访问控制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7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基于角色的访问控制（RBAC），最小权限原则。</w:t>
      </w:r>
      <w:bookmarkEnd w:id="1088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审计日志记录关键操作。</w:t>
      </w:r>
      <w:bookmarkEnd w:id="1089"/>
    </w:p>
    <w:p>
      <w:pPr>
        <w:pageBreakBefore w:val="off"/>
        <w:numPr>
          <w:ilvl w:val="0"/>
          <w:numId w:val="5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0"/>
    </w:p>
    <w:p>
      <w:pPr>
        <w:pageBreakBefore w:val="off"/>
        <w:numPr>
          <w:ilvl w:val="0"/>
          <w:numId w:val="5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遵循《医疗信息安全管理规范》，通过等保测评。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七、应急预案</w:t>
      </w:r>
      <w:bookmarkEnd w:id="1092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数据恢复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：定期演练数据恢复流程，验证备份可用性。</w:t>
      </w:r>
      <w:bookmarkEnd w:id="1093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系统故障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：部署监控告警（如Prometheus+Alertmanager），快速响应故障。</w:t>
      </w:r>
      <w:bookmarkEnd w:id="1094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检查应对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：预留人工录入接口，防止系统异常时影响迎检。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八、附件</w:t>
      </w:r>
      <w:bookmarkEnd w:id="1096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数据库表结构详细设计文档</w:t>
      </w:r>
      <w:bookmarkEnd w:id="1097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Docker部署配置模板</w:t>
      </w:r>
      <w:bookmarkEnd w:id="1098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操作手册（SOP）</w:t>
      </w:r>
      <w:bookmarkEnd w:id="1099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检查应对清单模板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编制人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：XXX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审核人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：XXX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批准人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：XXX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：XXXX年XX月XX日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：本细则需根据实际情况调整配置参数，确保与医院现有系统兼容。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：实施过程中需与HIS厂商紧密协作，确保接口权限和数据安全；同时，定期评估系统效能，优化流程和算法。</w:t>
      </w:r>
      <w:bookmarkEnd w:id="110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multilevel"/>
    <w:lvl w:ilvl="0">
      <w:start w:val="2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multilevel"/>
    <w:lvl w:ilvl="0">
      <w:start w:val="2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multilevel"/>
    <w:lvl w:ilvl="0">
      <w:start w:val="3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multilevel"/>
    <w:lvl w:ilvl="0">
      <w:start w:val="4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multilevel"/>
    <w:lvl w:ilvl="0">
      <w:start w:val="2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multilevel"/>
    <w:lvl w:ilvl="0">
      <w:start w:val="3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multilevel"/>
    <w:lvl w:ilvl="0">
      <w:start w:val="4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multilevel"/>
    <w:lvl w:ilvl="0">
      <w:start w:val="5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multilevel"/>
    <w:lvl w:ilvl="0">
      <w:start w:val="6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multilevel"/>
    <w:lvl w:ilvl="0">
      <w:start w:val="2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multilevel"/>
    <w:lvl w:ilvl="0">
      <w:start w:val="3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9">
    <w:multiLevelType w:val="multilevel"/>
    <w:lvl w:ilvl="0">
      <w:start w:val="4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multilevel"/>
    <w:lvl w:ilvl="0">
      <w:start w:val="5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multilevel"/>
    <w:lvl w:ilvl="0">
      <w:start w:val="2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multilevel"/>
    <w:lvl w:ilvl="0">
      <w:start w:val="3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multilevel"/>
    <w:lvl w:ilvl="0">
      <w:start w:val="4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multilevel"/>
    <w:lvl w:ilvl="0">
      <w:start w:val="5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multilevel"/>
    <w:lvl w:ilvl="0">
      <w:start w:val="6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multilevel"/>
    <w:lvl w:ilvl="0">
      <w:start w:val="7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9">
    <w:multiLevelType w:val="multilevel"/>
    <w:lvl w:ilvl="0">
      <w:start w:val="2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1">
    <w:multiLevelType w:val="multilevel"/>
    <w:lvl w:ilvl="0">
      <w:start w:val="3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2026-02-28T14:43:58Z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L/yHnRgyPWqWl9uGUvqcjeeBsP0R29K61wr+5U2OlM=","ProduceID":"doc_sgs:e1776296-e3c2-4c0c-b4ee-b3e088f18ec6","ReservedCode2":"xL/yHnRgyPWqWl9uGUvqcjeeBsP0R29K61wr+5U2OlM=","PropagateID":"doc_sgs:e1776296-e3c2-4c0c-b4ee-b3e088f18ec6","ContentProducer":"001191440101MA9Y9T4H7A00000"}</vt:lpwstr>
  </property>
</Properties>
</file>