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24"/>
        </w:rPr>
      </w:pPr>
      <w:bookmarkStart w:id="1001" w:name=""/>
      <w:r>
        <w:rPr>
          <w:rFonts w:ascii="宋体" w:cs="宋体" w:eastAsia="宋体" w:hAnsi="宋体"/>
          <w:sz w:val="24"/>
          <w:spacing w:val="0"/>
          <w:b w:val="on"/>
          <w:i w:val="off"/>
        </w:rPr>
        <w:t>筑牢合规防线，守护心灵家园——[医院名称]全面开展自查整改工作</w:t>
      </w:r>
      <w:bookmarkEnd w:id="1001"/>
    </w:p>
    <w:p>
      <w:pPr>
        <w:pageBreakBefore w:val="off"/>
        <w:tabs/>
        <w:wordWrap w:val="on"/>
        <w:spacing w:after="0" w:before="160"/>
        <w:ind w:left="0" w:right="0"/>
        <w:jc w:val="left"/>
        <w:textAlignment w:val="auto"/>
        <w:rPr>
          <w:sz w:val="24"/>
        </w:rPr>
      </w:pPr>
      <w:bookmarkStart w:id="1002" w:name=""/>
      <w:r>
        <w:rPr>
          <w:rFonts w:ascii="宋体" w:cs="宋体" w:eastAsia="宋体" w:hAnsi="宋体"/>
          <w:sz w:val="24"/>
          <w:spacing w:val="0"/>
          <w:b w:val="off"/>
          <w:i w:val="off"/>
        </w:rPr>
        <w:t>为深入贯彻落实国家医疗保障局及卫生健康行政部门关于医疗机构规范管理的最新要求，切实维护医保基金安全，保障患者合法权益，近日，[医院名称]在全院范围内启动了“依法执业、合规经营”专项自查整改行动。此次行动以“刀刃向内、刮骨疗毒”的决心，对标行业标杆，严查风险隐患，旨在通过规范化管理推动医院高质量发展，为患者提供更安全、更优质、更透明的精神卫生服务。</w:t>
      </w:r>
      <w:bookmarkEnd w:id="1002"/>
    </w:p>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ff"/>
          <w:i w:val="off"/>
        </w:rPr>
        <w:t>在自查整改工作动员大会上，医院法定代表人、院长[院长姓名]强调：“医疗质量安全是医院发展的生命线，医保基金是人民群众的‘看病钱’、‘救命钱’。我们必须以近期行业内曝光的违法违规案例为警钟，不遮丑、不避短，将自查整改作为当前最重要的政治任务抓实抓好。”</w:t>
      </w:r>
      <w:bookmarkEnd w:id="1003"/>
    </w:p>
    <w:p>
      <w:pPr>
        <w:pageBreakBefore w:val="off"/>
        <w:tabs/>
        <w:wordWrap w:val="on"/>
        <w:spacing w:after="0" w:before="160"/>
        <w:ind w:left="0" w:right="0"/>
        <w:jc w:val="left"/>
        <w:textAlignment w:val="auto"/>
        <w:rPr>
          <w:sz w:val="24"/>
        </w:rPr>
      </w:pPr>
      <w:bookmarkStart w:id="1004" w:name=""/>
      <w:r>
        <w:rPr>
          <w:rFonts w:ascii="宋体" w:cs="宋体" w:eastAsia="宋体" w:hAnsi="宋体"/>
          <w:sz w:val="24"/>
          <w:spacing w:val="0"/>
          <w:b w:val="off"/>
          <w:i w:val="off"/>
        </w:rPr>
        <w:t>为确保整改工作落地见效，医院成立了由院领导班子牵头的专项领导小组，下设医疗质量、医保管理、药事管理、信息安全等多个专项小组，对照《精神卫生机构合规经营自查清单》，逐条逐项进行“地毯式”排查。针对排查出的问题，医院建立了详细的整改台账，实行“销号管理”，明确责任人、整改措施和完成时限，确保问题清零。</w:t>
      </w:r>
      <w:bookmarkEnd w:id="1004"/>
    </w:p>
    <w:p>
      <w:pPr>
        <w:pageBreakBefore w:val="off"/>
        <w:tabs/>
        <w:wordWrap w:val="on"/>
        <w:spacing w:after="0" w:before="160"/>
        <w:ind w:left="0" w:right="0"/>
        <w:jc w:val="left"/>
        <w:textAlignment w:val="auto"/>
        <w:rPr>
          <w:sz w:val="24"/>
        </w:rPr>
      </w:pPr>
      <w:bookmarkStart w:id="1005" w:name=""/>
      <w:r>
        <w:rPr>
          <w:rFonts w:ascii="宋体" w:cs="宋体" w:eastAsia="宋体" w:hAnsi="宋体"/>
          <w:sz w:val="24"/>
          <w:spacing w:val="0"/>
          <w:b w:val="off"/>
          <w:i w:val="off"/>
        </w:rPr>
        <w:t>医疗质量是核心。医院严格对照《湖南省精神疾病急性期与慢性期诊疗规范》，对临床路径执行率、病历书写规范性、合理用药情况进行了重点核查。针对病历书写中存在的复制粘贴、记录不及时等问题，医院开展了“病历质量提升月”活动，通过专家点评、奖优罚劣，切实提升了医疗文书质量。同时，医院进一步强化了核心制度落实，利用信息化手段追踪查房、会诊轨迹，确保诊疗行为有据可依、有迹可循。</w:t>
      </w:r>
      <w:bookmarkEnd w:id="1005"/>
    </w:p>
    <w:p>
      <w:pPr>
        <w:pageBreakBefore w:val="off"/>
        <w:tabs/>
        <w:wordWrap w:val="on"/>
        <w:spacing w:after="0" w:before="160"/>
        <w:ind w:left="0" w:right="0"/>
        <w:jc w:val="left"/>
        <w:textAlignment w:val="auto"/>
        <w:rPr>
          <w:sz w:val="24"/>
        </w:rPr>
      </w:pPr>
      <w:bookmarkStart w:id="1006" w:name=""/>
      <w:r>
        <w:rPr>
          <w:rFonts w:ascii="宋体" w:cs="宋体" w:eastAsia="宋体" w:hAnsi="宋体"/>
          <w:sz w:val="24"/>
          <w:spacing w:val="0"/>
          <w:b w:val="off"/>
          <w:i w:val="off"/>
        </w:rPr>
        <w:t>医保规范是重点。医院医保办联合财务科，对2025年以来的所有医保结算数据进行了全面复盘。重点排查了是否存在诱导住院、虚假诊疗、串换项目收费等违规行为。对于自查发现的不合理收费项目，医院已主动核算并建立退款台账，确保在规定时限内完成退款。同时，医院引入了医保智能监控系统，对医生开具的医嘱、处方进行实时预警，从源头上遏制违规行为的发生。</w:t>
      </w:r>
      <w:bookmarkEnd w:id="1006"/>
    </w:p>
    <w:p>
      <w:pPr>
        <w:pageBreakBefore w:val="off"/>
        <w:tabs/>
        <w:wordWrap w:val="on"/>
        <w:spacing w:after="0" w:before="160"/>
        <w:ind w:left="0" w:right="0"/>
        <w:jc w:val="left"/>
        <w:textAlignment w:val="auto"/>
        <w:rPr>
          <w:sz w:val="24"/>
        </w:rPr>
      </w:pPr>
      <w:bookmarkStart w:id="1007" w:name=""/>
      <w:r>
        <w:rPr>
          <w:rFonts w:ascii="宋体" w:cs="宋体" w:eastAsia="宋体" w:hAnsi="宋体"/>
          <w:sz w:val="24"/>
          <w:spacing w:val="0"/>
          <w:b w:val="off"/>
          <w:i w:val="off"/>
        </w:rPr>
        <w:t>队伍建设是保障。医院组织全员签订了《员工合规承诺书》，将依法执业、廉洁行医的要求内化于心、外化于行。通过举办“以案说法”警示教育大会，用身边事教育身边人，强化了员工的红线意识和底线思维。此外，医院还邀请医保局专家来院授课，详细解读最新的医保支付政策，确保每一位医护人员都能精准把握政策尺度，合理提供医疗服务。</w:t>
      </w:r>
      <w:bookmarkEnd w:id="1007"/>
    </w:p>
    <w:p>
      <w:pPr>
        <w:pageBreakBefore w:val="off"/>
        <w:tabs/>
        <w:wordWrap w:val="on"/>
        <w:spacing w:after="0" w:before="160"/>
        <w:ind w:left="0" w:right="0"/>
        <w:jc w:val="left"/>
        <w:textAlignment w:val="auto"/>
        <w:rPr>
          <w:sz w:val="24"/>
        </w:rPr>
      </w:pPr>
      <w:bookmarkStart w:id="1008" w:name=""/>
      <w:r>
        <w:rPr>
          <w:rFonts w:ascii="宋体" w:cs="宋体" w:eastAsia="宋体" w:hAnsi="宋体"/>
          <w:sz w:val="24"/>
          <w:spacing w:val="0"/>
          <w:b w:val="off"/>
          <w:i w:val="off"/>
        </w:rPr>
        <w:t>通过此次全面自查整改，[医院名称]不仅在硬件设施和制度流程上得到了优化，更重要的是在全院范围内营造了“人人讲合规、事事守规矩”的浓厚氛围。下一步，医院将以此次整改为契机，持续巩固整改成果，将合规管理融入日常工作的每一个环节，努力打造让政府放心、让群众满意、让员工自豪的现代化精神专科医院，为守护区域群众的心灵健康作出更大的贡献。</w:t>
      </w:r>
      <w:bookmarkEnd w:id="1008"/>
    </w:p>
    <w:p>
      <w:pPr>
        <w:jc w:val="left"/>
      </w:pPr>
      <w:r>
        <w:rPr/>
        <w:t>(AI生成)</w:t>
      </w:r>
    </w:p>
    <w:sectPr>
      <w:footerReference r:id="rId3"/>
      <w:headerReference r:id="rId4"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2026-02-28T14:59:41Z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JtpY95e+TqhElBcBtckLrWLL/hNyGZD7dVqkvRIXWnQ=","ProduceID":"doc_sgs:d80d9fb7-35f2-4144-ad9d-fc6de8f121be","ReservedCode2":"JtpY95e+TqhElBcBtckLrWLL/hNyGZD7dVqkvRIXWnQ=","PropagateID":"doc_sgs:d80d9fb7-35f2-4144-ad9d-fc6de8f121be","ContentProducer":"001191440101MA9Y9T4H7A00000"}</vt:lpwstr>
  </property>
</Properties>
</file>