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精神专科医院日常管理优化方案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一、总体目标与原则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方案旨在依据《湖南省精神疾病医保支付管理办法》（湘医保发〔2025〕59号）文件精神，结合医院实际运营情况，建立一套科学、规范、高效的日常管理体系。方案以“保障医疗质量、规范诊疗行为、适应医保支付改革、提升患者满意度”为核心目标，确保医院在2026年1月1日新政实施后能够平稳过渡，并实现可持续发展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二、临床诊疗管理优化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严格执行急慢性期分治与入出院标准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精准分期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临床科室必须严格按照《湖南省精神疾病急性期诊疗规范》和《慢性期诊疗规范》对患者进行评估，明确区分急性期与慢性期。急性期患者以症状控制为核心，治疗周期短、强度大；慢性期患者侧重于巩固、维持治疗及康复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严控指征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：严格掌握入院和出院标准，严禁将不符合住院指征的患者收治入院，或通过分解住院等方式规避监管。对于达到出院标准的患者，应及时办理出院或转诊手续，提高床位周转率。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规范诊疗行为与项目执行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清单化管理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：慢性期患者的诊疗活动必须严格执行《湖南省精神疾病慢性期诊疗项目清单》。清单内规定的诊疗项目（含药品、检查、治疗等）及频次必须严格按要求开展，不得随意增减。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合理用药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：优先使用《精神疾病推荐药物一览表》中的药品，调用非推荐或非目录内药品需有充分的临床依据并履行告知义务。对于脑器质性精神障碍等新增病种，需参照新增的诊疗项目清单执行。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中西医结合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：积极落实《湖南省精神疾病中医药治疗推荐意见》，在适宜的病种中开展中医辨证论治、针灸、推拿等适宜技术，发挥中西医结合治疗的优势。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三、医保与物价精细化管理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支付方式适配与费用控制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急性期（按病种付费）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：针对急性期患者，推行临床路径管理，控制单病种成本。由于实行按病种付费（DRG/DIP），医院需在保证疗效的前提下，减少不必要的检查和高值耗材使用，避免医疗资源浪费导致的亏损。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慢性期（按床日付费）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慢性期患者，实行“总额控制、超标自付”的策略。虽然医保设定了每日支付上限（如一类机构180元/天），但医院仍需精细化核算成本。若实际费用低于标准，按实结算；若高于标准，超出部分由医院承担。因此，需严格控制每日的药品和耗材消耗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费用透明化与自付比例管理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费用公示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：严格执行价格公示制度，对自费项目（如未纳入医保目录的药品、非疾病治疗项目如司法鉴定等）必须在使用前告知患者或家属，并签署知情同意书。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自付管理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：明确慢性期城乡居民医保患者存在10%的个人自付比例，收费窗口需准确核算并告知，避免因费用纠纷引发投诉。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四、医疗质量与安全监管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全病程管理与风险评估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：建立患者全病程管理档案。入院时进行全面的风险评估（包括自杀、自伤、冲动、出走等风险），住院期间定期复评，出院前进行康复评估。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多学科协作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：建立由精神科医师、护士、心理治疗师、康复治疗师组成的多学科团队，为患者制定个体化的综合治疗方案，涵盖药物、物理、心理及康复治疗。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数据对接与信息共享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系统对接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：配合卫生健康行政部门，完善医院信息系统（HIS）与医保结算系统的对接，确保诊疗数据实时上传，实现在册严重精神障碍患者信息与医保部门的共享。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质量监控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：利用信息化手段监控临床路径执行率、药品使用率、不良反应发生率等核心指标，定期召开医疗质量与安全管理委员会会议，分析问题并持续改进。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五、人员培训与考核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政策培训与宣贯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定期组织全院职工学习《湖南省精神疾病医保支付管理办法》及其配套附件，确保每一位医护人员了解最新的医保政策、支付标准和诊疗规范。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重点培训临床医师掌握急慢性期的诊断标准和治疗指南，避免因诊断错误导致的支付纠纷。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绩效考核与激励机制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将医保政策执行情况、临床路径入径率、平均住院日、药占比、耗材占比、患者满意度等指标纳入科室及个人绩效考核体系。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对严格执行诊疗规范、合理控制成本、医疗质量高的科室和个人给予奖励；对违规使用医保基金、降低服务质量的行为实行“一票否决”并严肃追责。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六、附则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本方案自发布之日起试行，由医院医务科、医保办联合负责解释和修订。各临床科室需根据本方案制定具体的实施细则，确保医院在新的医保支付环境下实现医疗质量与运营效率的双提升。</w:t>
      </w:r>
      <w:bookmarkEnd w:id="103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2026-02-28T14:58:30Z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7B8yunDQr3iDEetDU6/jwZa+OW/jvOKFelx87WcSP0=","ProduceID":"doc_sgs:58fb0156-1cbb-487e-9740-24daf486060a","ReservedCode2":"z7B8yunDQr3iDEetDU6/jwZa+OW/jvOKFelx87WcSP0=","PropagateID":"doc_sgs:58fb0156-1cbb-487e-9740-24daf486060a","ContentProducer":"001191440101MA9Y9T4H7A00000"}</vt:lpwstr>
  </property>
</Properties>
</file>