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8"/>
        </w:rPr>
      </w:pPr>
      <w:bookmarkStart w:id="1001" w:name=""/>
      <w:r>
        <w:rPr>
          <w:rFonts w:ascii="宋体" w:cs="宋体" w:eastAsia="宋体" w:hAnsi="宋体"/>
          <w:sz w:val="28"/>
          <w:spacing w:val="0"/>
          <w:b w:val="on"/>
          <w:i w:val="off"/>
        </w:rPr>
        <w:t>精神卫生机构自查整改专项培训计划</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一、计划背景与目标</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在当前医疗监管日趋严格、医保支付方式改革（如《湖南省精神疾病医保支付管理办法》）深入推进的背景下，结合近期行业内发生的违法违规典型案例及我院合规经营自查中暴露出的问题，开展全员专项培训至关重要。本计划旨在通过系统性、针对性的培训，统一全院职工思想，明确整改要求，提升合规意识与专业技能，确保自查整改工作落到实处，推动医院规范化管理迈上新台阶。</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总体目标</w:t>
      </w:r>
      <w:bookmarkEnd w:id="1004"/>
    </w:p>
    <w:p>
      <w:pPr>
        <w:pageBreakBefore w:val="off"/>
        <w:numPr>
          <w:ilvl w:val="0"/>
          <w:numId w:val="1"/>
        </w:numPr>
        <w:tabs/>
        <w:wordWrap w:val="on"/>
        <w:spacing w:after="0" w:before="160"/>
        <w:ind w:hanging="440" w:left="440" w:right="0"/>
        <w:jc w:val="left"/>
        <w:textAlignment w:val="auto"/>
        <w:rPr>
          <w:sz w:val="24"/>
        </w:rPr>
      </w:pPr>
      <w:bookmarkStart w:id="1005" w:name=""/>
      <w:r>
        <w:rPr>
          <w:rFonts w:ascii="宋体" w:cs="宋体" w:eastAsia="宋体" w:hAnsi="宋体"/>
          <w:sz w:val="24"/>
          <w:spacing w:val="0"/>
          <w:b w:val="on"/>
          <w:i w:val="off"/>
        </w:rPr>
        <w:t>思想统一</w:t>
      </w:r>
      <w:r>
        <w:rPr>
          <w:rFonts w:ascii="宋体" w:cs="宋体" w:eastAsia="宋体" w:hAnsi="宋体"/>
          <w:sz w:val="24"/>
          <w:spacing w:val="0"/>
          <w:b w:val="off"/>
          <w:i w:val="off"/>
        </w:rPr>
        <w:t>：使全体员工深刻认识到合规经营对医院生存发展的重要性，消除侥幸心理。</w:t>
      </w:r>
      <w:bookmarkEnd w:id="1005"/>
    </w:p>
    <w:p>
      <w:pPr>
        <w:pageBreakBefore w:val="off"/>
        <w:numPr>
          <w:ilvl w:val="0"/>
          <w:numId w:val="1"/>
        </w:numPr>
        <w:tabs/>
        <w:wordWrap w:val="on"/>
        <w:spacing w:after="0" w:before="160"/>
        <w:ind w:hanging="440" w:left="440" w:right="0"/>
        <w:jc w:val="left"/>
        <w:textAlignment w:val="auto"/>
        <w:rPr>
          <w:sz w:val="24"/>
        </w:rPr>
      </w:pPr>
      <w:bookmarkStart w:id="1006" w:name=""/>
      <w:r>
        <w:rPr>
          <w:rFonts w:ascii="宋体" w:cs="宋体" w:eastAsia="宋体" w:hAnsi="宋体"/>
          <w:sz w:val="24"/>
          <w:spacing w:val="0"/>
          <w:b w:val="on"/>
          <w:i w:val="off"/>
        </w:rPr>
        <w:t>技能提升</w:t>
      </w:r>
      <w:r>
        <w:rPr>
          <w:rFonts w:ascii="宋体" w:cs="宋体" w:eastAsia="宋体" w:hAnsi="宋体"/>
          <w:sz w:val="24"/>
          <w:spacing w:val="0"/>
          <w:b w:val="off"/>
          <w:i w:val="off"/>
        </w:rPr>
        <w:t>：确保全员掌握自查整改的具体标准、流程及岗位操作规范。</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n"/>
          <w:i w:val="off"/>
        </w:rPr>
        <w:t>行为规范</w:t>
      </w:r>
      <w:r>
        <w:rPr>
          <w:rFonts w:ascii="宋体" w:cs="宋体" w:eastAsia="宋体" w:hAnsi="宋体"/>
          <w:sz w:val="24"/>
          <w:spacing w:val="0"/>
          <w:b w:val="off"/>
          <w:i w:val="off"/>
        </w:rPr>
        <w:t>：实现员工执业行为、服务流程的全面合规，降低医疗与法律风险。</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n"/>
          <w:i w:val="off"/>
        </w:rPr>
        <w:t>具体指标</w:t>
      </w:r>
      <w:bookmarkEnd w:id="1008"/>
    </w:p>
    <w:p>
      <w:pPr>
        <w:pageBreakBefore w:val="off"/>
        <w:numPr>
          <w:ilvl w:val="0"/>
          <w:numId w:val="2"/>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ff"/>
          <w:i w:val="off"/>
        </w:rPr>
        <w:t>培训覆盖率：确保全院在岗职工（含实习生、进修生、外包服务人员）参训率达到100%。</w:t>
      </w:r>
      <w:bookmarkEnd w:id="1009"/>
    </w:p>
    <w:p>
      <w:pPr>
        <w:pageBreakBefore w:val="off"/>
        <w:numPr>
          <w:ilvl w:val="0"/>
          <w:numId w:val="2"/>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ff"/>
          <w:i w:val="off"/>
        </w:rPr>
        <w:t>考核合格率：培训结束后组织闭卷考试或实操考核，合格率需达到95%以上。</w:t>
      </w:r>
      <w:bookmarkEnd w:id="1010"/>
    </w:p>
    <w:p>
      <w:pPr>
        <w:pageBreakBefore w:val="off"/>
        <w:numPr>
          <w:ilvl w:val="0"/>
          <w:numId w:val="2"/>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ff"/>
          <w:i w:val="off"/>
        </w:rPr>
        <w:t>问题整改率：通过培训指导，确保自查发现的问题整改完成率达到100%。</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二、培训对象与阶段划分</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根据岗位职责不同，培训对象分为四类，实施分层分类培训。</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培训对象</w:t>
      </w:r>
      <w:bookmarkEnd w:id="1014"/>
    </w:p>
    <w:p>
      <w:pPr>
        <w:pageBreakBefore w:val="off"/>
        <w:numPr>
          <w:ilvl w:val="0"/>
          <w:numId w:val="3"/>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n"/>
          <w:i w:val="off"/>
        </w:rPr>
        <w:t>管理层</w:t>
      </w:r>
      <w:r>
        <w:rPr>
          <w:rFonts w:ascii="宋体" w:cs="宋体" w:eastAsia="宋体" w:hAnsi="宋体"/>
          <w:sz w:val="24"/>
          <w:spacing w:val="0"/>
          <w:b w:val="off"/>
          <w:i w:val="off"/>
        </w:rPr>
        <w:t>：院领导、职能部门负责人、科室主任、护士长。</w:t>
      </w:r>
      <w:bookmarkEnd w:id="1015"/>
    </w:p>
    <w:p>
      <w:pPr>
        <w:pageBreakBefore w:val="off"/>
        <w:numPr>
          <w:ilvl w:val="0"/>
          <w:numId w:val="3"/>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临床医务人员</w:t>
      </w:r>
      <w:r>
        <w:rPr>
          <w:rFonts w:ascii="宋体" w:cs="宋体" w:eastAsia="宋体" w:hAnsi="宋体"/>
          <w:sz w:val="24"/>
          <w:spacing w:val="0"/>
          <w:b w:val="off"/>
          <w:i w:val="off"/>
        </w:rPr>
        <w:t>：医师、护士、心理治疗师、康复治疗师。</w:t>
      </w:r>
      <w:bookmarkEnd w:id="1016"/>
    </w:p>
    <w:p>
      <w:pPr>
        <w:pageBreakBefore w:val="off"/>
        <w:numPr>
          <w:ilvl w:val="0"/>
          <w:numId w:val="3"/>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n"/>
          <w:i w:val="off"/>
        </w:rPr>
        <w:t>医技与药剂人员</w:t>
      </w:r>
      <w:r>
        <w:rPr>
          <w:rFonts w:ascii="宋体" w:cs="宋体" w:eastAsia="宋体" w:hAnsi="宋体"/>
          <w:sz w:val="24"/>
          <w:spacing w:val="0"/>
          <w:b w:val="off"/>
          <w:i w:val="off"/>
        </w:rPr>
        <w:t>：检验、影像、药剂、器械管理人员。</w:t>
      </w:r>
      <w:bookmarkEnd w:id="1017"/>
    </w:p>
    <w:p>
      <w:pPr>
        <w:pageBreakBefore w:val="off"/>
        <w:numPr>
          <w:ilvl w:val="0"/>
          <w:numId w:val="3"/>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行政后勤与外包人员</w:t>
      </w:r>
      <w:r>
        <w:rPr>
          <w:rFonts w:ascii="宋体" w:cs="宋体" w:eastAsia="宋体" w:hAnsi="宋体"/>
          <w:sz w:val="24"/>
          <w:spacing w:val="0"/>
          <w:b w:val="off"/>
          <w:i w:val="off"/>
        </w:rPr>
        <w:t>：财务、收费、医保办、信息科、安保、保洁及食堂人员。</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n"/>
          <w:i w:val="off"/>
        </w:rPr>
        <w:t>培训阶段</w:t>
      </w:r>
      <w:bookmarkEnd w:id="1019"/>
    </w:p>
    <w:p>
      <w:pPr>
        <w:pageBreakBefore w:val="off"/>
        <w:numPr>
          <w:ilvl w:val="0"/>
          <w:numId w:val="4"/>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动员启动阶段</w:t>
      </w:r>
      <w:r>
        <w:rPr>
          <w:rFonts w:ascii="宋体" w:cs="宋体" w:eastAsia="宋体" w:hAnsi="宋体"/>
          <w:sz w:val="24"/>
          <w:spacing w:val="0"/>
          <w:b w:val="off"/>
          <w:i w:val="off"/>
        </w:rPr>
        <w:t>：统一思想，明确形势。</w:t>
      </w:r>
      <w:bookmarkEnd w:id="1020"/>
    </w:p>
    <w:p>
      <w:pPr>
        <w:pageBreakBefore w:val="off"/>
        <w:numPr>
          <w:ilvl w:val="0"/>
          <w:numId w:val="4"/>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n"/>
          <w:i w:val="off"/>
        </w:rPr>
        <w:t>专项学习阶段</w:t>
      </w:r>
      <w:r>
        <w:rPr>
          <w:rFonts w:ascii="宋体" w:cs="宋体" w:eastAsia="宋体" w:hAnsi="宋体"/>
          <w:sz w:val="24"/>
          <w:spacing w:val="0"/>
          <w:b w:val="off"/>
          <w:i w:val="off"/>
        </w:rPr>
        <w:t>：按岗位分组，深入学习整改标准。</w:t>
      </w:r>
      <w:bookmarkEnd w:id="1021"/>
    </w:p>
    <w:p>
      <w:pPr>
        <w:pageBreakBefore w:val="off"/>
        <w:numPr>
          <w:ilvl w:val="0"/>
          <w:numId w:val="4"/>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n"/>
          <w:i w:val="off"/>
        </w:rPr>
        <w:t>实操演练与考核阶段</w:t>
      </w:r>
      <w:r>
        <w:rPr>
          <w:rFonts w:ascii="宋体" w:cs="宋体" w:eastAsia="宋体" w:hAnsi="宋体"/>
          <w:sz w:val="24"/>
          <w:spacing w:val="0"/>
          <w:b w:val="off"/>
          <w:i w:val="off"/>
        </w:rPr>
        <w:t>：检验学习成果，确保技能落地。</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n"/>
          <w:i w:val="off"/>
        </w:rPr>
        <w:t>三、培训内容体系设计</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n"/>
          <w:i w:val="off"/>
        </w:rPr>
        <w:t>第一部分：政策法规与形势教育（全员必修）</w:t>
      </w:r>
      <w:bookmarkEnd w:id="1024"/>
    </w:p>
    <w:p>
      <w:pPr>
        <w:pageBreakBefore w:val="off"/>
        <w:numPr>
          <w:ilvl w:val="0"/>
          <w:numId w:val="5"/>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近期政策解读</w:t>
      </w:r>
      <w:r>
        <w:rPr>
          <w:rFonts w:ascii="宋体" w:cs="宋体" w:eastAsia="宋体" w:hAnsi="宋体"/>
          <w:sz w:val="24"/>
          <w:spacing w:val="0"/>
          <w:b w:val="off"/>
          <w:i w:val="off"/>
        </w:rPr>
        <w:t>：重点解读《医疗保障基金使用监督管理条例》、《湖南省精神疾病医保支付管理办法》及国家医保局关于定点医疗机构集体约谈的精神。</w:t>
      </w:r>
      <w:bookmarkEnd w:id="1025"/>
    </w:p>
    <w:p>
      <w:pPr>
        <w:pageBreakBefore w:val="off"/>
        <w:numPr>
          <w:ilvl w:val="0"/>
          <w:numId w:val="5"/>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n"/>
          <w:i w:val="off"/>
        </w:rPr>
        <w:t>典型案例警示教育</w:t>
      </w:r>
      <w:r>
        <w:rPr>
          <w:rFonts w:ascii="宋体" w:cs="宋体" w:eastAsia="宋体" w:hAnsi="宋体"/>
          <w:sz w:val="24"/>
          <w:spacing w:val="0"/>
          <w:b w:val="off"/>
          <w:i w:val="off"/>
        </w:rPr>
        <w:t>：通报近期央视曝光的湖北等地精神病院骗保、侵害患者权益等典型案例，深入剖析违法违规事实及惨痛代价，以案说法，以案示警。</w:t>
      </w:r>
      <w:bookmarkEnd w:id="1026"/>
    </w:p>
    <w:p>
      <w:pPr>
        <w:pageBreakBefore w:val="off"/>
        <w:numPr>
          <w:ilvl w:val="0"/>
          <w:numId w:val="5"/>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n"/>
          <w:i w:val="off"/>
        </w:rPr>
        <w:t>医院自查整改方案宣贯</w:t>
      </w:r>
      <w:r>
        <w:rPr>
          <w:rFonts w:ascii="宋体" w:cs="宋体" w:eastAsia="宋体" w:hAnsi="宋体"/>
          <w:sz w:val="24"/>
          <w:spacing w:val="0"/>
          <w:b w:val="off"/>
          <w:i w:val="off"/>
        </w:rPr>
        <w:t>：详细解读《医院合规经营自查清单》及《整改方案》，明确各部门、各岗位的整改任务、时间节点与责任分工。</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n"/>
          <w:i w:val="off"/>
        </w:rPr>
        <w:t>第二部分：岗位专项整改技能培训</w:t>
      </w:r>
      <w:r>
        <w:rPr>
          <w:rFonts w:ascii="宋体" w:cs="宋体" w:eastAsia="宋体" w:hAnsi="宋体"/>
          <w:sz w:val="24"/>
          <w:spacing w:val="0"/>
          <w:b w:val="off"/>
          <w:i w:val="off"/>
        </w:rPr>
        <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
      </w:r>
      <w:r>
        <w:rPr>
          <w:rFonts w:ascii="宋体" w:cs="宋体" w:eastAsia="宋体" w:hAnsi="宋体"/>
          <w:sz w:val="24"/>
          <w:spacing w:val="0"/>
          <w:b w:val="on"/>
          <w:i w:val="off"/>
        </w:rPr>
        <w:t>针对临床医务人员</w:t>
      </w:r>
      <w:bookmarkEnd w:id="1029"/>
    </w:p>
    <w:p>
      <w:pPr>
        <w:pageBreakBefore w:val="off"/>
        <w:numPr>
          <w:ilvl w:val="0"/>
          <w:numId w:val="6"/>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n"/>
          <w:i w:val="off"/>
        </w:rPr>
        <w:t>病历书写规范与质量控制</w:t>
      </w:r>
      <w:r>
        <w:rPr>
          <w:rFonts w:ascii="宋体" w:cs="宋体" w:eastAsia="宋体" w:hAnsi="宋体"/>
          <w:sz w:val="24"/>
          <w:spacing w:val="0"/>
          <w:b w:val="off"/>
          <w:i w:val="off"/>
        </w:rPr>
        <w:t>：重点培训病历书写时限、内容真实性要求、复制粘贴的界定与规避、知情同意书规范签署。</w:t>
      </w:r>
      <w:bookmarkEnd w:id="1030"/>
    </w:p>
    <w:p>
      <w:pPr>
        <w:pageBreakBefore w:val="off"/>
        <w:numPr>
          <w:ilvl w:val="0"/>
          <w:numId w:val="6"/>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合理用药与诊疗规范</w:t>
      </w:r>
      <w:r>
        <w:rPr>
          <w:rFonts w:ascii="宋体" w:cs="宋体" w:eastAsia="宋体" w:hAnsi="宋体"/>
          <w:sz w:val="24"/>
          <w:spacing w:val="0"/>
          <w:b w:val="off"/>
          <w:i w:val="off"/>
        </w:rPr>
        <w:t>：培训抗菌药物、麻精药品临床应用指导原则；讲解急性期与慢性期诊疗规范，避免过度检查与治疗。</w:t>
      </w:r>
      <w:bookmarkEnd w:id="1031"/>
    </w:p>
    <w:p>
      <w:pPr>
        <w:pageBreakBefore w:val="off"/>
        <w:numPr>
          <w:ilvl w:val="0"/>
          <w:numId w:val="6"/>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医保支付与收费政策</w:t>
      </w:r>
      <w:r>
        <w:rPr>
          <w:rFonts w:ascii="宋体" w:cs="宋体" w:eastAsia="宋体" w:hAnsi="宋体"/>
          <w:sz w:val="24"/>
          <w:spacing w:val="0"/>
          <w:b w:val="off"/>
          <w:i w:val="off"/>
        </w:rPr>
        <w:t>：掌握按病种付费（DRG/DIP）与按床日付费的操作要点，明确各类诊疗项目收费内涵，杜绝串换项目、分解收费。</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针对医技与药剂人员</w:t>
      </w:r>
      <w:bookmarkEnd w:id="1033"/>
    </w:p>
    <w:p>
      <w:pPr>
        <w:pageBreakBefore w:val="off"/>
        <w:numPr>
          <w:ilvl w:val="0"/>
          <w:numId w:val="7"/>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检验检查结果互认与质控</w:t>
      </w:r>
      <w:r>
        <w:rPr>
          <w:rFonts w:ascii="宋体" w:cs="宋体" w:eastAsia="宋体" w:hAnsi="宋体"/>
          <w:sz w:val="24"/>
          <w:spacing w:val="0"/>
          <w:b w:val="off"/>
          <w:i w:val="off"/>
        </w:rPr>
        <w:t>：培训如何规范出具检验检查报告，避免虚假检查、伪造数据。</w:t>
      </w:r>
      <w:bookmarkEnd w:id="1034"/>
    </w:p>
    <w:p>
      <w:pPr>
        <w:pageBreakBefore w:val="off"/>
        <w:numPr>
          <w:ilvl w:val="0"/>
          <w:numId w:val="7"/>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n"/>
          <w:i w:val="off"/>
        </w:rPr>
        <w:t>药品耗材管理</w:t>
      </w:r>
      <w:r>
        <w:rPr>
          <w:rFonts w:ascii="宋体" w:cs="宋体" w:eastAsia="宋体" w:hAnsi="宋体"/>
          <w:sz w:val="24"/>
          <w:spacing w:val="0"/>
          <w:b w:val="off"/>
          <w:i w:val="off"/>
        </w:rPr>
        <w:t>：重点培训麻精药品“五专管理”、高值耗材使用追溯管理、药品储存养护规范。</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针对行政后勤与医保财务人员</w:t>
      </w:r>
      <w:bookmarkEnd w:id="1036"/>
    </w:p>
    <w:p>
      <w:pPr>
        <w:pageBreakBefore w:val="off"/>
        <w:numPr>
          <w:ilvl w:val="0"/>
          <w:numId w:val="8"/>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医保审核与智能监控</w:t>
      </w:r>
      <w:r>
        <w:rPr>
          <w:rFonts w:ascii="宋体" w:cs="宋体" w:eastAsia="宋体" w:hAnsi="宋体"/>
          <w:sz w:val="24"/>
          <w:spacing w:val="0"/>
          <w:b w:val="off"/>
          <w:i w:val="off"/>
        </w:rPr>
        <w:t>：培训医保智能监控系统的应用，学习如何识别和处理医保审核疑点数据。</w:t>
      </w:r>
      <w:bookmarkEnd w:id="1037"/>
    </w:p>
    <w:p>
      <w:pPr>
        <w:pageBreakBefore w:val="off"/>
        <w:numPr>
          <w:ilvl w:val="0"/>
          <w:numId w:val="8"/>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信息安全与隐私保护</w:t>
      </w:r>
      <w:r>
        <w:rPr>
          <w:rFonts w:ascii="宋体" w:cs="宋体" w:eastAsia="宋体" w:hAnsi="宋体"/>
          <w:sz w:val="24"/>
          <w:spacing w:val="0"/>
          <w:b w:val="off"/>
          <w:i w:val="off"/>
        </w:rPr>
        <w:t>：培训网络安全法、个人信息保护法相关内容，重点讲解患者隐私保护措施、信息系统账号权限管理、防网络诈骗。</w:t>
      </w:r>
      <w:bookmarkEnd w:id="1038"/>
    </w:p>
    <w:p>
      <w:pPr>
        <w:pageBreakBefore w:val="off"/>
        <w:numPr>
          <w:ilvl w:val="0"/>
          <w:numId w:val="8"/>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院感防控与安全生产</w:t>
      </w:r>
      <w:r>
        <w:rPr>
          <w:rFonts w:ascii="宋体" w:cs="宋体" w:eastAsia="宋体" w:hAnsi="宋体"/>
          <w:sz w:val="24"/>
          <w:spacing w:val="0"/>
          <w:b w:val="off"/>
          <w:i w:val="off"/>
        </w:rPr>
        <w:t>：培训医疗废物分类处置、手卫生规范、消防安全“四个能力”建设及突发事件应急处置。</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n"/>
          <w:i w:val="off"/>
        </w:rPr>
        <w:t>四、培训方式与实施方法</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ff"/>
          <w:i w:val="off"/>
        </w:rPr>
        <w:t>为确保培训效果，采用多元化、互动式的培训方式，避免枯燥的单向灌输。</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集中授课与讲座</w:t>
      </w:r>
      <w:bookmarkEnd w:id="1042"/>
    </w:p>
    <w:p>
      <w:pPr>
        <w:pageBreakBefore w:val="off"/>
        <w:numPr>
          <w:ilvl w:val="0"/>
          <w:numId w:val="9"/>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ff"/>
          <w:i w:val="off"/>
        </w:rPr>
        <w:t>邀请医保局专家、法律顾问、院内职能部门负责人进行专题授课，系统讲解政策法规及整改要求。</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n"/>
          <w:i w:val="off"/>
        </w:rPr>
        <w:t>案例分析与小组讨论</w:t>
      </w:r>
      <w:bookmarkEnd w:id="1044"/>
    </w:p>
    <w:p>
      <w:pPr>
        <w:pageBreakBefore w:val="off"/>
        <w:numPr>
          <w:ilvl w:val="0"/>
          <w:numId w:val="10"/>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ff"/>
          <w:i w:val="off"/>
        </w:rPr>
        <w:t>以科室为单位，组织对典型违规案例进行复盘分析，查找本科室存在的类似风险点，讨论制定防范措施。</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实操演练与情景模拟</w:t>
      </w:r>
      <w:bookmarkEnd w:id="1046"/>
    </w:p>
    <w:p>
      <w:pPr>
        <w:pageBreakBefore w:val="off"/>
        <w:numPr>
          <w:ilvl w:val="0"/>
          <w:numId w:val="11"/>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组织病历书写纠错比赛、医保结算模拟操作、消防疏散演练、突发暴力事件应急处置演练等，提升实战能力。</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n"/>
          <w:i w:val="off"/>
        </w:rPr>
        <w:t>在线学习与测试</w:t>
      </w:r>
      <w:bookmarkEnd w:id="1048"/>
    </w:p>
    <w:p>
      <w:pPr>
        <w:pageBreakBefore w:val="off"/>
        <w:numPr>
          <w:ilvl w:val="0"/>
          <w:numId w:val="12"/>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ff"/>
          <w:i w:val="off"/>
        </w:rPr>
        <w:t>利用医院OA系统或在线学习平台，上传培训课件、视频及法律法规文本，方便员工随时学习。培训结束后，通过手机端进行在线考试，自动阅卷统计成绩。</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n"/>
          <w:i w:val="off"/>
        </w:rPr>
        <w:t>五、时间安排与进度</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ff"/>
          <w:i w:val="off"/>
        </w:rPr>
        <w:t>本培训计划集中安排在自查整改的关键时期（建议为期一个月），具体安排如下。</w:t>
      </w:r>
      <w:bookmarkEnd w:id="1051"/>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4000"/>
        <w:gridCol w:w="4000"/>
        <w:gridCol w:w="4000"/>
      </w:tblGrid>
      <w:tr>
        <w:trPr>
          <w:trHeight w:hRule="atLeast" w:val="800"/>
        </w:trPr>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52" w:name=""/>
            <w:r>
              <w:rPr>
                <w:rFonts w:ascii="宋体" w:cs="宋体" w:eastAsia="宋体" w:hAnsi="宋体"/>
                <w:sz w:val="24"/>
                <w:spacing w:val="0"/>
                <w:b w:val="off"/>
                <w:i w:val="off"/>
              </w:rPr>
              <w:t>时间阶段</w:t>
            </w:r>
            <w:bookmarkEnd w:id="1052"/>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53" w:name=""/>
            <w:r>
              <w:rPr>
                <w:rFonts w:ascii="宋体" w:cs="宋体" w:eastAsia="宋体" w:hAnsi="宋体"/>
                <w:sz w:val="24"/>
                <w:spacing w:val="0"/>
                <w:b w:val="off"/>
                <w:i w:val="off"/>
              </w:rPr>
              <w:t>主要内容</w:t>
            </w:r>
            <w:bookmarkEnd w:id="1053"/>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54" w:name=""/>
            <w:r>
              <w:rPr>
                <w:rFonts w:ascii="宋体" w:cs="宋体" w:eastAsia="宋体" w:hAnsi="宋体"/>
                <w:sz w:val="24"/>
                <w:spacing w:val="0"/>
                <w:b w:val="off"/>
                <w:i w:val="off"/>
              </w:rPr>
              <w:t>责任部门</w:t>
            </w:r>
            <w:bookmarkEnd w:id="1054"/>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55" w:name=""/>
            <w:r>
              <w:rPr>
                <w:rFonts w:ascii="宋体" w:cs="宋体" w:eastAsia="宋体" w:hAnsi="宋体"/>
                <w:sz w:val="24"/>
                <w:spacing w:val="0"/>
                <w:b w:val="on"/>
                <w:i w:val="off"/>
              </w:rPr>
              <w:t>第1周</w:t>
            </w:r>
            <w:bookmarkEnd w:id="1055"/>
          </w:p>
        </w:tc>
        <w:tc>
          <w:tcPr>
            <w:tcW w:type="dxa" w:w="4000"/>
          </w:tcPr>
          <w:p>
            <w:pPr>
              <w:pageBreakBefore w:val="off"/>
              <w:tabs/>
              <w:wordWrap w:val="on"/>
              <w:spacing w:after="0" w:before="0"/>
              <w:ind w:firstLine="0" w:hanging="0" w:left="0" w:right="0"/>
              <w:jc w:val="left"/>
              <w:textAlignment w:val="auto"/>
              <w:rPr>
                <w:sz w:val="24"/>
              </w:rPr>
            </w:pPr>
            <w:bookmarkStart w:id="1056" w:name=""/>
            <w:r>
              <w:rPr>
                <w:rFonts w:ascii="宋体" w:cs="宋体" w:eastAsia="宋体" w:hAnsi="宋体"/>
                <w:sz w:val="24"/>
                <w:spacing w:val="0"/>
                <w:b w:val="on"/>
                <w:i w:val="off"/>
              </w:rPr>
              <w:t>动员大会与政策宣讲</w:t>
            </w:r>
            <w:r>
              <w:rPr>
                <w:rFonts w:ascii="宋体" w:cs="宋体" w:eastAsia="宋体" w:hAnsi="宋体"/>
                <w:sz w:val="24"/>
                <w:spacing w:val="0"/>
                <w:b w:val="off"/>
                <w:i w:val="off"/>
              </w:rPr>
              <w:t>召开全院动员大会，通报形势，部署任务。</w:t>
            </w:r>
            <w:bookmarkEnd w:id="1056"/>
          </w:p>
        </w:tc>
        <w:tc>
          <w:tcPr>
            <w:tcW w:type="dxa" w:w="4000"/>
          </w:tcPr>
          <w:p>
            <w:pPr>
              <w:pageBreakBefore w:val="off"/>
              <w:tabs/>
              <w:wordWrap w:val="on"/>
              <w:spacing w:after="0" w:before="0"/>
              <w:ind w:firstLine="0" w:hanging="0" w:left="0" w:right="0"/>
              <w:jc w:val="left"/>
              <w:textAlignment w:val="auto"/>
              <w:rPr>
                <w:sz w:val="24"/>
              </w:rPr>
            </w:pPr>
            <w:bookmarkStart w:id="1057" w:name=""/>
            <w:r>
              <w:rPr>
                <w:rFonts w:ascii="宋体" w:cs="宋体" w:eastAsia="宋体" w:hAnsi="宋体"/>
                <w:sz w:val="24"/>
                <w:spacing w:val="0"/>
                <w:b w:val="off"/>
                <w:i w:val="off"/>
              </w:rPr>
              <w:t>院办、医务科</w:t>
            </w:r>
            <w:bookmarkEnd w:id="1057"/>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58" w:name=""/>
            <w:r>
              <w:rPr>
                <w:rFonts w:ascii="宋体" w:cs="宋体" w:eastAsia="宋体" w:hAnsi="宋体"/>
                <w:sz w:val="24"/>
                <w:spacing w:val="0"/>
                <w:b w:val="on"/>
                <w:i w:val="off"/>
              </w:rPr>
              <w:t>第2-3周</w:t>
            </w:r>
            <w:bookmarkEnd w:id="1058"/>
          </w:p>
        </w:tc>
        <w:tc>
          <w:tcPr>
            <w:tcW w:type="dxa" w:w="4000"/>
          </w:tcPr>
          <w:p>
            <w:pPr>
              <w:pageBreakBefore w:val="off"/>
              <w:tabs/>
              <w:wordWrap w:val="on"/>
              <w:spacing w:after="0" w:before="0"/>
              <w:ind w:firstLine="0" w:hanging="0" w:left="0" w:right="0"/>
              <w:jc w:val="left"/>
              <w:textAlignment w:val="auto"/>
              <w:rPr>
                <w:sz w:val="24"/>
              </w:rPr>
            </w:pPr>
            <w:bookmarkStart w:id="1059" w:name=""/>
            <w:r>
              <w:rPr>
                <w:rFonts w:ascii="宋体" w:cs="宋体" w:eastAsia="宋体" w:hAnsi="宋体"/>
                <w:sz w:val="24"/>
                <w:spacing w:val="0"/>
                <w:b w:val="on"/>
                <w:i w:val="off"/>
              </w:rPr>
              <w:t>分岗位专项培训</w:t>
            </w:r>
            <w:r>
              <w:rPr>
                <w:rFonts w:ascii="宋体" w:cs="宋体" w:eastAsia="宋体" w:hAnsi="宋体"/>
                <w:sz w:val="24"/>
                <w:spacing w:val="0"/>
                <w:b w:val="off"/>
                <w:i w:val="off"/>
              </w:rPr>
              <w:t>各职能部门按职责分工，组织相关科室进行专项技能培训与实操演练。</w:t>
            </w:r>
            <w:bookmarkEnd w:id="1059"/>
          </w:p>
        </w:tc>
        <w:tc>
          <w:tcPr>
            <w:tcW w:type="dxa" w:w="4000"/>
          </w:tcPr>
          <w:p>
            <w:pPr>
              <w:pageBreakBefore w:val="off"/>
              <w:tabs/>
              <w:wordWrap w:val="on"/>
              <w:spacing w:after="0" w:before="0"/>
              <w:ind w:firstLine="0" w:hanging="0" w:left="0" w:right="0"/>
              <w:jc w:val="left"/>
              <w:textAlignment w:val="auto"/>
              <w:rPr>
                <w:sz w:val="24"/>
              </w:rPr>
            </w:pPr>
            <w:bookmarkStart w:id="1060" w:name=""/>
            <w:r>
              <w:rPr>
                <w:rFonts w:ascii="宋体" w:cs="宋体" w:eastAsia="宋体" w:hAnsi="宋体"/>
                <w:sz w:val="24"/>
                <w:spacing w:val="0"/>
                <w:b w:val="off"/>
                <w:i w:val="off"/>
              </w:rPr>
              <w:t>医保办、护理部、药剂科等</w:t>
            </w:r>
            <w:bookmarkEnd w:id="1060"/>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61" w:name=""/>
            <w:r>
              <w:rPr>
                <w:rFonts w:ascii="宋体" w:cs="宋体" w:eastAsia="宋体" w:hAnsi="宋体"/>
                <w:sz w:val="24"/>
                <w:spacing w:val="0"/>
                <w:b w:val="on"/>
                <w:i w:val="off"/>
              </w:rPr>
              <w:t>第4周</w:t>
            </w:r>
            <w:bookmarkEnd w:id="1061"/>
          </w:p>
        </w:tc>
        <w:tc>
          <w:tcPr>
            <w:tcW w:type="dxa" w:w="4000"/>
          </w:tcPr>
          <w:p>
            <w:pPr>
              <w:pageBreakBefore w:val="off"/>
              <w:tabs/>
              <w:wordWrap w:val="on"/>
              <w:spacing w:after="0" w:before="0"/>
              <w:ind w:firstLine="0" w:hanging="0" w:left="0" w:right="0"/>
              <w:jc w:val="left"/>
              <w:textAlignment w:val="auto"/>
              <w:rPr>
                <w:sz w:val="24"/>
              </w:rPr>
            </w:pPr>
            <w:bookmarkStart w:id="1062" w:name=""/>
            <w:r>
              <w:rPr>
                <w:rFonts w:ascii="宋体" w:cs="宋体" w:eastAsia="宋体" w:hAnsi="宋体"/>
                <w:sz w:val="24"/>
                <w:spacing w:val="0"/>
                <w:b w:val="on"/>
                <w:i w:val="off"/>
              </w:rPr>
              <w:t>考核验收与总结</w:t>
            </w:r>
            <w:r>
              <w:rPr>
                <w:rFonts w:ascii="宋体" w:cs="宋体" w:eastAsia="宋体" w:hAnsi="宋体"/>
                <w:sz w:val="24"/>
                <w:spacing w:val="0"/>
                <w:b w:val="off"/>
                <w:i w:val="off"/>
              </w:rPr>
              <w:t>组织全员闭卷考试或实操考核，对考核不合格者进行补考。召开总结大会，表彰先进，通报考核结果。</w:t>
            </w:r>
            <w:bookmarkEnd w:id="1062"/>
          </w:p>
        </w:tc>
        <w:tc>
          <w:tcPr>
            <w:tcW w:type="dxa" w:w="4000"/>
          </w:tcPr>
          <w:p>
            <w:pPr>
              <w:pageBreakBefore w:val="off"/>
              <w:tabs/>
              <w:wordWrap w:val="on"/>
              <w:spacing w:after="0" w:before="0"/>
              <w:ind w:firstLine="0" w:hanging="0" w:left="0" w:right="0"/>
              <w:jc w:val="left"/>
              <w:textAlignment w:val="auto"/>
              <w:rPr>
                <w:sz w:val="24"/>
              </w:rPr>
            </w:pPr>
            <w:bookmarkStart w:id="1063" w:name=""/>
            <w:r>
              <w:rPr>
                <w:rFonts w:ascii="宋体" w:cs="宋体" w:eastAsia="宋体" w:hAnsi="宋体"/>
                <w:sz w:val="24"/>
                <w:spacing w:val="0"/>
                <w:b w:val="off"/>
                <w:i w:val="off"/>
              </w:rPr>
              <w:t>人事科、质控办</w:t>
            </w:r>
            <w:bookmarkEnd w:id="1063"/>
          </w:p>
        </w:tc>
      </w:tr>
    </w:tbl>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n"/>
          <w:i w:val="off"/>
        </w:rPr>
        <w:t>六、考核评估与效果追踪</w:t>
      </w:r>
      <w:bookmarkEnd w:id="1064"/>
    </w:p>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n"/>
          <w:i w:val="off"/>
        </w:rPr>
        <w:t>过程监督</w:t>
      </w:r>
      <w:bookmarkEnd w:id="1065"/>
    </w:p>
    <w:p>
      <w:pPr>
        <w:pageBreakBefore w:val="off"/>
        <w:numPr>
          <w:ilvl w:val="0"/>
          <w:numId w:val="13"/>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培训期间，由院纪委、人事科对培训出勤率、培训纪律进行抽查，确保培训不走过场。</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n"/>
          <w:i w:val="off"/>
        </w:rPr>
        <w:t>效果评估</w:t>
      </w:r>
      <w:bookmarkEnd w:id="1067"/>
    </w:p>
    <w:p>
      <w:pPr>
        <w:pageBreakBefore w:val="off"/>
        <w:numPr>
          <w:ilvl w:val="0"/>
          <w:numId w:val="14"/>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n"/>
          <w:i w:val="off"/>
        </w:rPr>
        <w:t>反应层评估</w:t>
      </w:r>
      <w:r>
        <w:rPr>
          <w:rFonts w:ascii="宋体" w:cs="宋体" w:eastAsia="宋体" w:hAnsi="宋体"/>
          <w:sz w:val="24"/>
          <w:spacing w:val="0"/>
          <w:b w:val="off"/>
          <w:i w:val="off"/>
        </w:rPr>
        <w:t>：通过培训满意度调查问卷，收集员工对培训内容、师资、组织形式的反馈。</w:t>
      </w:r>
      <w:bookmarkEnd w:id="1068"/>
    </w:p>
    <w:p>
      <w:pPr>
        <w:pageBreakBefore w:val="off"/>
        <w:numPr>
          <w:ilvl w:val="0"/>
          <w:numId w:val="14"/>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学习层评估</w:t>
      </w:r>
      <w:r>
        <w:rPr>
          <w:rFonts w:ascii="宋体" w:cs="宋体" w:eastAsia="宋体" w:hAnsi="宋体"/>
          <w:sz w:val="24"/>
          <w:spacing w:val="0"/>
          <w:b w:val="off"/>
          <w:i w:val="off"/>
        </w:rPr>
        <w:t>：通过闭卷考试、实操考核检验员工对知识技能的掌握程度。</w:t>
      </w:r>
      <w:bookmarkEnd w:id="1069"/>
    </w:p>
    <w:p>
      <w:pPr>
        <w:pageBreakBefore w:val="off"/>
        <w:numPr>
          <w:ilvl w:val="0"/>
          <w:numId w:val="14"/>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行为层评估</w:t>
      </w:r>
      <w:r>
        <w:rPr>
          <w:rFonts w:ascii="宋体" w:cs="宋体" w:eastAsia="宋体" w:hAnsi="宋体"/>
          <w:sz w:val="24"/>
          <w:spacing w:val="0"/>
          <w:b w:val="off"/>
          <w:i w:val="off"/>
        </w:rPr>
        <w:t>：培训结束后一个月内，通过病历质量检查、医保拒付率变化、患者投诉率等指标，评估员工行为改变情况。</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n"/>
          <w:i w:val="off"/>
        </w:rPr>
        <w:t>档案管理</w:t>
      </w:r>
      <w:bookmarkEnd w:id="1071"/>
    </w:p>
    <w:p>
      <w:pPr>
        <w:pageBreakBefore w:val="off"/>
        <w:numPr>
          <w:ilvl w:val="0"/>
          <w:numId w:val="15"/>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ff"/>
          <w:i w:val="off"/>
        </w:rPr>
        <w:t>建立员工个人培训档案，将培训考勤、考核成绩记入档案，作为年度考核、职称晋升、评优评先及医师定期考核的重要依据。对无故不参加培训或考核不合格者，暂停处方权或相关操作权限，直至考核合格。</w:t>
      </w:r>
      <w:bookmarkEnd w:id="1072"/>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2026-02-28T14:59:27Z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voi1MBajBRTeOMrnFE3hq6G9PNJm1gdBZU0+qt9Mg=","ProduceID":"doc_sgs:bd45cb84-d8cd-49be-b111-50d966efe49a","ReservedCode2":"/zvoi1MBajBRTeOMrnFE3hq6G9PNJm1gdBZU0+qt9Mg=","PropagateID":"doc_sgs:bd45cb84-d8cd-49be-b111-50d966efe49a","ContentProducer":"001191440101MA9Y9T4H7A00000"}</vt:lpwstr>
  </property>
</Properties>
</file>