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98B404">
      <w:pPr>
        <w:pStyle w:val="2"/>
        <w:spacing w:before="420" w:beforeAutospacing="0" w:after="315" w:afterAutospacing="0" w:line="360" w:lineRule="auto"/>
        <w:ind w:firstLine="0" w:firstLineChars="0"/>
        <w:jc w:val="center"/>
        <w:rPr>
          <w:rFonts w:hint="default" w:ascii="黑体" w:hAnsi="宋体" w:eastAsia="黑体" w:cs="黑体"/>
          <w:b/>
          <w:bCs/>
          <w:color w:val="000000"/>
          <w:sz w:val="44"/>
          <w:szCs w:val="44"/>
        </w:rPr>
      </w:pPr>
      <w:bookmarkStart w:id="0" w:name="_GoBack"/>
      <w:bookmarkEnd w:id="0"/>
      <w:r>
        <w:rPr>
          <w:rFonts w:hint="default" w:ascii="黑体" w:hAnsi="宋体" w:eastAsia="黑体" w:cs="黑体"/>
          <w:b/>
          <w:bCs/>
          <w:color w:val="000000"/>
          <w:sz w:val="44"/>
          <w:szCs w:val="44"/>
        </w:rPr>
        <w:t>精神卫生机构防范“假病人”及疑似患者处置管理规范</w:t>
      </w:r>
    </w:p>
    <w:p w14:paraId="3EE52D0C">
      <w:pPr>
        <w:spacing w:before="105" w:beforeAutospacing="0" w:after="210" w:afterAutospacing="0" w:line="360" w:lineRule="auto"/>
        <w:ind w:firstLine="0" w:firstLineChars="0"/>
        <w:jc w:val="right"/>
        <w:rPr>
          <w:rFonts w:hint="default" w:ascii="楷体_GB2312" w:hAnsi="楷体_GB2312" w:eastAsia="楷体_GB2312" w:cs="楷体_GB2312"/>
          <w:color w:val="000000"/>
          <w:sz w:val="24"/>
          <w:szCs w:val="24"/>
        </w:rPr>
      </w:pPr>
      <w:r>
        <w:rPr>
          <w:rFonts w:hint="default" w:ascii="楷体_GB2312" w:hAnsi="楷体_GB2312" w:eastAsia="楷体_GB2312" w:cs="楷体_GB2312"/>
          <w:b/>
          <w:bCs/>
          <w:color w:val="000000"/>
          <w:sz w:val="24"/>
          <w:szCs w:val="24"/>
        </w:rPr>
        <w:t>编制日期：</w:t>
      </w:r>
      <w:r>
        <w:rPr>
          <w:rFonts w:hint="default" w:ascii="楷体_GB2312" w:hAnsi="楷体_GB2312" w:eastAsia="楷体_GB2312" w:cs="楷体_GB2312"/>
          <w:color w:val="000000"/>
          <w:sz w:val="24"/>
          <w:szCs w:val="24"/>
        </w:rPr>
        <w:t>2026年2月</w:t>
      </w:r>
    </w:p>
    <w:p w14:paraId="4A210517">
      <w:pPr>
        <w:spacing w:before="105" w:beforeAutospacing="0" w:after="210" w:afterAutospacing="0" w:line="360" w:lineRule="auto"/>
        <w:ind w:firstLine="0" w:firstLineChars="0"/>
        <w:jc w:val="right"/>
        <w:rPr>
          <w:rFonts w:hint="default" w:ascii="楷体_GB2312" w:hAnsi="楷体_GB2312" w:eastAsia="楷体_GB2312" w:cs="楷体_GB2312"/>
          <w:color w:val="000000"/>
          <w:sz w:val="24"/>
          <w:szCs w:val="24"/>
        </w:rPr>
      </w:pPr>
      <w:r>
        <w:rPr>
          <w:rFonts w:hint="default" w:ascii="楷体_GB2312" w:hAnsi="楷体_GB2312" w:eastAsia="楷体_GB2312" w:cs="楷体_GB2312"/>
          <w:b/>
          <w:bCs/>
          <w:color w:val="000000"/>
          <w:sz w:val="24"/>
          <w:szCs w:val="24"/>
        </w:rPr>
        <w:t>适用范围：</w:t>
      </w:r>
      <w:r>
        <w:rPr>
          <w:rFonts w:hint="default" w:ascii="楷体_GB2312" w:hAnsi="楷体_GB2312" w:eastAsia="楷体_GB2312" w:cs="楷体_GB2312"/>
          <w:color w:val="000000"/>
          <w:sz w:val="24"/>
          <w:szCs w:val="24"/>
        </w:rPr>
        <w:t>全院临床、护理、安保及行政职能部门</w:t>
      </w:r>
    </w:p>
    <w:p w14:paraId="47B3E336">
      <w:pPr>
        <w:pStyle w:val="3"/>
        <w:spacing w:before="315" w:beforeAutospacing="0" w:after="210" w:afterAutospacing="0" w:line="360" w:lineRule="auto"/>
        <w:ind w:firstLine="0" w:firstLineChars="0"/>
        <w:jc w:val="both"/>
        <w:rPr>
          <w:rFonts w:hint="default" w:ascii="黑体" w:hAnsi="宋体" w:eastAsia="黑体" w:cs="黑体"/>
          <w:b/>
          <w:bCs/>
          <w:color w:val="000000"/>
          <w:sz w:val="32"/>
          <w:szCs w:val="32"/>
        </w:rPr>
      </w:pPr>
      <w:r>
        <w:rPr>
          <w:rFonts w:hint="default" w:ascii="黑体" w:hAnsi="宋体" w:eastAsia="黑体" w:cs="黑体"/>
          <w:b/>
          <w:bCs/>
          <w:color w:val="000000"/>
          <w:sz w:val="32"/>
          <w:szCs w:val="32"/>
        </w:rPr>
        <w:t>前言</w:t>
      </w:r>
    </w:p>
    <w:p w14:paraId="20685859">
      <w:pPr>
        <w:spacing w:before="105" w:beforeAutospacing="0" w:after="105" w:afterAutospacing="0" w:line="360" w:lineRule="auto"/>
        <w:ind w:firstLine="480" w:firstLineChars="20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为有效防范“假病人”（即“假精神病”或“被精神病”）现象，维护医疗资源合理使用，保障公民合法权益及公共安全，本规范构建了一套覆盖入院核查、在院监管到出院评估的全流程、多维度管理体系，并明确了疑似患者的处置流程。</w:t>
      </w:r>
    </w:p>
    <w:p w14:paraId="77B3E882">
      <w:pPr>
        <w:pStyle w:val="3"/>
        <w:spacing w:before="315" w:beforeAutospacing="0" w:after="210" w:afterAutospacing="0" w:line="360" w:lineRule="auto"/>
        <w:ind w:firstLine="0" w:firstLineChars="0"/>
        <w:jc w:val="both"/>
        <w:rPr>
          <w:rFonts w:hint="default" w:ascii="黑体" w:hAnsi="宋体" w:eastAsia="黑体" w:cs="黑体"/>
          <w:b/>
          <w:bCs/>
          <w:color w:val="000000"/>
          <w:sz w:val="32"/>
          <w:szCs w:val="32"/>
        </w:rPr>
      </w:pPr>
      <w:r>
        <w:rPr>
          <w:rFonts w:hint="default" w:ascii="黑体" w:hAnsi="宋体" w:eastAsia="黑体" w:cs="黑体"/>
          <w:b/>
          <w:bCs/>
          <w:color w:val="000000"/>
          <w:sz w:val="32"/>
          <w:szCs w:val="32"/>
        </w:rPr>
        <w:t>第一部分：防范“假病人”全流程管理体系</w:t>
      </w:r>
    </w:p>
    <w:p w14:paraId="78258CF5">
      <w:pPr>
        <w:pStyle w:val="4"/>
        <w:spacing w:before="210" w:beforeAutospacing="0" w:after="105" w:afterAutospacing="0" w:line="360" w:lineRule="auto"/>
        <w:ind w:firstLine="0" w:firstLineChars="0"/>
        <w:jc w:val="both"/>
        <w:rPr>
          <w:rFonts w:hint="default" w:ascii="黑体" w:hAnsi="宋体" w:eastAsia="黑体" w:cs="黑体"/>
          <w:b/>
          <w:bCs/>
          <w:color w:val="000000"/>
          <w:sz w:val="30"/>
          <w:szCs w:val="30"/>
        </w:rPr>
      </w:pPr>
      <w:r>
        <w:rPr>
          <w:rFonts w:hint="default" w:ascii="黑体" w:hAnsi="宋体" w:eastAsia="黑体" w:cs="黑体"/>
          <w:b/>
          <w:bCs/>
          <w:color w:val="000000"/>
          <w:sz w:val="30"/>
          <w:szCs w:val="30"/>
        </w:rPr>
        <w:t>一、入院核查：严把“入口关”</w:t>
      </w:r>
    </w:p>
    <w:p w14:paraId="2FAF200C">
      <w:pPr>
        <w:spacing w:before="105" w:beforeAutospacing="0" w:after="105" w:afterAutospacing="0" w:line="360" w:lineRule="auto"/>
        <w:ind w:firstLine="480" w:firstLineChars="20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入院阶段是识别和拦截“假病人”的第一道防线，核心在于通过多维度的身份与病情核实，确保诊断的初始准确性。</w:t>
      </w:r>
    </w:p>
    <w:p w14:paraId="35AA748A">
      <w:pPr>
        <w:pStyle w:val="5"/>
        <w:spacing w:before="105" w:beforeAutospacing="0" w:after="42" w:afterAutospacing="0" w:line="360" w:lineRule="auto"/>
        <w:ind w:firstLine="0" w:firstLineChars="0"/>
        <w:jc w:val="both"/>
        <w:rPr>
          <w:rFonts w:hint="default" w:ascii="黑体" w:hAnsi="宋体" w:eastAsia="黑体" w:cs="黑体"/>
          <w:b/>
          <w:bCs/>
          <w:color w:val="000000"/>
          <w:sz w:val="28"/>
          <w:szCs w:val="28"/>
        </w:rPr>
      </w:pPr>
      <w:r>
        <w:rPr>
          <w:rFonts w:hint="default" w:ascii="黑体" w:hAnsi="宋体" w:eastAsia="黑体" w:cs="黑体"/>
          <w:b/>
          <w:bCs/>
          <w:color w:val="000000"/>
          <w:sz w:val="28"/>
          <w:szCs w:val="28"/>
        </w:rPr>
        <w:t>1. 强化身份与病史核验</w:t>
      </w:r>
    </w:p>
    <w:p w14:paraId="07DA897C">
      <w:pPr>
        <w:numPr>
          <w:ilvl w:val="0"/>
          <w:numId w:val="1"/>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多重身份识别</w:t>
      </w:r>
      <w:r>
        <w:rPr>
          <w:rFonts w:hint="default" w:ascii="Times New Roman" w:hAnsi="Times New Roman" w:eastAsia="宋体" w:cs="Times New Roman"/>
          <w:color w:val="000000"/>
          <w:sz w:val="24"/>
          <w:szCs w:val="24"/>
        </w:rPr>
        <w:t>：除了核对姓名、身份证号等基本信息，应引入生物识别技术（如指纹或人脸识别）进行身份确认，防止冒名顶替。</w:t>
      </w:r>
    </w:p>
    <w:p w14:paraId="1768A8CD">
      <w:pPr>
        <w:numPr>
          <w:ilvl w:val="0"/>
          <w:numId w:val="1"/>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病史交叉调查</w:t>
      </w:r>
      <w:r>
        <w:rPr>
          <w:rFonts w:hint="default" w:ascii="Times New Roman" w:hAnsi="Times New Roman" w:eastAsia="宋体" w:cs="Times New Roman"/>
          <w:color w:val="000000"/>
          <w:sz w:val="24"/>
          <w:szCs w:val="24"/>
        </w:rPr>
        <w:t>：在征得同意后，主动与患者家属、社区/村委会、辖区派出所或既往医疗机构联系，核实其既往精神疾病史、社会交往情况及本次发病的背景，排查是否存在被冒名或非自愿被送治的情况。</w:t>
      </w:r>
    </w:p>
    <w:p w14:paraId="27DD600D">
      <w:pPr>
        <w:pStyle w:val="5"/>
        <w:spacing w:before="105" w:beforeAutospacing="0" w:after="42" w:afterAutospacing="0" w:line="360" w:lineRule="auto"/>
        <w:ind w:firstLine="0" w:firstLineChars="0"/>
        <w:jc w:val="both"/>
        <w:rPr>
          <w:rFonts w:hint="default" w:ascii="黑体" w:hAnsi="宋体" w:eastAsia="黑体" w:cs="黑体"/>
          <w:b/>
          <w:bCs/>
          <w:color w:val="000000"/>
          <w:sz w:val="28"/>
          <w:szCs w:val="28"/>
        </w:rPr>
      </w:pPr>
      <w:r>
        <w:rPr>
          <w:rFonts w:hint="default" w:ascii="黑体" w:hAnsi="宋体" w:eastAsia="黑体" w:cs="黑体"/>
          <w:b/>
          <w:bCs/>
          <w:color w:val="000000"/>
          <w:sz w:val="28"/>
          <w:szCs w:val="28"/>
        </w:rPr>
        <w:t>2. 建立标准化诊断评估流程</w:t>
      </w:r>
    </w:p>
    <w:p w14:paraId="6C1D67B3">
      <w:pPr>
        <w:numPr>
          <w:ilvl w:val="0"/>
          <w:numId w:val="2"/>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双人/多人会诊</w:t>
      </w:r>
      <w:r>
        <w:rPr>
          <w:rFonts w:hint="default" w:ascii="Times New Roman" w:hAnsi="Times New Roman" w:eastAsia="宋体" w:cs="Times New Roman"/>
          <w:color w:val="000000"/>
          <w:sz w:val="24"/>
          <w:szCs w:val="24"/>
        </w:rPr>
        <w:t>：对于初次诊断，特别是涉及非自愿住院的情况，应指派</w:t>
      </w:r>
      <w:r>
        <w:rPr>
          <w:rFonts w:hint="default" w:ascii="Times New Roman" w:hAnsi="Times New Roman" w:eastAsia="宋体" w:cs="Times New Roman"/>
          <w:b/>
          <w:bCs/>
          <w:color w:val="000000"/>
          <w:sz w:val="24"/>
          <w:szCs w:val="24"/>
        </w:rPr>
        <w:t>两名以上</w:t>
      </w:r>
      <w:r>
        <w:rPr>
          <w:rFonts w:hint="default" w:ascii="Times New Roman" w:hAnsi="Times New Roman" w:eastAsia="宋体" w:cs="Times New Roman"/>
          <w:color w:val="000000"/>
          <w:sz w:val="24"/>
          <w:szCs w:val="24"/>
        </w:rPr>
        <w:t>具有资质的精神科医师进行独立或联合诊断，避免个人判断失误。</w:t>
      </w:r>
    </w:p>
    <w:p w14:paraId="421A3B35">
      <w:pPr>
        <w:numPr>
          <w:ilvl w:val="0"/>
          <w:numId w:val="2"/>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客观检查辅助</w:t>
      </w:r>
      <w:r>
        <w:rPr>
          <w:rFonts w:hint="default" w:ascii="Times New Roman" w:hAnsi="Times New Roman" w:eastAsia="宋体" w:cs="Times New Roman"/>
          <w:color w:val="000000"/>
          <w:sz w:val="24"/>
          <w:szCs w:val="24"/>
        </w:rPr>
        <w:t>：在精神状况检查的基础上，合理运用心理测评量表、脑电图、影像学检查等辅助手段，为诊断提供客观依据，增加伪装的难度。</w:t>
      </w:r>
    </w:p>
    <w:p w14:paraId="4F1ABB40">
      <w:pPr>
        <w:pStyle w:val="5"/>
        <w:spacing w:before="105" w:beforeAutospacing="0" w:after="42" w:afterAutospacing="0" w:line="360" w:lineRule="auto"/>
        <w:ind w:firstLine="0" w:firstLineChars="0"/>
        <w:jc w:val="both"/>
        <w:rPr>
          <w:rFonts w:hint="default" w:ascii="黑体" w:hAnsi="宋体" w:eastAsia="黑体" w:cs="黑体"/>
          <w:b/>
          <w:bCs/>
          <w:color w:val="000000"/>
          <w:sz w:val="28"/>
          <w:szCs w:val="28"/>
        </w:rPr>
      </w:pPr>
      <w:r>
        <w:rPr>
          <w:rFonts w:hint="default" w:ascii="黑体" w:hAnsi="宋体" w:eastAsia="黑体" w:cs="黑体"/>
          <w:b/>
          <w:bCs/>
          <w:color w:val="000000"/>
          <w:sz w:val="28"/>
          <w:szCs w:val="28"/>
        </w:rPr>
        <w:t>3. 引入独立复核机制</w:t>
      </w:r>
    </w:p>
    <w:p w14:paraId="76930F42">
      <w:pPr>
        <w:numPr>
          <w:ilvl w:val="0"/>
          <w:numId w:val="3"/>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设立由精神科医生、法律专家和非专业人士组成的</w:t>
      </w:r>
      <w:r>
        <w:rPr>
          <w:rFonts w:hint="default" w:ascii="Times New Roman" w:hAnsi="Times New Roman" w:eastAsia="宋体" w:cs="Times New Roman"/>
          <w:b/>
          <w:bCs/>
          <w:color w:val="000000"/>
          <w:sz w:val="24"/>
          <w:szCs w:val="24"/>
        </w:rPr>
        <w:t>独立复核小组</w:t>
      </w:r>
      <w:r>
        <w:rPr>
          <w:rFonts w:hint="default" w:ascii="Times New Roman" w:hAnsi="Times New Roman" w:eastAsia="宋体" w:cs="Times New Roman"/>
          <w:color w:val="000000"/>
          <w:sz w:val="24"/>
          <w:szCs w:val="24"/>
        </w:rPr>
        <w:t>。</w:t>
      </w:r>
    </w:p>
    <w:p w14:paraId="1D854320">
      <w:pPr>
        <w:numPr>
          <w:ilvl w:val="0"/>
          <w:numId w:val="3"/>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对于诊断存疑或非自愿住院的案例，由该小组进行复核，确保诊断结论的科学性和合法性，从源头上防止“被精神病”或“假冒精神病”通过入院关。</w:t>
      </w:r>
    </w:p>
    <w:p w14:paraId="2F2230AF">
      <w:pPr>
        <w:pStyle w:val="4"/>
        <w:spacing w:before="210" w:beforeAutospacing="0" w:after="105" w:afterAutospacing="0" w:line="360" w:lineRule="auto"/>
        <w:ind w:firstLine="0" w:firstLineChars="0"/>
        <w:jc w:val="both"/>
        <w:rPr>
          <w:rFonts w:hint="default" w:ascii="黑体" w:hAnsi="宋体" w:eastAsia="黑体" w:cs="黑体"/>
          <w:b/>
          <w:bCs/>
          <w:color w:val="000000"/>
          <w:sz w:val="30"/>
          <w:szCs w:val="30"/>
        </w:rPr>
      </w:pPr>
      <w:r>
        <w:rPr>
          <w:rFonts w:hint="default" w:ascii="黑体" w:hAnsi="宋体" w:eastAsia="黑体" w:cs="黑体"/>
          <w:b/>
          <w:bCs/>
          <w:color w:val="000000"/>
          <w:sz w:val="30"/>
          <w:szCs w:val="30"/>
        </w:rPr>
        <w:t>二、在院监管：做实“过程关”</w:t>
      </w:r>
    </w:p>
    <w:p w14:paraId="3208965E">
      <w:pPr>
        <w:spacing w:before="105" w:beforeAutospacing="0" w:after="105" w:afterAutospacing="0" w:line="360" w:lineRule="auto"/>
        <w:ind w:firstLine="480" w:firstLineChars="20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患者入院后，通过精细化的管理和动态的病情观察，可以有效识别出伪装者或诊断错误的病例。</w:t>
      </w:r>
    </w:p>
    <w:p w14:paraId="2982DCBF">
      <w:pPr>
        <w:pStyle w:val="5"/>
        <w:spacing w:before="105" w:beforeAutospacing="0" w:after="42" w:afterAutospacing="0" w:line="360" w:lineRule="auto"/>
        <w:ind w:firstLine="0" w:firstLineChars="0"/>
        <w:jc w:val="both"/>
        <w:rPr>
          <w:rFonts w:hint="default" w:ascii="黑体" w:hAnsi="宋体" w:eastAsia="黑体" w:cs="黑体"/>
          <w:b/>
          <w:bCs/>
          <w:color w:val="000000"/>
          <w:sz w:val="28"/>
          <w:szCs w:val="28"/>
        </w:rPr>
      </w:pPr>
      <w:r>
        <w:rPr>
          <w:rFonts w:hint="default" w:ascii="黑体" w:hAnsi="宋体" w:eastAsia="黑体" w:cs="黑体"/>
          <w:b/>
          <w:bCs/>
          <w:color w:val="000000"/>
          <w:sz w:val="28"/>
          <w:szCs w:val="28"/>
        </w:rPr>
        <w:t>1. 实施动态风险评估与分级护理</w:t>
      </w:r>
    </w:p>
    <w:p w14:paraId="7E28FBB9">
      <w:pPr>
        <w:numPr>
          <w:ilvl w:val="0"/>
          <w:numId w:val="4"/>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风险标识管理</w:t>
      </w:r>
      <w:r>
        <w:rPr>
          <w:rFonts w:hint="default" w:ascii="Times New Roman" w:hAnsi="Times New Roman" w:eastAsia="宋体" w:cs="Times New Roman"/>
          <w:color w:val="000000"/>
          <w:sz w:val="24"/>
          <w:szCs w:val="24"/>
        </w:rPr>
        <w:t>：采用不同颜色的腕带对患者进行分类标识。例如，对有藏药、自伤、伤人或逃跑倾向的患者（可能包含伪装者）佩戴特定颜色的腕带，以便医护人员进行重点观察和护理。</w:t>
      </w:r>
    </w:p>
    <w:p w14:paraId="5B44CD16">
      <w:pPr>
        <w:numPr>
          <w:ilvl w:val="0"/>
          <w:numId w:val="4"/>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分级巡视制度</w:t>
      </w:r>
      <w:r>
        <w:rPr>
          <w:rFonts w:hint="default" w:ascii="Times New Roman" w:hAnsi="Times New Roman" w:eastAsia="宋体" w:cs="Times New Roman"/>
          <w:color w:val="000000"/>
          <w:sz w:val="24"/>
          <w:szCs w:val="24"/>
        </w:rPr>
        <w:t>：根据患者的风险等级实施不同频次的巡视。特别是对新入院或诊断存疑的患者，应加强在夜间、凌晨、午睡等关键时间段的巡视，观察其真实的精神状态和行为模式。</w:t>
      </w:r>
    </w:p>
    <w:p w14:paraId="159C6BB4">
      <w:pPr>
        <w:pStyle w:val="5"/>
        <w:spacing w:before="105" w:beforeAutospacing="0" w:after="42" w:afterAutospacing="0" w:line="360" w:lineRule="auto"/>
        <w:ind w:firstLine="0" w:firstLineChars="0"/>
        <w:jc w:val="both"/>
        <w:rPr>
          <w:rFonts w:hint="default" w:ascii="黑体" w:hAnsi="宋体" w:eastAsia="黑体" w:cs="黑体"/>
          <w:b/>
          <w:bCs/>
          <w:color w:val="000000"/>
          <w:sz w:val="28"/>
          <w:szCs w:val="28"/>
        </w:rPr>
      </w:pPr>
      <w:r>
        <w:rPr>
          <w:rFonts w:hint="default" w:ascii="黑体" w:hAnsi="宋体" w:eastAsia="黑体" w:cs="黑体"/>
          <w:b/>
          <w:bCs/>
          <w:color w:val="000000"/>
          <w:sz w:val="28"/>
          <w:szCs w:val="28"/>
        </w:rPr>
        <w:t>2. 建立多维度的病情观察体系</w:t>
      </w:r>
    </w:p>
    <w:p w14:paraId="3D6824BD">
      <w:pPr>
        <w:numPr>
          <w:ilvl w:val="0"/>
          <w:numId w:val="5"/>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行为观察</w:t>
      </w:r>
      <w:r>
        <w:rPr>
          <w:rFonts w:hint="default" w:ascii="Times New Roman" w:hAnsi="Times New Roman" w:eastAsia="宋体" w:cs="Times New Roman"/>
          <w:color w:val="000000"/>
          <w:sz w:val="24"/>
          <w:szCs w:val="24"/>
        </w:rPr>
        <w:t>：护理人员需密切观察患者的言行举止、情绪反应、睡眠饮食等，并详细记录。伪装者往往难以长时间维持一致的异常行为，细微的破绽可能在日常观察中暴露。</w:t>
      </w:r>
    </w:p>
    <w:p w14:paraId="0EB6AADD">
      <w:pPr>
        <w:numPr>
          <w:ilvl w:val="0"/>
          <w:numId w:val="5"/>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治疗反应评估</w:t>
      </w:r>
      <w:r>
        <w:rPr>
          <w:rFonts w:hint="default" w:ascii="Times New Roman" w:hAnsi="Times New Roman" w:eastAsia="宋体" w:cs="Times New Roman"/>
          <w:color w:val="000000"/>
          <w:sz w:val="24"/>
          <w:szCs w:val="24"/>
        </w:rPr>
        <w:t>：密切观察患者对药物治疗的反应。真正的精神障碍患者通常会在用药后表现出一定的症状改善或药物副作用，而伪装者则可能没有相应反应，或出现“伪副作用”。</w:t>
      </w:r>
    </w:p>
    <w:p w14:paraId="306DD60E">
      <w:pPr>
        <w:pStyle w:val="5"/>
        <w:spacing w:before="105" w:beforeAutospacing="0" w:after="42" w:afterAutospacing="0" w:line="360" w:lineRule="auto"/>
        <w:ind w:firstLine="0" w:firstLineChars="0"/>
        <w:jc w:val="both"/>
        <w:rPr>
          <w:rFonts w:hint="default" w:ascii="黑体" w:hAnsi="宋体" w:eastAsia="黑体" w:cs="黑体"/>
          <w:b/>
          <w:bCs/>
          <w:color w:val="000000"/>
          <w:sz w:val="28"/>
          <w:szCs w:val="28"/>
        </w:rPr>
      </w:pPr>
      <w:r>
        <w:rPr>
          <w:rFonts w:hint="default" w:ascii="黑体" w:hAnsi="宋体" w:eastAsia="黑体" w:cs="黑体"/>
          <w:b/>
          <w:bCs/>
          <w:color w:val="000000"/>
          <w:sz w:val="28"/>
          <w:szCs w:val="28"/>
        </w:rPr>
        <w:t>3. 畅通内外部监督与反馈渠道</w:t>
      </w:r>
    </w:p>
    <w:p w14:paraId="0F49FFC5">
      <w:pPr>
        <w:numPr>
          <w:ilvl w:val="0"/>
          <w:numId w:val="6"/>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保障会见通信</w:t>
      </w:r>
      <w:r>
        <w:rPr>
          <w:rFonts w:hint="default" w:ascii="Times New Roman" w:hAnsi="Times New Roman" w:eastAsia="宋体" w:cs="Times New Roman"/>
          <w:color w:val="000000"/>
          <w:sz w:val="24"/>
          <w:szCs w:val="24"/>
        </w:rPr>
        <w:t>：依法保障患者与家属、监护人的会见和通信权利。家属的反馈是判断患者真实状况的重要信息来源。</w:t>
      </w:r>
    </w:p>
    <w:p w14:paraId="6F96CB07">
      <w:pPr>
        <w:numPr>
          <w:ilvl w:val="0"/>
          <w:numId w:val="6"/>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设立内部举报</w:t>
      </w:r>
      <w:r>
        <w:rPr>
          <w:rFonts w:hint="default" w:ascii="Times New Roman" w:hAnsi="Times New Roman" w:eastAsia="宋体" w:cs="Times New Roman"/>
          <w:color w:val="000000"/>
          <w:sz w:val="24"/>
          <w:szCs w:val="24"/>
        </w:rPr>
        <w:t>：建立便捷的内部举报和控告渠道，鼓励患者本人、家属或内部员工对疑似“假病人”或违规收治行为进行举报，并由专门部门（如医院伦理委员会或监察部门）进行调查。</w:t>
      </w:r>
    </w:p>
    <w:p w14:paraId="153CD2FB">
      <w:pPr>
        <w:pStyle w:val="4"/>
        <w:spacing w:before="210" w:beforeAutospacing="0" w:after="105" w:afterAutospacing="0" w:line="360" w:lineRule="auto"/>
        <w:ind w:firstLine="0" w:firstLineChars="0"/>
        <w:jc w:val="both"/>
        <w:rPr>
          <w:rFonts w:hint="default" w:ascii="黑体" w:hAnsi="宋体" w:eastAsia="黑体" w:cs="黑体"/>
          <w:b/>
          <w:bCs/>
          <w:color w:val="000000"/>
          <w:sz w:val="30"/>
          <w:szCs w:val="30"/>
        </w:rPr>
      </w:pPr>
      <w:r>
        <w:rPr>
          <w:rFonts w:hint="default" w:ascii="黑体" w:hAnsi="宋体" w:eastAsia="黑体" w:cs="黑体"/>
          <w:b/>
          <w:bCs/>
          <w:color w:val="000000"/>
          <w:sz w:val="30"/>
          <w:szCs w:val="30"/>
        </w:rPr>
        <w:t>三、出院评估：守好“出口关”</w:t>
      </w:r>
    </w:p>
    <w:p w14:paraId="14AF9013">
      <w:pPr>
        <w:spacing w:before="105" w:beforeAutospacing="0" w:after="105" w:afterAutospacing="0" w:line="360" w:lineRule="auto"/>
        <w:ind w:firstLine="480" w:firstLineChars="20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出院环节的严格评估，是纠正错误诊断、防止“假病人”滞留的最后关口。</w:t>
      </w:r>
    </w:p>
    <w:p w14:paraId="70D08934">
      <w:pPr>
        <w:pStyle w:val="5"/>
        <w:spacing w:before="105" w:beforeAutospacing="0" w:after="42" w:afterAutospacing="0" w:line="360" w:lineRule="auto"/>
        <w:ind w:firstLine="0" w:firstLineChars="0"/>
        <w:jc w:val="both"/>
        <w:rPr>
          <w:rFonts w:hint="default" w:ascii="黑体" w:hAnsi="宋体" w:eastAsia="黑体" w:cs="黑体"/>
          <w:b/>
          <w:bCs/>
          <w:color w:val="000000"/>
          <w:sz w:val="28"/>
          <w:szCs w:val="28"/>
        </w:rPr>
      </w:pPr>
      <w:r>
        <w:rPr>
          <w:rFonts w:hint="default" w:ascii="黑体" w:hAnsi="宋体" w:eastAsia="黑体" w:cs="黑体"/>
          <w:b/>
          <w:bCs/>
          <w:color w:val="000000"/>
          <w:sz w:val="28"/>
          <w:szCs w:val="28"/>
        </w:rPr>
        <w:t>1. 严格执行“再诊断”与“医学鉴定”制度</w:t>
      </w:r>
    </w:p>
    <w:p w14:paraId="37FB2524">
      <w:pPr>
        <w:numPr>
          <w:ilvl w:val="0"/>
          <w:numId w:val="7"/>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明确告知患者及其监护人，若对非自愿住院的决定有异议，有权依法申请</w:t>
      </w:r>
      <w:r>
        <w:rPr>
          <w:rFonts w:hint="default" w:ascii="Times New Roman" w:hAnsi="Times New Roman" w:eastAsia="宋体" w:cs="Times New Roman"/>
          <w:b/>
          <w:bCs/>
          <w:color w:val="000000"/>
          <w:sz w:val="24"/>
          <w:szCs w:val="24"/>
        </w:rPr>
        <w:t>再次诊断</w:t>
      </w:r>
      <w:r>
        <w:rPr>
          <w:rFonts w:hint="default" w:ascii="Times New Roman" w:hAnsi="Times New Roman" w:eastAsia="宋体" w:cs="Times New Roman"/>
          <w:color w:val="000000"/>
          <w:sz w:val="24"/>
          <w:szCs w:val="24"/>
        </w:rPr>
        <w:t>和</w:t>
      </w:r>
      <w:r>
        <w:rPr>
          <w:rFonts w:hint="default" w:ascii="Times New Roman" w:hAnsi="Times New Roman" w:eastAsia="宋体" w:cs="Times New Roman"/>
          <w:b/>
          <w:bCs/>
          <w:color w:val="000000"/>
          <w:sz w:val="24"/>
          <w:szCs w:val="24"/>
        </w:rPr>
        <w:t>医学鉴定</w:t>
      </w:r>
      <w:r>
        <w:rPr>
          <w:rFonts w:hint="default" w:ascii="Times New Roman" w:hAnsi="Times New Roman" w:eastAsia="宋体" w:cs="Times New Roman"/>
          <w:color w:val="000000"/>
          <w:sz w:val="24"/>
          <w:szCs w:val="24"/>
        </w:rPr>
        <w:t>。</w:t>
      </w:r>
    </w:p>
    <w:p w14:paraId="2ACB5615">
      <w:pPr>
        <w:numPr>
          <w:ilvl w:val="0"/>
          <w:numId w:val="7"/>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医院应积极配合相关流程，确保有异议的病例能得到独立的复核。</w:t>
      </w:r>
    </w:p>
    <w:p w14:paraId="05A3B75F">
      <w:pPr>
        <w:pStyle w:val="5"/>
        <w:spacing w:before="105" w:beforeAutospacing="0" w:after="42" w:afterAutospacing="0" w:line="360" w:lineRule="auto"/>
        <w:ind w:firstLine="0" w:firstLineChars="0"/>
        <w:jc w:val="both"/>
        <w:rPr>
          <w:rFonts w:hint="default" w:ascii="黑体" w:hAnsi="宋体" w:eastAsia="黑体" w:cs="黑体"/>
          <w:b/>
          <w:bCs/>
          <w:color w:val="000000"/>
          <w:sz w:val="28"/>
          <w:szCs w:val="28"/>
        </w:rPr>
      </w:pPr>
      <w:r>
        <w:rPr>
          <w:rFonts w:hint="default" w:ascii="黑体" w:hAnsi="宋体" w:eastAsia="黑体" w:cs="黑体"/>
          <w:b/>
          <w:bCs/>
          <w:color w:val="000000"/>
          <w:sz w:val="28"/>
          <w:szCs w:val="28"/>
        </w:rPr>
        <w:t>2. 引入多学科团队（MDT）进行出院评估</w:t>
      </w:r>
    </w:p>
    <w:p w14:paraId="1709D279">
      <w:pPr>
        <w:numPr>
          <w:ilvl w:val="0"/>
          <w:numId w:val="8"/>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出院评估不应仅由主治医生一人决定，而应由包括精神科医生、护士、心理治疗师、社会工作者组成的</w:t>
      </w:r>
      <w:r>
        <w:rPr>
          <w:rFonts w:hint="default" w:ascii="Times New Roman" w:hAnsi="Times New Roman" w:eastAsia="宋体" w:cs="Times New Roman"/>
          <w:b/>
          <w:bCs/>
          <w:color w:val="000000"/>
          <w:sz w:val="24"/>
          <w:szCs w:val="24"/>
        </w:rPr>
        <w:t>多学科团队</w:t>
      </w:r>
      <w:r>
        <w:rPr>
          <w:rFonts w:hint="default" w:ascii="Times New Roman" w:hAnsi="Times New Roman" w:eastAsia="宋体" w:cs="Times New Roman"/>
          <w:color w:val="000000"/>
          <w:sz w:val="24"/>
          <w:szCs w:val="24"/>
        </w:rPr>
        <w:t>共同参与。</w:t>
      </w:r>
    </w:p>
    <w:p w14:paraId="210E9EA8">
      <w:pPr>
        <w:numPr>
          <w:ilvl w:val="0"/>
          <w:numId w:val="8"/>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通过综合评估患者的症状缓解情况、自知力恢复情况、社会功能恢复情况等，做出是否达到出院标准的集体决策。</w:t>
      </w:r>
    </w:p>
    <w:p w14:paraId="06CFFE09">
      <w:pPr>
        <w:pStyle w:val="5"/>
        <w:spacing w:before="105" w:beforeAutospacing="0" w:after="42" w:afterAutospacing="0" w:line="360" w:lineRule="auto"/>
        <w:ind w:firstLine="0" w:firstLineChars="0"/>
        <w:jc w:val="both"/>
        <w:rPr>
          <w:rFonts w:hint="default" w:ascii="黑体" w:hAnsi="宋体" w:eastAsia="黑体" w:cs="黑体"/>
          <w:b/>
          <w:bCs/>
          <w:color w:val="000000"/>
          <w:sz w:val="28"/>
          <w:szCs w:val="28"/>
        </w:rPr>
      </w:pPr>
      <w:r>
        <w:rPr>
          <w:rFonts w:hint="default" w:ascii="黑体" w:hAnsi="宋体" w:eastAsia="黑体" w:cs="黑体"/>
          <w:b/>
          <w:bCs/>
          <w:color w:val="000000"/>
          <w:sz w:val="28"/>
          <w:szCs w:val="28"/>
        </w:rPr>
        <w:t>3. 建立出院后随访机制</w:t>
      </w:r>
    </w:p>
    <w:p w14:paraId="07F26E8C">
      <w:pPr>
        <w:numPr>
          <w:ilvl w:val="0"/>
          <w:numId w:val="9"/>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对出院患者进行定期随访，了解其回归社会后的精神状态和生活情况。</w:t>
      </w:r>
    </w:p>
    <w:p w14:paraId="25D29255">
      <w:pPr>
        <w:numPr>
          <w:ilvl w:val="0"/>
          <w:numId w:val="9"/>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这不仅有助于评估治疗效果，也能从侧面验证当初诊断的准确性，为持续改进诊断质量提供反馈。</w:t>
      </w:r>
    </w:p>
    <w:p w14:paraId="03702DDA">
      <w:pPr>
        <w:pStyle w:val="3"/>
        <w:spacing w:before="315" w:beforeAutospacing="0" w:after="210" w:afterAutospacing="0" w:line="360" w:lineRule="auto"/>
        <w:ind w:firstLine="0" w:firstLineChars="0"/>
        <w:jc w:val="both"/>
        <w:rPr>
          <w:rFonts w:hint="default" w:ascii="黑体" w:hAnsi="宋体" w:eastAsia="黑体" w:cs="黑体"/>
          <w:b/>
          <w:bCs/>
          <w:color w:val="000000"/>
          <w:sz w:val="32"/>
          <w:szCs w:val="32"/>
        </w:rPr>
      </w:pPr>
      <w:r>
        <w:rPr>
          <w:rFonts w:hint="default" w:ascii="黑体" w:hAnsi="宋体" w:eastAsia="黑体" w:cs="黑体"/>
          <w:b/>
          <w:bCs/>
          <w:color w:val="000000"/>
          <w:sz w:val="32"/>
          <w:szCs w:val="32"/>
        </w:rPr>
        <w:t>第二部分：疑似“假精神病患者”处置流程</w:t>
      </w:r>
    </w:p>
    <w:p w14:paraId="43CF6FB9">
      <w:pPr>
        <w:spacing w:before="105" w:beforeAutospacing="0" w:after="105" w:afterAutospacing="0" w:line="360" w:lineRule="auto"/>
        <w:ind w:firstLine="480" w:firstLineChars="20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发现疑似“假精神病患者”（即通过伪装或冒名获取精神科诊疗）时，处理的核心原则是</w:t>
      </w:r>
      <w:r>
        <w:rPr>
          <w:rFonts w:hint="default" w:ascii="Times New Roman" w:hAnsi="Times New Roman" w:eastAsia="宋体" w:cs="Times New Roman"/>
          <w:b/>
          <w:bCs/>
          <w:color w:val="000000"/>
          <w:sz w:val="24"/>
          <w:szCs w:val="24"/>
        </w:rPr>
        <w:t>“依法依规、审慎甄别、分类处置”</w:t>
      </w:r>
      <w:r>
        <w:rPr>
          <w:rFonts w:hint="default" w:ascii="Times New Roman" w:hAnsi="Times New Roman" w:eastAsia="宋体" w:cs="Times New Roman"/>
          <w:color w:val="000000"/>
          <w:sz w:val="24"/>
          <w:szCs w:val="24"/>
        </w:rPr>
        <w:t>。</w:t>
      </w:r>
    </w:p>
    <w:p w14:paraId="25A8FBCD">
      <w:pPr>
        <w:pStyle w:val="4"/>
        <w:spacing w:before="210" w:beforeAutospacing="0" w:after="105" w:afterAutospacing="0" w:line="360" w:lineRule="auto"/>
        <w:ind w:firstLine="0" w:firstLineChars="0"/>
        <w:jc w:val="both"/>
        <w:rPr>
          <w:rFonts w:hint="default" w:ascii="黑体" w:hAnsi="宋体" w:eastAsia="黑体" w:cs="黑体"/>
          <w:b/>
          <w:bCs/>
          <w:color w:val="000000"/>
          <w:sz w:val="30"/>
          <w:szCs w:val="30"/>
        </w:rPr>
      </w:pPr>
      <w:r>
        <w:rPr>
          <w:rFonts w:hint="default" w:ascii="黑体" w:hAnsi="宋体" w:eastAsia="黑体" w:cs="黑体"/>
          <w:b/>
          <w:bCs/>
          <w:color w:val="000000"/>
          <w:sz w:val="30"/>
          <w:szCs w:val="30"/>
        </w:rPr>
        <w:t>第一阶段：现场识别与初步处置（防扩散、保安全）</w:t>
      </w:r>
    </w:p>
    <w:p w14:paraId="4062D294">
      <w:pPr>
        <w:spacing w:before="105" w:beforeAutospacing="0" w:after="105" w:afterAutospacing="0" w:line="360" w:lineRule="auto"/>
        <w:ind w:firstLine="480" w:firstLineChars="20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当在医院、社区或公共场所发现疑似伪装者时，首要任务是控制局面，防止事态扩大。</w:t>
      </w:r>
    </w:p>
    <w:p w14:paraId="2186FDAF">
      <w:pPr>
        <w:pStyle w:val="5"/>
        <w:spacing w:before="105" w:beforeAutospacing="0" w:after="42" w:afterAutospacing="0" w:line="360" w:lineRule="auto"/>
        <w:ind w:firstLine="0" w:firstLineChars="0"/>
        <w:jc w:val="both"/>
        <w:rPr>
          <w:rFonts w:hint="default" w:ascii="黑体" w:hAnsi="宋体" w:eastAsia="黑体" w:cs="黑体"/>
          <w:b/>
          <w:bCs/>
          <w:color w:val="000000"/>
          <w:sz w:val="28"/>
          <w:szCs w:val="28"/>
        </w:rPr>
      </w:pPr>
      <w:r>
        <w:rPr>
          <w:rFonts w:hint="default" w:ascii="黑体" w:hAnsi="宋体" w:eastAsia="黑体" w:cs="黑体"/>
          <w:b/>
          <w:bCs/>
          <w:color w:val="000000"/>
          <w:sz w:val="28"/>
          <w:szCs w:val="28"/>
        </w:rPr>
        <w:t>1. 保持距离，避免刺激</w:t>
      </w:r>
    </w:p>
    <w:p w14:paraId="717C863A">
      <w:pPr>
        <w:numPr>
          <w:ilvl w:val="0"/>
          <w:numId w:val="10"/>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不围观、不指指点点</w:t>
      </w:r>
      <w:r>
        <w:rPr>
          <w:rFonts w:hint="default" w:ascii="Times New Roman" w:hAnsi="Times New Roman" w:eastAsia="宋体" w:cs="Times New Roman"/>
          <w:color w:val="000000"/>
          <w:sz w:val="24"/>
          <w:szCs w:val="24"/>
        </w:rPr>
        <w:t>：避免给伪装者提供“观众效应”，减少其表演欲望。</w:t>
      </w:r>
    </w:p>
    <w:p w14:paraId="0FE63026">
      <w:pPr>
        <w:numPr>
          <w:ilvl w:val="0"/>
          <w:numId w:val="10"/>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温和沟通</w:t>
      </w:r>
      <w:r>
        <w:rPr>
          <w:rFonts w:hint="default" w:ascii="Times New Roman" w:hAnsi="Times New Roman" w:eastAsia="宋体" w:cs="Times New Roman"/>
          <w:color w:val="000000"/>
          <w:sz w:val="24"/>
          <w:szCs w:val="24"/>
        </w:rPr>
        <w:t>：若对方处于清醒状态，可尝试进行非攻击性对话，观察其逻辑思维、情感反应和现实检验能力。伪装者往往在逻辑自洽性和细节编造上会露出破绽。</w:t>
      </w:r>
    </w:p>
    <w:p w14:paraId="2F0D9CA0">
      <w:pPr>
        <w:pStyle w:val="5"/>
        <w:spacing w:before="105" w:beforeAutospacing="0" w:after="42" w:afterAutospacing="0" w:line="360" w:lineRule="auto"/>
        <w:ind w:firstLine="0" w:firstLineChars="0"/>
        <w:jc w:val="both"/>
        <w:rPr>
          <w:rFonts w:hint="default" w:ascii="黑体" w:hAnsi="宋体" w:eastAsia="黑体" w:cs="黑体"/>
          <w:b/>
          <w:bCs/>
          <w:color w:val="000000"/>
          <w:sz w:val="28"/>
          <w:szCs w:val="28"/>
        </w:rPr>
      </w:pPr>
      <w:r>
        <w:rPr>
          <w:rFonts w:hint="default" w:ascii="黑体" w:hAnsi="宋体" w:eastAsia="黑体" w:cs="黑体"/>
          <w:b/>
          <w:bCs/>
          <w:color w:val="000000"/>
          <w:sz w:val="28"/>
          <w:szCs w:val="28"/>
        </w:rPr>
        <w:t>2. 启动“双人/多人”评估机制</w:t>
      </w:r>
    </w:p>
    <w:p w14:paraId="63EBB4C9">
      <w:pPr>
        <w:numPr>
          <w:ilvl w:val="0"/>
          <w:numId w:val="11"/>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医疗端</w:t>
      </w:r>
      <w:r>
        <w:rPr>
          <w:rFonts w:hint="default" w:ascii="Times New Roman" w:hAnsi="Times New Roman" w:eastAsia="宋体" w:cs="Times New Roman"/>
          <w:color w:val="000000"/>
          <w:sz w:val="24"/>
          <w:szCs w:val="24"/>
        </w:rPr>
        <w:t>：在医院内，一旦怀疑患者精神状态不真实，应立即由</w:t>
      </w:r>
      <w:r>
        <w:rPr>
          <w:rFonts w:hint="default" w:ascii="Times New Roman" w:hAnsi="Times New Roman" w:eastAsia="宋体" w:cs="Times New Roman"/>
          <w:b/>
          <w:bCs/>
          <w:color w:val="000000"/>
          <w:sz w:val="24"/>
          <w:szCs w:val="24"/>
        </w:rPr>
        <w:t>两名以上</w:t>
      </w:r>
      <w:r>
        <w:rPr>
          <w:rFonts w:hint="default" w:ascii="Times New Roman" w:hAnsi="Times New Roman" w:eastAsia="宋体" w:cs="Times New Roman"/>
          <w:color w:val="000000"/>
          <w:sz w:val="24"/>
          <w:szCs w:val="24"/>
        </w:rPr>
        <w:t>精神科执业医师进行联合查房和评估。单医生的判断容易被伪装者利用。</w:t>
      </w:r>
    </w:p>
    <w:p w14:paraId="6B3875E3">
      <w:pPr>
        <w:numPr>
          <w:ilvl w:val="0"/>
          <w:numId w:val="11"/>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安保端</w:t>
      </w:r>
      <w:r>
        <w:rPr>
          <w:rFonts w:hint="default" w:ascii="Times New Roman" w:hAnsi="Times New Roman" w:eastAsia="宋体" w:cs="Times New Roman"/>
          <w:color w:val="000000"/>
          <w:sz w:val="24"/>
          <w:szCs w:val="24"/>
        </w:rPr>
        <w:t>：若在公共场合出现疑似患者，且行为异常，应立即通知安保人员或拨打110。告知警方时需强调“疑似精神病患者，但行为可能伪装”，以便警方采取合适的约束和处置方式。</w:t>
      </w:r>
    </w:p>
    <w:p w14:paraId="3085839A">
      <w:pPr>
        <w:pStyle w:val="5"/>
        <w:spacing w:before="105" w:beforeAutospacing="0" w:after="42" w:afterAutospacing="0" w:line="360" w:lineRule="auto"/>
        <w:ind w:firstLine="0" w:firstLineChars="0"/>
        <w:jc w:val="both"/>
        <w:rPr>
          <w:rFonts w:hint="default" w:ascii="黑体" w:hAnsi="宋体" w:eastAsia="黑体" w:cs="黑体"/>
          <w:b/>
          <w:bCs/>
          <w:color w:val="000000"/>
          <w:sz w:val="28"/>
          <w:szCs w:val="28"/>
        </w:rPr>
      </w:pPr>
      <w:r>
        <w:rPr>
          <w:rFonts w:hint="default" w:ascii="黑体" w:hAnsi="宋体" w:eastAsia="黑体" w:cs="黑体"/>
          <w:b/>
          <w:bCs/>
          <w:color w:val="000000"/>
          <w:sz w:val="28"/>
          <w:szCs w:val="28"/>
        </w:rPr>
        <w:t>3. 物理约束与安全防护</w:t>
      </w:r>
    </w:p>
    <w:p w14:paraId="3FAB9A4B">
      <w:pPr>
        <w:spacing w:before="105" w:beforeAutospacing="0" w:after="105" w:afterAutospacing="0" w:line="360" w:lineRule="auto"/>
        <w:ind w:firstLine="480" w:firstLineChars="20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若对方表现出攻击性或极度不合作，为防止其伤害他人或破坏设施，可在征得上级同意或符合紧急避险条件下，依法使用保护性约束措施（如物理约束或药物镇静），将其限制在安全区域内，等待专业鉴定。</w:t>
      </w:r>
    </w:p>
    <w:p w14:paraId="4AC0FA79">
      <w:pPr>
        <w:pStyle w:val="4"/>
        <w:spacing w:before="210" w:beforeAutospacing="0" w:after="105" w:afterAutospacing="0" w:line="360" w:lineRule="auto"/>
        <w:ind w:firstLine="0" w:firstLineChars="0"/>
        <w:jc w:val="both"/>
        <w:rPr>
          <w:rFonts w:hint="default" w:ascii="黑体" w:hAnsi="宋体" w:eastAsia="黑体" w:cs="黑体"/>
          <w:b/>
          <w:bCs/>
          <w:color w:val="000000"/>
          <w:sz w:val="30"/>
          <w:szCs w:val="30"/>
        </w:rPr>
      </w:pPr>
      <w:r>
        <w:rPr>
          <w:rFonts w:hint="default" w:ascii="黑体" w:hAnsi="宋体" w:eastAsia="黑体" w:cs="黑体"/>
          <w:b/>
          <w:bCs/>
          <w:color w:val="000000"/>
          <w:sz w:val="30"/>
          <w:szCs w:val="30"/>
        </w:rPr>
        <w:t>第二阶段：专业鉴定与甄别（定性质、明责任）</w:t>
      </w:r>
    </w:p>
    <w:p w14:paraId="7392319D">
      <w:pPr>
        <w:spacing w:before="105" w:beforeAutospacing="0" w:after="105" w:afterAutospacing="0" w:line="360" w:lineRule="auto"/>
        <w:ind w:firstLine="480" w:firstLineChars="20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这是最关键的环节，目的是通过科学手段区分“真病”与“假病”。</w:t>
      </w:r>
    </w:p>
    <w:p w14:paraId="4922FD3A">
      <w:pPr>
        <w:pStyle w:val="5"/>
        <w:spacing w:before="105" w:beforeAutospacing="0" w:after="42" w:afterAutospacing="0" w:line="360" w:lineRule="auto"/>
        <w:ind w:firstLine="0" w:firstLineChars="0"/>
        <w:jc w:val="both"/>
        <w:rPr>
          <w:rFonts w:hint="default" w:ascii="黑体" w:hAnsi="宋体" w:eastAsia="黑体" w:cs="黑体"/>
          <w:b/>
          <w:bCs/>
          <w:color w:val="000000"/>
          <w:sz w:val="28"/>
          <w:szCs w:val="28"/>
        </w:rPr>
      </w:pPr>
      <w:r>
        <w:rPr>
          <w:rFonts w:hint="default" w:ascii="黑体" w:hAnsi="宋体" w:eastAsia="黑体" w:cs="黑体"/>
          <w:b/>
          <w:bCs/>
          <w:color w:val="000000"/>
          <w:sz w:val="28"/>
          <w:szCs w:val="28"/>
        </w:rPr>
        <w:t>1. 启动“再次诊断”与“医学鉴定”</w:t>
      </w:r>
    </w:p>
    <w:p w14:paraId="0A546A52">
      <w:pPr>
        <w:numPr>
          <w:ilvl w:val="0"/>
          <w:numId w:val="12"/>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内部复核</w:t>
      </w:r>
      <w:r>
        <w:rPr>
          <w:rFonts w:hint="default" w:ascii="Times New Roman" w:hAnsi="Times New Roman" w:eastAsia="宋体" w:cs="Times New Roman"/>
          <w:color w:val="000000"/>
          <w:sz w:val="24"/>
          <w:szCs w:val="24"/>
        </w:rPr>
        <w:t>：若初次诊断存疑，依据《精神卫生法》，患者或监护人有权要求再次诊断。这通常由原医疗机构或其他具有资质的医院指派</w:t>
      </w:r>
      <w:r>
        <w:rPr>
          <w:rFonts w:hint="default" w:ascii="Times New Roman" w:hAnsi="Times New Roman" w:eastAsia="宋体" w:cs="Times New Roman"/>
          <w:b/>
          <w:bCs/>
          <w:color w:val="000000"/>
          <w:sz w:val="24"/>
          <w:szCs w:val="24"/>
        </w:rPr>
        <w:t>2名初次诊断医师以外</w:t>
      </w:r>
      <w:r>
        <w:rPr>
          <w:rFonts w:hint="default" w:ascii="Times New Roman" w:hAnsi="Times New Roman" w:eastAsia="宋体" w:cs="Times New Roman"/>
          <w:color w:val="000000"/>
          <w:sz w:val="24"/>
          <w:szCs w:val="24"/>
        </w:rPr>
        <w:t>的精神科专家进行。</w:t>
      </w:r>
    </w:p>
    <w:p w14:paraId="5A54565F">
      <w:pPr>
        <w:numPr>
          <w:ilvl w:val="0"/>
          <w:numId w:val="12"/>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司法鉴定</w:t>
      </w:r>
      <w:r>
        <w:rPr>
          <w:rFonts w:hint="default" w:ascii="Times New Roman" w:hAnsi="Times New Roman" w:eastAsia="宋体" w:cs="Times New Roman"/>
          <w:color w:val="000000"/>
          <w:sz w:val="24"/>
          <w:szCs w:val="24"/>
        </w:rPr>
        <w:t>：若涉及法律纠纷（如为了逃避刑事责任而装病），则需启动</w:t>
      </w:r>
      <w:r>
        <w:rPr>
          <w:rFonts w:hint="default" w:ascii="Times New Roman" w:hAnsi="Times New Roman" w:eastAsia="宋体" w:cs="Times New Roman"/>
          <w:b/>
          <w:bCs/>
          <w:color w:val="000000"/>
          <w:sz w:val="24"/>
          <w:szCs w:val="24"/>
        </w:rPr>
        <w:t>精神疾病司法鉴定</w:t>
      </w:r>
      <w:r>
        <w:rPr>
          <w:rFonts w:hint="default" w:ascii="Times New Roman" w:hAnsi="Times New Roman" w:eastAsia="宋体" w:cs="Times New Roman"/>
          <w:color w:val="000000"/>
          <w:sz w:val="24"/>
          <w:szCs w:val="24"/>
        </w:rPr>
        <w:t>。这是最权威的甄别手段，由司法鉴定机构进行，结果具有法律效力。</w:t>
      </w:r>
    </w:p>
    <w:p w14:paraId="41B86AB8">
      <w:pPr>
        <w:pStyle w:val="5"/>
        <w:spacing w:before="105" w:beforeAutospacing="0" w:after="42" w:afterAutospacing="0" w:line="360" w:lineRule="auto"/>
        <w:ind w:firstLine="0" w:firstLineChars="0"/>
        <w:jc w:val="both"/>
        <w:rPr>
          <w:rFonts w:hint="default" w:ascii="黑体" w:hAnsi="宋体" w:eastAsia="黑体" w:cs="黑体"/>
          <w:b/>
          <w:bCs/>
          <w:color w:val="000000"/>
          <w:sz w:val="28"/>
          <w:szCs w:val="28"/>
        </w:rPr>
      </w:pPr>
      <w:r>
        <w:rPr>
          <w:rFonts w:hint="default" w:ascii="黑体" w:hAnsi="宋体" w:eastAsia="黑体" w:cs="黑体"/>
          <w:b/>
          <w:bCs/>
          <w:color w:val="000000"/>
          <w:sz w:val="28"/>
          <w:szCs w:val="28"/>
        </w:rPr>
        <w:t>2. 运用专业评估工具</w:t>
      </w:r>
    </w:p>
    <w:p w14:paraId="6A2ABA9F">
      <w:pPr>
        <w:numPr>
          <w:ilvl w:val="0"/>
          <w:numId w:val="13"/>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心理测查</w:t>
      </w:r>
      <w:r>
        <w:rPr>
          <w:rFonts w:hint="default" w:ascii="Times New Roman" w:hAnsi="Times New Roman" w:eastAsia="宋体" w:cs="Times New Roman"/>
          <w:color w:val="000000"/>
          <w:sz w:val="24"/>
          <w:szCs w:val="24"/>
        </w:rPr>
        <w:t>：使用MMPI（明尼苏达多项人格问卷）等心理测查工具，分析其人格特征和反应模式。伪装者往往在测查中表现出不真实的高分或特定的量表模式。</w:t>
      </w:r>
    </w:p>
    <w:p w14:paraId="5C724B1E">
      <w:pPr>
        <w:numPr>
          <w:ilvl w:val="0"/>
          <w:numId w:val="13"/>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生理检查</w:t>
      </w:r>
      <w:r>
        <w:rPr>
          <w:rFonts w:hint="default" w:ascii="Times New Roman" w:hAnsi="Times New Roman" w:eastAsia="宋体" w:cs="Times New Roman"/>
          <w:color w:val="000000"/>
          <w:sz w:val="24"/>
          <w:szCs w:val="24"/>
        </w:rPr>
        <w:t>：排除器质性病变（如脑部肿瘤、代谢性疾病）导致的精神症状，确保诊断的准确性。</w:t>
      </w:r>
    </w:p>
    <w:p w14:paraId="051D2413">
      <w:pPr>
        <w:pStyle w:val="4"/>
        <w:spacing w:before="210" w:beforeAutospacing="0" w:after="105" w:afterAutospacing="0" w:line="360" w:lineRule="auto"/>
        <w:ind w:firstLine="0" w:firstLineChars="0"/>
        <w:jc w:val="both"/>
        <w:rPr>
          <w:rFonts w:hint="default" w:ascii="黑体" w:hAnsi="宋体" w:eastAsia="黑体" w:cs="黑体"/>
          <w:b/>
          <w:bCs/>
          <w:color w:val="000000"/>
          <w:sz w:val="30"/>
          <w:szCs w:val="30"/>
        </w:rPr>
      </w:pPr>
      <w:r>
        <w:rPr>
          <w:rFonts w:hint="default" w:ascii="黑体" w:hAnsi="宋体" w:eastAsia="黑体" w:cs="黑体"/>
          <w:b/>
          <w:bCs/>
          <w:color w:val="000000"/>
          <w:sz w:val="30"/>
          <w:szCs w:val="30"/>
        </w:rPr>
        <w:t>第三阶段：分类处置与后续管理（定去留、追责任）</w:t>
      </w:r>
    </w:p>
    <w:p w14:paraId="46DF672A">
      <w:pPr>
        <w:spacing w:before="105" w:beforeAutospacing="0" w:after="105" w:afterAutospacing="0" w:line="360" w:lineRule="auto"/>
        <w:ind w:firstLine="480" w:firstLineChars="20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根据鉴定结果，采取不同的处置措施：</w:t>
      </w:r>
    </w:p>
    <w:p w14:paraId="03FE0BF3">
      <w:pPr>
        <w:pStyle w:val="5"/>
        <w:spacing w:before="105" w:beforeAutospacing="0" w:after="42" w:afterAutospacing="0" w:line="360" w:lineRule="auto"/>
        <w:ind w:firstLine="0" w:firstLineChars="0"/>
        <w:jc w:val="both"/>
        <w:rPr>
          <w:rFonts w:hint="default" w:ascii="黑体" w:hAnsi="宋体" w:eastAsia="黑体" w:cs="黑体"/>
          <w:b/>
          <w:bCs/>
          <w:color w:val="000000"/>
          <w:sz w:val="28"/>
          <w:szCs w:val="28"/>
        </w:rPr>
      </w:pPr>
      <w:r>
        <w:rPr>
          <w:rFonts w:hint="default" w:ascii="黑体" w:hAnsi="宋体" w:eastAsia="黑体" w:cs="黑体"/>
          <w:b/>
          <w:bCs/>
          <w:color w:val="000000"/>
          <w:sz w:val="28"/>
          <w:szCs w:val="28"/>
        </w:rPr>
        <w:t>1. 确诊为“真精神病”</w:t>
      </w:r>
    </w:p>
    <w:p w14:paraId="3012954E">
      <w:pPr>
        <w:numPr>
          <w:ilvl w:val="0"/>
          <w:numId w:val="14"/>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依法治疗</w:t>
      </w:r>
      <w:r>
        <w:rPr>
          <w:rFonts w:hint="default" w:ascii="Times New Roman" w:hAnsi="Times New Roman" w:eastAsia="宋体" w:cs="Times New Roman"/>
          <w:color w:val="000000"/>
          <w:sz w:val="24"/>
          <w:szCs w:val="24"/>
        </w:rPr>
        <w:t>：若鉴定确认患有精神障碍，应根据病情严重程度决定是否需要住院治疗。对于有自伤、伤人危险的患者，可依法进行非自愿住院治疗。</w:t>
      </w:r>
    </w:p>
    <w:p w14:paraId="7FFF27B1">
      <w:pPr>
        <w:numPr>
          <w:ilvl w:val="0"/>
          <w:numId w:val="14"/>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社会救助</w:t>
      </w:r>
      <w:r>
        <w:rPr>
          <w:rFonts w:hint="default" w:ascii="Times New Roman" w:hAnsi="Times New Roman" w:eastAsia="宋体" w:cs="Times New Roman"/>
          <w:color w:val="000000"/>
          <w:sz w:val="24"/>
          <w:szCs w:val="24"/>
        </w:rPr>
        <w:t>：对于无监护人、无经济来源的流浪精神病患者，由民政部门和公安机关协助送医，确保其得到救治。</w:t>
      </w:r>
    </w:p>
    <w:p w14:paraId="7BEB02F6">
      <w:pPr>
        <w:pStyle w:val="5"/>
        <w:spacing w:before="105" w:beforeAutospacing="0" w:after="42" w:afterAutospacing="0" w:line="360" w:lineRule="auto"/>
        <w:ind w:firstLine="0" w:firstLineChars="0"/>
        <w:jc w:val="both"/>
        <w:rPr>
          <w:rFonts w:hint="default" w:ascii="黑体" w:hAnsi="宋体" w:eastAsia="黑体" w:cs="黑体"/>
          <w:b/>
          <w:bCs/>
          <w:color w:val="000000"/>
          <w:sz w:val="28"/>
          <w:szCs w:val="28"/>
        </w:rPr>
      </w:pPr>
      <w:r>
        <w:rPr>
          <w:rFonts w:hint="default" w:ascii="黑体" w:hAnsi="宋体" w:eastAsia="黑体" w:cs="黑体"/>
          <w:b/>
          <w:bCs/>
          <w:color w:val="000000"/>
          <w:sz w:val="28"/>
          <w:szCs w:val="28"/>
        </w:rPr>
        <w:t>2. 确诊为“假精神病”（伪装/冒名）</w:t>
      </w:r>
    </w:p>
    <w:p w14:paraId="18186586">
      <w:pPr>
        <w:numPr>
          <w:ilvl w:val="0"/>
          <w:numId w:val="15"/>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终止治疗</w:t>
      </w:r>
      <w:r>
        <w:rPr>
          <w:rFonts w:hint="default" w:ascii="Times New Roman" w:hAnsi="Times New Roman" w:eastAsia="宋体" w:cs="Times New Roman"/>
          <w:color w:val="000000"/>
          <w:sz w:val="24"/>
          <w:szCs w:val="24"/>
        </w:rPr>
        <w:t>：若鉴定证实患者精神状态正常，或通过冒名入院，医疗机构应立即停止针对精神障碍的治疗，并通知家属或监护人接回。</w:t>
      </w:r>
    </w:p>
    <w:p w14:paraId="6C9BFC3E">
      <w:pPr>
        <w:numPr>
          <w:ilvl w:val="0"/>
          <w:numId w:val="15"/>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追究法律责任</w:t>
      </w:r>
      <w:r>
        <w:rPr>
          <w:rFonts w:hint="default" w:ascii="Times New Roman" w:hAnsi="Times New Roman" w:eastAsia="宋体" w:cs="Times New Roman"/>
          <w:color w:val="000000"/>
          <w:sz w:val="24"/>
          <w:szCs w:val="24"/>
        </w:rPr>
        <w:t>：</w:t>
      </w:r>
    </w:p>
    <w:p w14:paraId="67902111">
      <w:pPr>
        <w:numPr>
          <w:ilvl w:val="1"/>
          <w:numId w:val="15"/>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民事责任</w:t>
      </w:r>
      <w:r>
        <w:rPr>
          <w:rFonts w:hint="default" w:ascii="Times New Roman" w:hAnsi="Times New Roman" w:eastAsia="宋体" w:cs="Times New Roman"/>
          <w:color w:val="000000"/>
          <w:sz w:val="24"/>
          <w:szCs w:val="24"/>
        </w:rPr>
        <w:t>：因虚假陈述导致的医疗费用，由责任人承担。</w:t>
      </w:r>
    </w:p>
    <w:p w14:paraId="3C4D09B7">
      <w:pPr>
        <w:numPr>
          <w:ilvl w:val="1"/>
          <w:numId w:val="15"/>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行政/刑事责任</w:t>
      </w:r>
      <w:r>
        <w:rPr>
          <w:rFonts w:hint="default" w:ascii="Times New Roman" w:hAnsi="Times New Roman" w:eastAsia="宋体" w:cs="Times New Roman"/>
          <w:color w:val="000000"/>
          <w:sz w:val="24"/>
          <w:szCs w:val="24"/>
        </w:rPr>
        <w:t>：若为了逃避法律制裁（如杀人、抢劫后装精神病）而故意伪装，一旦被司法鉴定确认，将依法恢复其刑事责任能力，并追究其原本的法律责任。情节严重的可能构成伪证罪或妨害公务罪。</w:t>
      </w:r>
    </w:p>
    <w:p w14:paraId="380C8A8F">
      <w:pPr>
        <w:pStyle w:val="4"/>
        <w:spacing w:before="210" w:beforeAutospacing="0" w:after="105" w:afterAutospacing="0" w:line="360" w:lineRule="auto"/>
        <w:ind w:firstLine="0" w:firstLineChars="0"/>
        <w:jc w:val="both"/>
        <w:rPr>
          <w:rFonts w:hint="default" w:ascii="黑体" w:hAnsi="宋体" w:eastAsia="黑体" w:cs="黑体"/>
          <w:b/>
          <w:bCs/>
          <w:color w:val="000000"/>
          <w:sz w:val="30"/>
          <w:szCs w:val="30"/>
        </w:rPr>
      </w:pPr>
      <w:r>
        <w:rPr>
          <w:rFonts w:hint="default" w:ascii="黑体" w:hAnsi="宋体" w:eastAsia="黑体" w:cs="黑体"/>
          <w:b/>
          <w:bCs/>
          <w:color w:val="000000"/>
          <w:sz w:val="30"/>
          <w:szCs w:val="30"/>
        </w:rPr>
        <w:t>★ 特别注意事项：避免误判与风险</w:t>
      </w:r>
    </w:p>
    <w:p w14:paraId="07D0390C">
      <w:pPr>
        <w:spacing w:before="105" w:beforeAutospacing="0" w:after="105" w:afterAutospacing="0" w:line="360" w:lineRule="auto"/>
        <w:ind w:firstLine="480" w:firstLineChars="20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在处理此类情况时，必须注意以下几点，以免引发新的法律风险或社会矛盾：</w:t>
      </w:r>
    </w:p>
    <w:p w14:paraId="4F2EE7D0">
      <w:pPr>
        <w:numPr>
          <w:ilvl w:val="0"/>
          <w:numId w:val="16"/>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避免“被精神病”</w:t>
      </w:r>
      <w:r>
        <w:rPr>
          <w:rFonts w:hint="default" w:ascii="Times New Roman" w:hAnsi="Times New Roman" w:eastAsia="宋体" w:cs="Times New Roman"/>
          <w:color w:val="000000"/>
          <w:sz w:val="24"/>
          <w:szCs w:val="24"/>
        </w:rPr>
        <w:t>：在怀疑对方是“假精神病”时，必须保持高度审慎。“被精神病”（即真正的患者被误判为健康人并被拒之门外）是严重的侵权行为。如果对方确实患有精神疾病，强行拒绝治疗可能导致其伤害自己或他人。</w:t>
      </w:r>
    </w:p>
    <w:p w14:paraId="61D9C528">
      <w:pPr>
        <w:numPr>
          <w:ilvl w:val="0"/>
          <w:numId w:val="16"/>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证据留存</w:t>
      </w:r>
      <w:r>
        <w:rPr>
          <w:rFonts w:hint="default" w:ascii="Times New Roman" w:hAnsi="Times New Roman" w:eastAsia="宋体" w:cs="Times New Roman"/>
          <w:color w:val="000000"/>
          <w:sz w:val="24"/>
          <w:szCs w:val="24"/>
        </w:rPr>
        <w:t>：在怀疑对方伪装时，务必做好</w:t>
      </w:r>
      <w:r>
        <w:rPr>
          <w:rFonts w:hint="default" w:ascii="Times New Roman" w:hAnsi="Times New Roman" w:eastAsia="宋体" w:cs="Times New Roman"/>
          <w:b/>
          <w:bCs/>
          <w:color w:val="000000"/>
          <w:sz w:val="24"/>
          <w:szCs w:val="24"/>
        </w:rPr>
        <w:t>录音、录像</w:t>
      </w:r>
      <w:r>
        <w:rPr>
          <w:rFonts w:hint="default" w:ascii="Times New Roman" w:hAnsi="Times New Roman" w:eastAsia="宋体" w:cs="Times New Roman"/>
          <w:color w:val="000000"/>
          <w:sz w:val="24"/>
          <w:szCs w:val="24"/>
        </w:rPr>
        <w:t>和</w:t>
      </w:r>
      <w:r>
        <w:rPr>
          <w:rFonts w:hint="default" w:ascii="Times New Roman" w:hAnsi="Times New Roman" w:eastAsia="宋体" w:cs="Times New Roman"/>
          <w:b/>
          <w:bCs/>
          <w:color w:val="000000"/>
          <w:sz w:val="24"/>
          <w:szCs w:val="24"/>
        </w:rPr>
        <w:t>详细的病历记录</w:t>
      </w:r>
      <w:r>
        <w:rPr>
          <w:rFonts w:hint="default" w:ascii="Times New Roman" w:hAnsi="Times New Roman" w:eastAsia="宋体" w:cs="Times New Roman"/>
          <w:color w:val="000000"/>
          <w:sz w:val="24"/>
          <w:szCs w:val="24"/>
        </w:rPr>
        <w:t>。这些是后续进行再次诊断或司法鉴定的关键证据，也是保护医院和医生免受诬告的重要盾牌。</w:t>
      </w:r>
    </w:p>
    <w:p w14:paraId="0F10CBE0">
      <w:pPr>
        <w:numPr>
          <w:ilvl w:val="0"/>
          <w:numId w:val="16"/>
        </w:numPr>
        <w:spacing w:before="0" w:beforeAutospacing="0" w:after="42" w:afterAutospacing="0" w:line="360" w:lineRule="auto"/>
        <w:ind w:left="780" w:leftChars="200" w:hanging="36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b/>
          <w:bCs/>
          <w:color w:val="000000"/>
          <w:sz w:val="24"/>
          <w:szCs w:val="24"/>
        </w:rPr>
        <w:t>遵循法律程序</w:t>
      </w:r>
      <w:r>
        <w:rPr>
          <w:rFonts w:hint="default" w:ascii="Times New Roman" w:hAnsi="Times New Roman" w:eastAsia="宋体" w:cs="Times New Roman"/>
          <w:color w:val="000000"/>
          <w:sz w:val="24"/>
          <w:szCs w:val="24"/>
        </w:rPr>
        <w:t>：对于非自愿住院，必须严格遵循《精神卫生法》规定的程序（如3日内复诊、监护人不同意时的报告制度等），不得擅自限制人身自由。</w:t>
      </w:r>
    </w:p>
    <w:p w14:paraId="2FD7EA6D">
      <w:pPr>
        <w:pStyle w:val="3"/>
        <w:spacing w:before="315" w:beforeAutospacing="0" w:after="210" w:afterAutospacing="0" w:line="360" w:lineRule="auto"/>
        <w:ind w:firstLine="0" w:firstLineChars="0"/>
        <w:jc w:val="both"/>
        <w:rPr>
          <w:rFonts w:hint="default" w:ascii="黑体" w:hAnsi="宋体" w:eastAsia="黑体" w:cs="黑体"/>
          <w:b/>
          <w:bCs/>
          <w:color w:val="000000"/>
          <w:sz w:val="32"/>
          <w:szCs w:val="32"/>
        </w:rPr>
      </w:pPr>
      <w:r>
        <w:rPr>
          <w:rFonts w:hint="default" w:ascii="黑体" w:hAnsi="宋体" w:eastAsia="黑体" w:cs="黑体"/>
          <w:b/>
          <w:bCs/>
          <w:color w:val="000000"/>
          <w:sz w:val="32"/>
          <w:szCs w:val="32"/>
        </w:rPr>
        <w:t>结语</w:t>
      </w:r>
    </w:p>
    <w:p w14:paraId="1B7E75D5">
      <w:pPr>
        <w:spacing w:before="105" w:beforeAutospacing="0" w:after="105" w:afterAutospacing="0" w:line="360" w:lineRule="auto"/>
        <w:ind w:firstLine="480" w:firstLineChars="200"/>
        <w:jc w:val="both"/>
        <w:rPr>
          <w:rFonts w:hint="default" w:ascii="Times New Roman" w:hAnsi="Times New Roman" w:eastAsia="宋体" w:cs="Times New Roman"/>
          <w:color w:val="000000"/>
          <w:sz w:val="24"/>
          <w:szCs w:val="24"/>
        </w:rPr>
      </w:pPr>
      <w:r>
        <w:rPr>
          <w:rFonts w:hint="default" w:ascii="Times New Roman" w:hAnsi="Times New Roman" w:eastAsia="宋体" w:cs="Times New Roman"/>
          <w:color w:val="000000"/>
          <w:sz w:val="24"/>
          <w:szCs w:val="24"/>
        </w:rPr>
        <w:t>处理疑似“假精神病患者”的核心在于</w:t>
      </w:r>
      <w:r>
        <w:rPr>
          <w:rFonts w:hint="default" w:ascii="Times New Roman" w:hAnsi="Times New Roman" w:eastAsia="宋体" w:cs="Times New Roman"/>
          <w:b/>
          <w:bCs/>
          <w:color w:val="000000"/>
          <w:sz w:val="24"/>
          <w:szCs w:val="24"/>
        </w:rPr>
        <w:t>“以事实为依据，以法律为准绳”</w:t>
      </w:r>
      <w:r>
        <w:rPr>
          <w:rFonts w:hint="default" w:ascii="Times New Roman" w:hAnsi="Times New Roman" w:eastAsia="宋体" w:cs="Times New Roman"/>
          <w:color w:val="000000"/>
          <w:sz w:val="24"/>
          <w:szCs w:val="24"/>
        </w:rPr>
        <w:t>。既要防止真正的患者被拒之门外，也要严厉打击利用精神障碍进行违法犯罪或逃避责任的行为，实现医疗安全与社会公平的平衡。</w:t>
      </w:r>
    </w:p>
    <w:p w14:paraId="2FE25572">
      <w:pPr>
        <w:rPr>
          <w:rFonts w:hint="default"/>
          <w:lang w:eastAsia="zh-CN"/>
        </w:rPr>
      </w:pPr>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黑体">
    <w:altName w:val="汉仪中黑KW"/>
    <w:panose1 w:val="00000000000000000000"/>
    <w:charset w:val="00"/>
    <w:family w:val="auto"/>
    <w:pitch w:val="default"/>
    <w:sig w:usb0="00000000" w:usb1="00000000" w:usb2="00000000" w:usb3="00000000" w:csb0="00000000" w:csb1="00000000"/>
  </w:font>
  <w:font w:name="楷体_GB2312">
    <w:altName w:val="汉仪楷体KW"/>
    <w:panose1 w:val="00000000000000000000"/>
    <w:charset w:val="00"/>
    <w:family w:val="auto"/>
    <w:pitch w:val="default"/>
    <w:sig w:usb0="00000000" w:usb1="00000000" w:usb2="00000000" w:usb3="00000000" w:csb0="00000000" w:csb1="00000000"/>
  </w:font>
  <w:font w:name="汉仪楷体KW">
    <w:panose1 w:val="00020600040101010101"/>
    <w:charset w:val="86"/>
    <w:family w:val="auto"/>
    <w:pitch w:val="default"/>
    <w:sig w:usb0="A00002BF" w:usb1="18EF7CFA" w:usb2="00000016"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AFF" w:usb1="C0007843"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771ED1"/>
    <w:multiLevelType w:val="singleLevel"/>
    <w:tmpl w:val="9F771ED1"/>
    <w:lvl w:ilvl="0" w:tentative="0">
      <w:start w:val="1"/>
      <w:numFmt w:val="bullet"/>
      <w:lvlText w:val=""/>
      <w:lvlJc w:val="left"/>
      <w:pPr>
        <w:ind w:left="720" w:hanging="360"/>
      </w:pPr>
      <w:rPr>
        <w:rFonts w:hint="default" w:ascii="Symbol" w:hAnsi="Symbol" w:cs="Symbol"/>
        <w:sz w:val="20"/>
      </w:rPr>
    </w:lvl>
  </w:abstractNum>
  <w:abstractNum w:abstractNumId="1">
    <w:nsid w:val="BABF6159"/>
    <w:multiLevelType w:val="singleLevel"/>
    <w:tmpl w:val="BABF6159"/>
    <w:lvl w:ilvl="0" w:tentative="0">
      <w:start w:val="1"/>
      <w:numFmt w:val="bullet"/>
      <w:lvlText w:val=""/>
      <w:lvlJc w:val="left"/>
      <w:pPr>
        <w:ind w:left="720" w:hanging="360"/>
      </w:pPr>
      <w:rPr>
        <w:rFonts w:hint="default" w:ascii="Symbol" w:hAnsi="Symbol" w:cs="Symbol"/>
        <w:sz w:val="20"/>
      </w:rPr>
    </w:lvl>
  </w:abstractNum>
  <w:abstractNum w:abstractNumId="2">
    <w:nsid w:val="BBED4641"/>
    <w:multiLevelType w:val="singleLevel"/>
    <w:tmpl w:val="BBED4641"/>
    <w:lvl w:ilvl="0" w:tentative="0">
      <w:start w:val="1"/>
      <w:numFmt w:val="bullet"/>
      <w:lvlText w:val=""/>
      <w:lvlJc w:val="left"/>
      <w:pPr>
        <w:ind w:left="720" w:hanging="360"/>
      </w:pPr>
      <w:rPr>
        <w:rFonts w:hint="default" w:ascii="Symbol" w:hAnsi="Symbol" w:cs="Symbol"/>
        <w:sz w:val="20"/>
      </w:rPr>
    </w:lvl>
  </w:abstractNum>
  <w:abstractNum w:abstractNumId="3">
    <w:nsid w:val="BFDD15C8"/>
    <w:multiLevelType w:val="singleLevel"/>
    <w:tmpl w:val="BFDD15C8"/>
    <w:lvl w:ilvl="0" w:tentative="0">
      <w:start w:val="1"/>
      <w:numFmt w:val="bullet"/>
      <w:lvlText w:val=""/>
      <w:lvlJc w:val="left"/>
      <w:pPr>
        <w:ind w:left="720" w:hanging="360"/>
      </w:pPr>
      <w:rPr>
        <w:rFonts w:hint="default" w:ascii="Symbol" w:hAnsi="Symbol" w:cs="Symbol"/>
        <w:sz w:val="20"/>
      </w:rPr>
    </w:lvl>
  </w:abstractNum>
  <w:abstractNum w:abstractNumId="4">
    <w:nsid w:val="CADF08DE"/>
    <w:multiLevelType w:val="singleLevel"/>
    <w:tmpl w:val="CADF08DE"/>
    <w:lvl w:ilvl="0" w:tentative="0">
      <w:start w:val="1"/>
      <w:numFmt w:val="decimal"/>
      <w:lvlText w:val="%1."/>
      <w:lvlJc w:val="left"/>
      <w:pPr>
        <w:ind w:left="720" w:hanging="360"/>
      </w:pPr>
      <w:rPr>
        <w:sz w:val="24"/>
      </w:rPr>
    </w:lvl>
  </w:abstractNum>
  <w:abstractNum w:abstractNumId="5">
    <w:nsid w:val="D71F8819"/>
    <w:multiLevelType w:val="singleLevel"/>
    <w:tmpl w:val="D71F8819"/>
    <w:lvl w:ilvl="0" w:tentative="0">
      <w:start w:val="1"/>
      <w:numFmt w:val="bullet"/>
      <w:lvlText w:val=""/>
      <w:lvlJc w:val="left"/>
      <w:pPr>
        <w:ind w:left="720" w:hanging="360"/>
      </w:pPr>
      <w:rPr>
        <w:rFonts w:hint="default" w:ascii="Symbol" w:hAnsi="Symbol" w:cs="Symbol"/>
        <w:sz w:val="20"/>
      </w:rPr>
    </w:lvl>
  </w:abstractNum>
  <w:abstractNum w:abstractNumId="6">
    <w:nsid w:val="D76A9DFC"/>
    <w:multiLevelType w:val="singleLevel"/>
    <w:tmpl w:val="D76A9DFC"/>
    <w:lvl w:ilvl="0" w:tentative="0">
      <w:start w:val="1"/>
      <w:numFmt w:val="bullet"/>
      <w:lvlText w:val=""/>
      <w:lvlJc w:val="left"/>
      <w:pPr>
        <w:ind w:left="720" w:hanging="360"/>
      </w:pPr>
      <w:rPr>
        <w:rFonts w:hint="default" w:ascii="Symbol" w:hAnsi="Symbol" w:cs="Symbol"/>
        <w:sz w:val="20"/>
      </w:rPr>
    </w:lvl>
  </w:abstractNum>
  <w:abstractNum w:abstractNumId="7">
    <w:nsid w:val="DFCF1B38"/>
    <w:multiLevelType w:val="singleLevel"/>
    <w:tmpl w:val="DFCF1B38"/>
    <w:lvl w:ilvl="0" w:tentative="0">
      <w:start w:val="1"/>
      <w:numFmt w:val="bullet"/>
      <w:lvlText w:val=""/>
      <w:lvlJc w:val="left"/>
      <w:pPr>
        <w:ind w:left="720" w:hanging="360"/>
      </w:pPr>
      <w:rPr>
        <w:rFonts w:hint="default" w:ascii="Symbol" w:hAnsi="Symbol" w:cs="Symbol"/>
        <w:sz w:val="20"/>
      </w:rPr>
    </w:lvl>
  </w:abstractNum>
  <w:abstractNum w:abstractNumId="8">
    <w:nsid w:val="E7AF3E58"/>
    <w:multiLevelType w:val="multilevel"/>
    <w:tmpl w:val="E7AF3E58"/>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9">
    <w:nsid w:val="F2FDF91C"/>
    <w:multiLevelType w:val="singleLevel"/>
    <w:tmpl w:val="F2FDF91C"/>
    <w:lvl w:ilvl="0" w:tentative="0">
      <w:start w:val="1"/>
      <w:numFmt w:val="bullet"/>
      <w:lvlText w:val=""/>
      <w:lvlJc w:val="left"/>
      <w:pPr>
        <w:ind w:left="720" w:hanging="360"/>
      </w:pPr>
      <w:rPr>
        <w:rFonts w:hint="default" w:ascii="Symbol" w:hAnsi="Symbol" w:cs="Symbol"/>
        <w:sz w:val="20"/>
      </w:rPr>
    </w:lvl>
  </w:abstractNum>
  <w:abstractNum w:abstractNumId="10">
    <w:nsid w:val="FCEF3257"/>
    <w:multiLevelType w:val="singleLevel"/>
    <w:tmpl w:val="FCEF3257"/>
    <w:lvl w:ilvl="0" w:tentative="0">
      <w:start w:val="1"/>
      <w:numFmt w:val="bullet"/>
      <w:lvlText w:val=""/>
      <w:lvlJc w:val="left"/>
      <w:pPr>
        <w:ind w:left="720" w:hanging="360"/>
      </w:pPr>
      <w:rPr>
        <w:rFonts w:hint="default" w:ascii="Symbol" w:hAnsi="Symbol" w:cs="Symbol"/>
        <w:sz w:val="20"/>
      </w:rPr>
    </w:lvl>
  </w:abstractNum>
  <w:abstractNum w:abstractNumId="11">
    <w:nsid w:val="FEBD34D0"/>
    <w:multiLevelType w:val="singleLevel"/>
    <w:tmpl w:val="FEBD34D0"/>
    <w:lvl w:ilvl="0" w:tentative="0">
      <w:start w:val="1"/>
      <w:numFmt w:val="bullet"/>
      <w:lvlText w:val=""/>
      <w:lvlJc w:val="left"/>
      <w:pPr>
        <w:ind w:left="720" w:hanging="360"/>
      </w:pPr>
      <w:rPr>
        <w:rFonts w:hint="default" w:ascii="Symbol" w:hAnsi="Symbol" w:cs="Symbol"/>
        <w:sz w:val="20"/>
      </w:rPr>
    </w:lvl>
  </w:abstractNum>
  <w:abstractNum w:abstractNumId="12">
    <w:nsid w:val="FF7F9FD7"/>
    <w:multiLevelType w:val="singleLevel"/>
    <w:tmpl w:val="FF7F9FD7"/>
    <w:lvl w:ilvl="0" w:tentative="0">
      <w:start w:val="1"/>
      <w:numFmt w:val="bullet"/>
      <w:lvlText w:val=""/>
      <w:lvlJc w:val="left"/>
      <w:pPr>
        <w:ind w:left="720" w:hanging="360"/>
      </w:pPr>
      <w:rPr>
        <w:rFonts w:hint="default" w:ascii="Symbol" w:hAnsi="Symbol" w:cs="Symbol"/>
        <w:sz w:val="20"/>
      </w:rPr>
    </w:lvl>
  </w:abstractNum>
  <w:abstractNum w:abstractNumId="13">
    <w:nsid w:val="2FFAE5D3"/>
    <w:multiLevelType w:val="singleLevel"/>
    <w:tmpl w:val="2FFAE5D3"/>
    <w:lvl w:ilvl="0" w:tentative="0">
      <w:start w:val="1"/>
      <w:numFmt w:val="bullet"/>
      <w:lvlText w:val=""/>
      <w:lvlJc w:val="left"/>
      <w:pPr>
        <w:ind w:left="720" w:hanging="360"/>
      </w:pPr>
      <w:rPr>
        <w:rFonts w:hint="default" w:ascii="Symbol" w:hAnsi="Symbol" w:cs="Symbol"/>
        <w:sz w:val="20"/>
      </w:rPr>
    </w:lvl>
  </w:abstractNum>
  <w:abstractNum w:abstractNumId="14">
    <w:nsid w:val="35FF386C"/>
    <w:multiLevelType w:val="singleLevel"/>
    <w:tmpl w:val="35FF386C"/>
    <w:lvl w:ilvl="0" w:tentative="0">
      <w:start w:val="1"/>
      <w:numFmt w:val="bullet"/>
      <w:lvlText w:val=""/>
      <w:lvlJc w:val="left"/>
      <w:pPr>
        <w:ind w:left="720" w:hanging="360"/>
      </w:pPr>
      <w:rPr>
        <w:rFonts w:hint="default" w:ascii="Symbol" w:hAnsi="Symbol" w:cs="Symbol"/>
        <w:sz w:val="20"/>
      </w:rPr>
    </w:lvl>
  </w:abstractNum>
  <w:abstractNum w:abstractNumId="15">
    <w:nsid w:val="7EB467F9"/>
    <w:multiLevelType w:val="singleLevel"/>
    <w:tmpl w:val="7EB467F9"/>
    <w:lvl w:ilvl="0" w:tentative="0">
      <w:start w:val="1"/>
      <w:numFmt w:val="bullet"/>
      <w:lvlText w:val=""/>
      <w:lvlJc w:val="left"/>
      <w:pPr>
        <w:ind w:left="720" w:hanging="360"/>
      </w:pPr>
      <w:rPr>
        <w:rFonts w:hint="default" w:ascii="Symbol" w:hAnsi="Symbol" w:cs="Symbol"/>
        <w:sz w:val="20"/>
      </w:rPr>
    </w:lvl>
  </w:abstractNum>
  <w:num w:numId="1">
    <w:abstractNumId w:val="0"/>
  </w:num>
  <w:num w:numId="2">
    <w:abstractNumId w:val="10"/>
  </w:num>
  <w:num w:numId="3">
    <w:abstractNumId w:val="7"/>
  </w:num>
  <w:num w:numId="4">
    <w:abstractNumId w:val="13"/>
  </w:num>
  <w:num w:numId="5">
    <w:abstractNumId w:val="9"/>
  </w:num>
  <w:num w:numId="6">
    <w:abstractNumId w:val="2"/>
  </w:num>
  <w:num w:numId="7">
    <w:abstractNumId w:val="11"/>
  </w:num>
  <w:num w:numId="8">
    <w:abstractNumId w:val="12"/>
  </w:num>
  <w:num w:numId="9">
    <w:abstractNumId w:val="6"/>
  </w:num>
  <w:num w:numId="10">
    <w:abstractNumId w:val="5"/>
  </w:num>
  <w:num w:numId="11">
    <w:abstractNumId w:val="14"/>
  </w:num>
  <w:num w:numId="12">
    <w:abstractNumId w:val="1"/>
  </w:num>
  <w:num w:numId="13">
    <w:abstractNumId w:val="15"/>
  </w:num>
  <w:num w:numId="14">
    <w:abstractNumId w:val="3"/>
  </w:num>
  <w:num w:numId="15">
    <w:abstractNumId w:val="8"/>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3FBF4DA8"/>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 WWO_wpscloud_20260204164529-ac0352cb9e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2018-05-28T01:24:00Z</dcterms:created>
  <dcterms:modified xsi:type="dcterms:W3CDTF">2026-02-28T23:12:33Z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14482E4536385452E105A36920C1B304_43</vt:lpwstr>
  </property>
</Properties>
</file>