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105c088e9527471d81436247c91c56e4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精神病医院自查自纠与风险评估管理方案</w:t>
      </w:r>
      <w:bookmarkEnd w:id="100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2a81888f405d41229004bbae8d88df87" w:id="1002"/>
      <w:r>
        <w:rPr>
          <w:rFonts w:ascii="黑体" w:hAnsi="黑体" w:cs="黑体" w:eastAsia="黑体"/>
          <w:sz w:val="36"/>
          <w:spacing w:val="0"/>
          <w:b w:val="on"/>
          <w:i w:val="off"/>
        </w:rPr>
        <w:t>一、总体目标与原则</w:t>
      </w:r>
      <w:bookmarkEnd w:id="1002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d7a828e-3414-4cb5-9591-9d04426d2c2c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总体目标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以2026年3月15日为关键节点，全面排查医院在医保基金使用、医疗质量安全、内部管理等方面的风险隐患。通过“地毯式”自查自纠，实现违法违规问题“清仓见底”，确保医保基金安全，保障患者合法权益，推动医院规范化、高质量发展。</w:t>
      </w:r>
      <w:bookmarkEnd w:id="1003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995e80a-8f78-454e-bc2e-3d207b23a2f6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基本原则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坚持问题导向，以近期媒体曝光的典型案例为反面教材，聚焦诱导住院、虚假诊疗、伪造文书、违规收费等核心问题。坚持全覆盖、零容忍，对所有科室、所有诊疗环节、所有工作人员进行排查。坚持标本兼治，既要整改具体问题，又要完善制度机制，堵塞管理漏洞。</w:t>
      </w:r>
      <w:bookmarkEnd w:id="100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69ff7522ef284f8c8ce386aca44fd99e" w:id="1005"/>
      <w:r>
        <w:rPr>
          <w:rFonts w:ascii="黑体" w:hAnsi="黑体" w:cs="黑体" w:eastAsia="黑体"/>
          <w:sz w:val="36"/>
          <w:spacing w:val="0"/>
          <w:b w:val="on"/>
          <w:i w:val="off"/>
        </w:rPr>
        <w:t>二、组织领导与责任分工</w:t>
      </w:r>
      <w:bookmarkEnd w:id="1005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2c5d000-a7a3-4972-a89e-c55438f2724f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成立领导小组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：成立由医院法定代表人任组长，院长、副院长任副组长，医保办、医务科、护理部、财务科、信息科、药剂科等部门负责人为成员的“自查自纠与风险管控领导小组”。</w:t>
      </w:r>
      <w:bookmarkEnd w:id="1006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27fb2e6-b7ce-4740-90af-c125bb9c8384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明确职责分工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：法定代表人是第一责任人，对自查自纠工作负总责。分管院长负责具体组织实施。各临床科室主任是本科室医保与医疗质量的第一责任人。</w:t>
      </w:r>
      <w:bookmarkEnd w:id="1007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ff506c4-e368-4f90-8829-52450c82a417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建立问责机制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：签订《医保基金使用安全责任书》，将自查自纠成效纳入科室及个人绩效考核，对瞒报、漏报或整改不力的，实行“一票否决”，并严肃追究责任。</w:t>
      </w:r>
      <w:bookmarkEnd w:id="1008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ec253134b3314c08b276ddfc26ef48ad" w:id="1009"/>
      <w:r>
        <w:rPr>
          <w:rFonts w:ascii="黑体" w:hAnsi="黑体" w:cs="黑体" w:eastAsia="黑体"/>
          <w:sz w:val="36"/>
          <w:spacing w:val="0"/>
          <w:b w:val="on"/>
          <w:i w:val="off"/>
        </w:rPr>
        <w:t>三、自查自纠重点内容与实施步骤</w:t>
      </w:r>
      <w:bookmarkEnd w:id="1009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1da304734d724d1a812e0239cb01603e" w:id="1010"/>
      <w:r>
        <w:rPr>
          <w:rFonts w:ascii="黑体" w:hAnsi="黑体" w:cs="黑体" w:eastAsia="黑体"/>
          <w:sz w:val="34"/>
          <w:spacing w:val="0"/>
          <w:b w:val="on"/>
          <w:i w:val="off"/>
        </w:rPr>
        <w:t>第一阶段：动员部署与培训（即日起-2月20日）</w:t>
      </w:r>
      <w:bookmarkEnd w:id="1010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e131d6a-066f-4fff-af2f-52fe5dbe46c4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全员培训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：组织全院职工学习《医疗保障基金使用监督管理条例》、《湖南省精神疾病医保支付管理办法》及本次国家医保局集体约谈的精神。</w:t>
      </w:r>
      <w:bookmarkEnd w:id="1011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5168f612-538a-42d9-986d-935642adbcb4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警示教育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：集中观看央视关于湖北精神病院骗保的卧底调查报道，以案为鉴，警钟长鸣，明确“红线”和“底线”。</w:t>
      </w:r>
      <w:bookmarkEnd w:id="1012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567d4150b3c84ad0b71917e8d9765ac1" w:id="1013"/>
      <w:r>
        <w:rPr>
          <w:rFonts w:ascii="黑体" w:hAnsi="黑体" w:cs="黑体" w:eastAsia="黑体"/>
          <w:sz w:val="34"/>
          <w:spacing w:val="0"/>
          <w:b w:val="on"/>
          <w:i w:val="off"/>
        </w:rPr>
        <w:t>第二阶段：全面自查与问题排查（2月21日-3月10日）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17b0bb1cf0e4b388831ec9a500ff476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重点聚焦以下六大领域</w:t>
      </w:r>
      <w:bookmarkEnd w:id="1014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e49afa5-3a39-457d-afc5-806f66ed7cae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患者入院管理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：是否存在诱导住院、虚假住院、降低入院标准（如将无病或轻症人员收治入院）等行为。核查患者入院记录、病情评估表与实际病情是否相符。</w:t>
      </w:r>
      <w:bookmarkEnd w:id="1015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75fe8ad-87b6-436f-b923-c623bcbbfbb3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诊疗行为真实性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：是否存在虚构病情、虚构诊疗项目、伪造医学文书（如病历、护理记录、检查检验报告）等行为。核查诊疗记录与医嘱、收费清单是否一致。</w:t>
      </w:r>
      <w:bookmarkEnd w:id="1016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e2611e7-c482-4d9f-ab63-708a91037ce6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医保收费合规性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：是否存在违规收费、重复收费、分解收费、串换项目收费等行为。重点核查精神科特殊治疗项目（如MECT、经颅磁刺激等）的收费合规性。</w:t>
      </w:r>
      <w:bookmarkEnd w:id="1017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d2dc93d-a57d-43cf-a489-8abfe17a634f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人员资质与行为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：核查医护人员资质是否符合要求，是否存在冒名执业、超范围执业等情况。同时，排查是否存在殴打、虐待、侮辱患者等侵害患者权益的行为。</w:t>
      </w:r>
      <w:bookmarkEnd w:id="1018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b997258d-0676-4b9e-aa44-1ebcd1d3eecf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药品与耗材管理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：核查药品、耗材的采购、入库、出库、使用记录是否账实相符，是否存在虚开药品、耗材套取医保基金的行为。</w:t>
      </w:r>
      <w:bookmarkEnd w:id="1019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5e96314-dd57-40d6-b1da-5ecc2f41b601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信息系统与数据安全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：核查医院信息系统（HIS）数据是否真实、准确、完整，是否存在篡改、伪造上传医保部门的数据。</w:t>
      </w:r>
      <w:bookmarkEnd w:id="1020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a21639187e0341b98ee771d46a66e7ea" w:id="1021"/>
      <w:r>
        <w:rPr>
          <w:rFonts w:ascii="黑体" w:hAnsi="黑体" w:cs="黑体" w:eastAsia="黑体"/>
          <w:sz w:val="34"/>
          <w:spacing w:val="0"/>
          <w:b w:val="on"/>
          <w:i w:val="off"/>
        </w:rPr>
        <w:t>第三阶段：整改落实与报告（3月11日-3月15日）</w:t>
      </w:r>
      <w:bookmarkEnd w:id="1021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577601a-c754-418a-8a1d-041c6ac1d4eb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建立台账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：对自查发现的问题，逐一建立问题清单和整改台账，明确整改措施、责任人和完成时限。</w:t>
      </w:r>
      <w:bookmarkEnd w:id="1022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196a66c-a260-4cd3-9f31-85a7f1531eef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退款处理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：对涉及违法违规使用的医保基金，立即进行核算，并在3月15日前完成退款。</w:t>
      </w:r>
      <w:bookmarkEnd w:id="1023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3162508-6f1f-4175-9526-24025b84764b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提交报告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：形成书面自查自纠报告，经法定代表人签字确认后，按时上报至当地医保部门。</w:t>
      </w:r>
      <w:bookmarkEnd w:id="102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e19a8b0c8a434c5daa0e0e49222f7305" w:id="1025"/>
      <w:r>
        <w:rPr>
          <w:rFonts w:ascii="黑体" w:hAnsi="黑体" w:cs="黑体" w:eastAsia="黑体"/>
          <w:sz w:val="36"/>
          <w:spacing w:val="0"/>
          <w:b w:val="on"/>
          <w:i w:val="off"/>
        </w:rPr>
        <w:t>四、风险评估与预警机制</w:t>
      </w:r>
      <w:bookmarkEnd w:id="102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80f9857d38a4379997a8b53069c1f48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风险识别与评估</w:t>
      </w:r>
      <w:bookmarkEnd w:id="1026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39f9620-b521-4043-8dcf-6b908c7a5137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高风险点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：诱导住院、虚假诊疗、伪造文书、违规收费被列为最高风险等级（红色预警）。</w:t>
      </w:r>
      <w:bookmarkEnd w:id="1027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de91fd5-4b2e-4e43-9832-61a3ac25d05a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中风险点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：诊疗记录不规范、收费项目不准确、患者评估不全面等列为中等风险等级（黄色预警）。</w:t>
      </w:r>
      <w:bookmarkEnd w:id="1028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ed2b102-7741-4daa-8d7f-43b788b5d352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低风险点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：内部培训不到位、制度更新不及时等列为低风险等级（蓝色预警）。</w:t>
      </w:r>
      <w:bookmarkEnd w:id="1029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abe9c48f3eb045a28018c52b58fdb9d1" w:id="1030"/>
      <w:r>
        <w:rPr>
          <w:rFonts w:ascii="黑体" w:hAnsi="黑体" w:cs="黑体" w:eastAsia="黑体"/>
          <w:sz w:val="34"/>
          <w:spacing w:val="0"/>
          <w:b w:val="on"/>
          <w:i w:val="off"/>
        </w:rPr>
        <w:t>风险预警模型</w:t>
      </w:r>
      <w:bookmarkEnd w:id="1030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3ffe7d9-1c9d-413f-919f-e89d78a84120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利用智能监控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：对接医保智能监控系统，设置“同一患者长期住院无康复进展”、“短期内频繁出入院”、“人均费用异常波动”等预警指标。</w:t>
      </w:r>
      <w:bookmarkEnd w:id="1031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766d25e-d7fc-4276-83e4-7f2d24fe93c8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专家核查机制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：组建由临床精神科专家、医保专家、财务专家组成的内部核查小组，对预警病例进行人工复核，提高风险识别的精准度。</w:t>
      </w:r>
      <w:bookmarkEnd w:id="103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f9af8fad665d449ca192a070d9ce416d" w:id="1033"/>
      <w:r>
        <w:rPr>
          <w:rFonts w:ascii="黑体" w:hAnsi="黑体" w:cs="黑体" w:eastAsia="黑体"/>
          <w:sz w:val="36"/>
          <w:spacing w:val="0"/>
          <w:b w:val="on"/>
          <w:i w:val="off"/>
        </w:rPr>
        <w:t>五、常态化风险管理与长效机制</w:t>
      </w:r>
      <w:bookmarkEnd w:id="103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f041e82fee6495390ab31458fd74548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完善内部管理制度</w:t>
      </w:r>
      <w:bookmarkEnd w:id="1034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bc84a687-578c-483d-9f34-083d765193b3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健全医保管理制度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：修订完善《医保管理规定》、《医保医师管理办法》等制度，明确奖惩措施。</w:t>
      </w:r>
      <w:bookmarkEnd w:id="1035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65e8985-4457-4c6a-91b0-f42b3cf73f39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规范诊疗流程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：严格执行《湖南省精神疾病急性期诊疗规范》和《慢性期诊疗规范》，落实临床路径管理，确保诊疗行为标准化、规范化。</w:t>
      </w:r>
      <w:bookmarkEnd w:id="1036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71c3db2-87cf-4147-a562-ebed7a8e7a43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强化财务监管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：建立内部审计制度，定期对医保基金使用情况进行审计，确保资金安全。</w:t>
      </w:r>
      <w:bookmarkEnd w:id="103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290d48e194b4e149bf7e76a7137390d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加强“人防”与“技防”建设</w:t>
      </w:r>
      <w:bookmarkEnd w:id="1038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75b54e9-45e1-48b4-a376-56622bae66bf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人防建设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：加强医护人员职业道德教育和法律法规培训，提升依法执业、规范行医的意识。设立内部举报奖励制度，鼓励员工举报违法违规行为。</w:t>
      </w:r>
      <w:bookmarkEnd w:id="1039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57d7a43-5f4f-459b-b2a7-6e9521db1511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技防建设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：升级医院信息系统，实现诊疗、收费、医保结算等环节的全流程闭环管理。利用人脸识别、指纹打卡等技术手段，确保患者身份真实、在院。</w:t>
      </w:r>
      <w:bookmarkEnd w:id="1040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b4ed5045fe484814aa79e424851b6d25" w:id="1041"/>
      <w:r>
        <w:rPr>
          <w:rFonts w:ascii="黑体" w:hAnsi="黑体" w:cs="黑体" w:eastAsia="黑体"/>
          <w:sz w:val="34"/>
          <w:spacing w:val="0"/>
          <w:b w:val="on"/>
          <w:i w:val="off"/>
        </w:rPr>
        <w:t>主动接受外部监督</w:t>
      </w:r>
      <w:bookmarkEnd w:id="1041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cdcdf44-de07-40ce-bcca-d64eadb0d9f2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信息公开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：定期向社会公示医疗服务项目、收费标准、医保政策等信息，接受社会监督。</w:t>
      </w:r>
      <w:bookmarkEnd w:id="1042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500a4aa-3a7f-4fa0-b57e-144661e987c7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患者回访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：建立患者及家属满意度调查和回访制度，及时了解患者诉求，改进服务质量。</w:t>
      </w:r>
      <w:bookmarkEnd w:id="104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b087e8eda12a49ed89bb090f26a65ee6" w:id="1044"/>
      <w:r>
        <w:rPr>
          <w:rFonts w:ascii="黑体" w:hAnsi="黑体" w:cs="黑体" w:eastAsia="黑体"/>
          <w:sz w:val="36"/>
          <w:spacing w:val="0"/>
          <w:b w:val="on"/>
          <w:i w:val="off"/>
        </w:rPr>
        <w:t>六、总结与展望</w:t>
      </w:r>
      <w:bookmarkEnd w:id="104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2b643eb96fd4cc1ba74494ab4a26fbe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本方案旨在通过系统性的自查自纠和风险评估，帮助医院在国家医保局专项飞行检查前，主动发现问题、解决问题，从而筑牢合规经营的防线。医院将以此次自查为契机，全面提升管理水平和医疗服务质量，切实维护医保基金安全和患者权益，实现医院的健康可持续发展。</w:t>
      </w:r>
      <w:bookmarkEnd w:id="1045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/>
      <w:jc w:val="both"/>
    </w:pPr>
    <w:rPr>
      <w:rFonts w:eastAsia="宋体" w:ascii="宋体"/>
      <w:sz w:val="32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2026-02-27T18:58:58Z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724BOMJWXi78ELO/9zMZJ/5FLe9On9t+vYYutAic6RQ=","ProduceID":"doc_sgs:f87cb2a4-edd4-408e-941c-530ea63bbc38","ReservedCode2":"724BOMJWXi78ELO/9zMZJ/5FLe9On9t+vYYutAic6RQ=","PropagateID":"doc_sgs:f87cb2a4-edd4-408e-941c-530ea63bbc38","ContentProducer":"001191440101MA9Y9T4H7A00000"}</vt:lpwstr>
  </property>
</Properties>
</file>