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Title"/>
      </w:pPr>
      <w:r>
        <w:t xml:space="preserve">Decision Memo: 12-Week Working-Model Pilot Recommendation</w:t>
      </w:r>
    </w:p>
    <w:p>
      <w:pPr>
        <w:pStyle w:val="Heading1"/>
        <w:keepNext/>
      </w:pPr>
      <w:r>
        <w:t xml:space="preserve">Executive Summary</w:t>
      </w:r>
    </w:p>
    <w:p>
      <w:r>
        <w:t xml:space="preserve">A decision is required by [to be provided] regarding the structure of the upcoming 12-week working-model pilot for our team of 30 people. This memo compares three distinct operating models—Option A (hybrid), Option B (fully remote), and Option C (office only)—based on cost, duration, and operational risk to determine the optimal path forward.</w:t>
      </w:r>
    </w:p>
    <w:p>
      <w:pPr>
        <w:pStyle w:val="Heading1"/>
        <w:keepNext/>
      </w:pPr>
      <w:r>
        <w:t xml:space="preserve">Working-Model Options Comparison</w:t>
      </w:r>
    </w:p>
    <w:p>
      <w:r>
        <w:t xml:space="preserve">The table below outlines the key parameters associated with each of the three proposed pilot options for the 30-member team over the 12-week duration:</w:t>
      </w:r>
    </w:p>
    <w:tbl>
      <w:tblPr>
        <w:tblStyle w:val="NAgexTable"/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1505"/>
        <w:gridCol w:w="3617"/>
        <w:gridCol w:w="1505"/>
        <w:gridCol w:w="1204"/>
        <w:gridCol w:w="1807"/>
      </w:tblGrid>
      <w:tr>
        <w:trPr>
          <w:cantSplit/>
          <w:tblHeader/>
        </w:trPr>
        <w:tc>
          <w:tcPr>
            <w:tcW w:w="1505" w:type="dxa"/>
            <w:shd w:val="clear" w:color="auto" w:fill="EAF0FB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</w:rPr>
              <w:t xml:space="preserve">Option</w:t>
            </w:r>
          </w:p>
        </w:tc>
        <w:tc>
          <w:tcPr>
            <w:tcW w:w="3617" w:type="dxa"/>
            <w:shd w:val="clear" w:color="auto" w:fill="EAF0FB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</w:rPr>
              <w:t xml:space="preserve">Description</w:t>
            </w:r>
          </w:p>
        </w:tc>
        <w:tc>
          <w:tcPr>
            <w:tcW w:w="1505" w:type="dxa"/>
            <w:shd w:val="clear" w:color="auto" w:fill="EAF0FB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</w:rPr>
              <w:t xml:space="preserve">Duration</w:t>
            </w:r>
          </w:p>
        </w:tc>
        <w:tc>
          <w:tcPr>
            <w:tcW w:w="1204" w:type="dxa"/>
            <w:shd w:val="clear" w:color="auto" w:fill="EAF0FB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</w:rPr>
              <w:t xml:space="preserve">Cost</w:t>
            </w:r>
          </w:p>
        </w:tc>
        <w:tc>
          <w:tcPr>
            <w:tcW w:w="1807" w:type="dxa"/>
            <w:shd w:val="clear" w:color="auto" w:fill="EAF0FB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</w:rPr>
              <w:t xml:space="preserve">Risk Level</w:t>
            </w:r>
          </w:p>
        </w:tc>
      </w:tr>
      <w:tr>
        <w:trPr>
          <w:cantSplit/>
        </w:trPr>
        <w:tc>
          <w:tcPr>
            <w:tcW w:w="15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</w:rPr>
              <w:t xml:space="preserve">Option A</w:t>
            </w:r>
          </w:p>
        </w:tc>
        <w:tc>
          <w:tcPr>
            <w:tcW w:w="3617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Hybrid (3 office days)</w:t>
            </w:r>
          </w:p>
        </w:tc>
        <w:tc>
          <w:tcPr>
            <w:tcW w:w="1505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12 weeks</w:t>
            </w:r>
          </w:p>
        </w:tc>
        <w:tc>
          <w:tcPr>
            <w:tcW w:w="1204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$18,000</w:t>
            </w:r>
          </w:p>
        </w:tc>
        <w:tc>
          <w:tcPr>
            <w:tcW w:w="1807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Low</w:t>
            </w:r>
          </w:p>
        </w:tc>
      </w:tr>
      <w:tr>
        <w:trPr>
          <w:cantSplit/>
        </w:trPr>
        <w:tc>
          <w:tcPr>
            <w:tcW w:w="15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</w:rPr>
              <w:t xml:space="preserve">Option B</w:t>
            </w:r>
          </w:p>
        </w:tc>
        <w:tc>
          <w:tcPr>
            <w:tcW w:w="3617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Fully Remote</w:t>
            </w:r>
          </w:p>
        </w:tc>
        <w:tc>
          <w:tcPr>
            <w:tcW w:w="1505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12 weeks</w:t>
            </w:r>
          </w:p>
        </w:tc>
        <w:tc>
          <w:tcPr>
            <w:tcW w:w="1204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$9,500</w:t>
            </w:r>
          </w:p>
        </w:tc>
        <w:tc>
          <w:tcPr>
            <w:tcW w:w="1807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Medium</w:t>
            </w:r>
          </w:p>
        </w:tc>
      </w:tr>
      <w:tr>
        <w:trPr>
          <w:cantSplit/>
        </w:trPr>
        <w:tc>
          <w:tcPr>
            <w:tcW w:w="15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</w:rPr>
              <w:t xml:space="preserve">Option C</w:t>
            </w:r>
          </w:p>
        </w:tc>
        <w:tc>
          <w:tcPr>
            <w:tcW w:w="3617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Office Only</w:t>
            </w:r>
          </w:p>
        </w:tc>
        <w:tc>
          <w:tcPr>
            <w:tcW w:w="1505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12 weeks</w:t>
            </w:r>
          </w:p>
        </w:tc>
        <w:tc>
          <w:tcPr>
            <w:tcW w:w="1204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$24,000</w:t>
            </w:r>
          </w:p>
        </w:tc>
        <w:tc>
          <w:tcPr>
            <w:tcW w:w="1807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Low</w:t>
            </w:r>
          </w:p>
        </w:tc>
      </w:tr>
    </w:tbl>
    <w:p/>
    <w:p>
      <w:pPr>
        <w:pStyle w:val="Heading1"/>
        <w:keepNext/>
      </w:pPr>
      <w:r>
        <w:t xml:space="preserve">Evaluation and Recommendation</w:t>
      </w:r>
    </w:p>
    <w:p>
      <w:r>
        <w:t xml:space="preserve">Based on the comparative analysis of cost, risk, and structural flexibility: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Option C</w:t>
      </w:r>
      <w:r>
        <w:t xml:space="preserve"> presents the highest financial investment at $24,000 while maintaining a low risk profile. However, it lacks the flexibility that modern working models often provide, making it a less adaptable choice for the team.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Option B</w:t>
      </w:r>
      <w:r>
        <w:t xml:space="preserve"> is the most cost-effective solution at $9,500 for the 12-week period. Despite its financial advantage, it carries a medium risk level, which may introduce coordination or engagement challenges for a 30-person team.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Option A</w:t>
      </w:r>
      <w:r>
        <w:t xml:space="preserve"> strikes a balanced middle ground. With a moderate cost of $18,000 and a low risk profile over the 12-week timeframe, it preserves face-to-face collaboration opportunities while keeping expenses well below the office-only alternative.</w:t>
      </w:r>
    </w:p>
    <w:p>
      <w:r>
        <w:rPr>
          <w:b/>
        </w:rPr>
        <w:t xml:space="preserve">Recommendation:</w:t>
      </w:r>
      <w:r>
        <w:t xml:space="preserve"> Option A (hybrid, 3 office days) is recommended for the 12-week pilot. It securely manages operational risk while providing a structured, collaborative environment for the 30-person team without incurring the maximum overhead of an office-only setup.</w:t>
      </w:r>
    </w:p>
    <w:p>
      <w:pPr>
        <w:pStyle w:val="Heading1"/>
        <w:keepNext/>
      </w:pPr>
      <w:r>
        <w:t xml:space="preserve">Next Steps</w:t>
      </w:r>
    </w:p>
    <w:p>
      <w:pPr>
        <w:pStyle w:val="ListNumber"/>
        <w:numPr>
          <w:ilvl w:val="0"/>
          <w:numId w:val="5"/>
        </w:numPr>
      </w:pPr>
      <w:r>
        <w:t xml:space="preserve">Finalize stakeholder alignment and secure approval for the selected pilot option by the decision deadline of 2026-11-15.</w:t>
      </w:r>
    </w:p>
    <w:p>
      <w:pPr>
        <w:pStyle w:val="ListNumber"/>
        <w:numPr>
          <w:ilvl w:val="0"/>
          <w:numId w:val="5"/>
        </w:numPr>
      </w:pPr>
      <w:r>
        <w:t xml:space="preserve">Communicate the chosen working model and 12-week pilot timeline to the 30 team members.</w:t>
      </w:r>
    </w:p>
    <w:p>
      <w:pPr>
        <w:pStyle w:val="ListNumber"/>
        <w:numPr>
          <w:ilvl w:val="0"/>
          <w:numId w:val="5"/>
        </w:numPr>
      </w:pPr>
      <w:r>
        <w:t xml:space="preserve">Establish baseline metrics to evaluate the success and impact of the hybrid model throughout the duration of the pilot.</w:t>
      </w:r>
    </w:p>
    <w:sectPr>
      <w:headerReference w:type="default" r:id="rId4"/>
      <w:headerReference w:type="first" r:id="rId6"/>
      <w:footerReference w:type="default" r:id="rId5"/>
      <w:footerReference w:type="first" r:id="rId5"/>
      <w:pgSz w:w="11906" w:h="16838"/>
      <w:pgMar w:top="1134" w:right="1134" w:bottom="1134" w:left="1134" w:header="567" w:footer="567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  <w:pBdr>
        <w:bottom w:val="single" w:sz="4" w:space="4" w:color="D9D9D9"/>
      </w:pBdr>
      <w:jc w:val="right"/>
    </w:pPr>
    <w:r>
      <w:t xml:space="preserve">Decision Memo: 12-Week Working-Model Pilot Recommendation</w:t>
    </w: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567" w:hanging="283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1"/>
    <w:lvlOverride w:ilvl="0">
      <w:startOverride w:val="1"/>
    </w:lvlOverride>
  </w:num>
  <w:num w:numId="24">
    <w:abstractNumId w:val="1"/>
    <w:lvlOverride w:ilvl="0">
      <w:startOverride w:val="1"/>
    </w:lvlOverride>
  </w:num>
  <w:num w:numId="25">
    <w:abstractNumId w:val="1"/>
    <w:lvlOverride w:ilvl="0">
      <w:startOverride w:val="1"/>
    </w:lvlOverride>
  </w:num>
  <w:num w:numId="26">
    <w:abstractNumId w:val="1"/>
    <w:lvlOverride w:ilvl="0">
      <w:startOverride w:val="1"/>
    </w:lvlOverride>
  </w:num>
  <w:num w:numId="27">
    <w:abstractNumId w:val="1"/>
    <w:lvlOverride w:ilvl="0">
      <w:startOverride w:val="1"/>
    </w:lvlOverride>
  </w:num>
  <w:num w:numId="28">
    <w:abstractNumId w:val="1"/>
    <w:lvlOverride w:ilvl="0">
      <w:startOverride w:val="1"/>
    </w:lvlOverride>
  </w:num>
  <w:num w:numId="29">
    <w:abstractNumId w:val="1"/>
    <w:lvlOverride w:ilvl="0">
      <w:startOverride w:val="1"/>
    </w:lvlOverride>
  </w:num>
  <w:num w:numId="30">
    <w:abstractNumId w:val="1"/>
    <w:lvlOverride w:ilvl="0">
      <w:startOverride w:val="1"/>
    </w:lvlOverride>
  </w:num>
  <w:num w:numId="31">
    <w:abstractNumId w:val="1"/>
    <w:lvlOverride w:ilvl="0">
      <w:startOverride w:val="1"/>
    </w:lvlOverride>
  </w:num>
  <w:num w:numId="32">
    <w:abstractNumId w:val="1"/>
    <w:lvlOverride w:ilvl="0">
      <w:startOverride w:val="1"/>
    </w:lvlOverride>
  </w:num>
  <w:num w:numId="33">
    <w:abstractNumId w:val="1"/>
    <w:lvlOverride w:ilvl="0">
      <w:startOverride w:val="1"/>
    </w:lvlOverride>
  </w:num>
  <w:num w:numId="34">
    <w:abstractNumId w:val="1"/>
    <w:lvlOverride w:ilvl="0">
      <w:startOverride w:val="1"/>
    </w:lvlOverride>
  </w:num>
  <w:num w:numId="35">
    <w:abstractNumId w:val="1"/>
    <w:lvlOverride w:ilvl="0">
      <w:startOverride w:val="1"/>
    </w:lvlOverride>
  </w:num>
  <w:num w:numId="36">
    <w:abstractNumId w:val="1"/>
    <w:lvlOverride w:ilvl="0">
      <w:startOverride w:val="1"/>
    </w:lvlOverride>
  </w:num>
  <w:num w:numId="37">
    <w:abstractNumId w:val="1"/>
    <w:lvlOverride w:ilvl="0">
      <w:startOverride w:val="1"/>
    </w:lvlOverride>
  </w:num>
  <w:num w:numId="38">
    <w:abstractNumId w:val="1"/>
    <w:lvlOverride w:ilvl="0">
      <w:startOverride w:val="1"/>
    </w:lvlOverride>
  </w:num>
  <w:num w:numId="39">
    <w:abstractNumId w:val="1"/>
    <w:lvlOverride w:ilvl="0">
      <w:startOverride w:val="1"/>
    </w:lvlOverride>
  </w:num>
  <w:num w:numId="40">
    <w:abstractNumId w:val="1"/>
    <w:lvlOverride w:ilvl="0">
      <w:startOverride w:val="1"/>
    </w:lvlOverride>
  </w:num>
  <w:num w:numId="41">
    <w:abstractNumId w:val="1"/>
    <w:lvlOverride w:ilvl="0">
      <w:startOverride w:val="1"/>
    </w:lvlOverride>
  </w:num>
  <w:num w:numId="42">
    <w:abstractNumId w:val="1"/>
    <w:lvlOverride w:ilvl="0">
      <w:startOverride w:val="1"/>
    </w:lvlOverride>
  </w:num>
  <w:num w:numId="43">
    <w:abstractNumId w:val="1"/>
    <w:lvlOverride w:ilvl="0">
      <w:startOverride w:val="1"/>
    </w:lvlOverride>
  </w:num>
  <w:num w:numId="44">
    <w:abstractNumId w:val="1"/>
    <w:lvlOverride w:ilvl="0">
      <w:startOverride w:val="1"/>
    </w:lvlOverride>
  </w:num>
  <w:num w:numId="45">
    <w:abstractNumId w:val="1"/>
    <w:lvlOverride w:ilvl="0">
      <w:startOverride w:val="1"/>
    </w:lvlOverride>
  </w:num>
  <w:num w:numId="46">
    <w:abstractNumId w:val="1"/>
    <w:lvlOverride w:ilvl="0">
      <w:startOverride w:val="1"/>
    </w:lvlOverride>
  </w:num>
  <w:num w:numId="47">
    <w:abstractNumId w:val="1"/>
    <w:lvlOverride w:ilvl="0">
      <w:startOverride w:val="1"/>
    </w:lvlOverride>
  </w:num>
  <w:num w:numId="48">
    <w:abstractNumId w:val="1"/>
    <w:lvlOverride w:ilvl="0">
      <w:startOverride w:val="1"/>
    </w:lvlOverride>
  </w:num>
  <w:num w:numId="49">
    <w:abstractNumId w:val="1"/>
    <w:lvlOverride w:ilvl="0">
      <w:startOverride w:val="1"/>
    </w:lvlOverride>
  </w:num>
  <w:num w:numId="50">
    <w:abstractNumId w:val="1"/>
    <w:lvlOverride w:ilvl="0">
      <w:startOverride w:val="1"/>
    </w:lvlOverride>
  </w:num>
  <w:num w:numId="51">
    <w:abstractNumId w:val="1"/>
    <w:lvlOverride w:ilvl="0">
      <w:startOverride w:val="1"/>
    </w:lvlOverride>
  </w:num>
  <w:num w:numId="52">
    <w:abstractNumId w:val="1"/>
    <w:lvlOverride w:ilvl="0">
      <w:startOverride w:val="1"/>
    </w:lvlOverride>
  </w:num>
  <w:num w:numId="53">
    <w:abstractNumId w:val="1"/>
    <w:lvlOverride w:ilvl="0">
      <w:startOverride w:val="1"/>
    </w:lvlOverride>
  </w:num>
  <w:num w:numId="54">
    <w:abstractNumId w:val="1"/>
    <w:lvlOverride w:ilvl="0">
      <w:startOverride w:val="1"/>
    </w:lvlOverride>
  </w:num>
  <w:num w:numId="55">
    <w:abstractNumId w:val="1"/>
    <w:lvlOverride w:ilvl="0">
      <w:startOverride w:val="1"/>
    </w:lvlOverride>
  </w:num>
  <w:num w:numId="56">
    <w:abstractNumId w:val="1"/>
    <w:lvlOverride w:ilvl="0">
      <w:startOverride w:val="1"/>
    </w:lvlOverride>
  </w:num>
  <w:num w:numId="57">
    <w:abstractNumId w:val="1"/>
    <w:lvlOverride w:ilvl="0">
      <w:startOverride w:val="1"/>
    </w:lvlOverride>
  </w:num>
  <w:num w:numId="58">
    <w:abstractNumId w:val="1"/>
    <w:lvlOverride w:ilvl="0">
      <w:startOverride w:val="1"/>
    </w:lvlOverride>
  </w:num>
  <w:num w:numId="59">
    <w:abstractNumId w:val="1"/>
    <w:lvlOverride w:ilvl="0">
      <w:startOverride w:val="1"/>
    </w:lvlOverride>
  </w:num>
  <w:num w:numId="60">
    <w:abstractNumId w:val="1"/>
    <w:lvlOverride w:ilvl="0">
      <w:startOverride w:val="1"/>
    </w:lvlOverride>
  </w:num>
  <w:num w:numId="61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ko-KR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Malgun Gothic" w:cs="Calibri"/>
        <w:sz w:val="20"/>
        <w:szCs w:val="20"/>
        <w:lang w:val="en-US" w:eastAsia="en-US" w:bidi="ar-SA"/>
      </w:rPr>
    </w:rPrDefault>
    <w:pPrDefault>
      <w:pPr>
        <w:spacing w:after="100" w:line="312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AgexTable">
    <w:name w:val="NAgex Table"/>
    <w:basedOn w:val="TableNormal"/>
    <w:uiPriority w:val="59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40" w:type="dxa"/>
        <w:left w:w="100" w:type="dxa"/>
        <w:bottom w:w="4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0" w:after="240"/>
    </w:pPr>
    <w:rPr>
      <w:b/>
      <w:color w:val="1F3864"/>
      <w:sz w:val="36"/>
      <w:szCs w:val="36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80" w:after="80"/>
      <w:outlineLvl w:val="0"/>
    </w:pPr>
    <w:rPr>
      <w:b/>
      <w:color w:val="1F3864"/>
      <w:sz w:val="28"/>
      <w:szCs w:val="28"/>
    </w:rPr>
  </w:style>
  <w:style w:type="paragraph" w:styleId="Heading2">
    <w:name w:val="heading 2"/>
    <w:basedOn w:val="Normal"/>
    <w:next w:val="Normal"/>
    <w:uiPriority w:val="9"/>
    <w:qFormat/>
    <w:pPr>
      <w:keepNext/>
      <w:spacing w:before="220" w:after="80"/>
      <w:outlineLvl w:val="1"/>
    </w:pPr>
    <w:rPr>
      <w:b/>
      <w:color w:val="2F5496"/>
      <w:sz w:val="24"/>
      <w:szCs w:val="24"/>
    </w:rPr>
  </w:style>
  <w:style w:type="paragraph" w:styleId="Heading3">
    <w:name w:val="heading 3"/>
    <w:basedOn w:val="Normal"/>
    <w:next w:val="Normal"/>
    <w:uiPriority w:val="9"/>
    <w:qFormat/>
    <w:pPr>
      <w:keepNext/>
      <w:spacing w:before="160" w:after="80"/>
      <w:outlineLvl w:val="2"/>
    </w:pPr>
    <w:rPr>
      <w:b/>
      <w:color w:val="2F5496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spacing w:before="120" w:after="80"/>
      <w:outlineLvl w:val="3"/>
    </w:pPr>
    <w:rPr>
      <w:b/>
      <w:color w:val="404040"/>
      <w:sz w:val="20"/>
      <w:szCs w:val="20"/>
    </w:rPr>
  </w:style>
  <w:style w:type="paragraph" w:styleId="ListBullet">
    <w:name w:val="List Bullet"/>
    <w:basedOn w:val="Normal"/>
    <w:pPr>
      <w:spacing w:after="60"/>
    </w:pPr>
  </w:style>
  <w:style w:type="paragraph" w:styleId="ListNumber">
    <w:name w:val="List Number"/>
    <w:basedOn w:val="Normal"/>
    <w:pPr>
      <w:spacing w:after="60"/>
    </w:pPr>
  </w:style>
  <w:style w:type="paragraph" w:styleId="Quote">
    <w:name w:val="Quote"/>
    <w:basedOn w:val="Normal"/>
    <w:pPr>
      <w:ind w:left="567"/>
    </w:pPr>
    <w:rPr>
      <w:i/>
      <w:color w:val="595959"/>
    </w:rPr>
  </w:style>
  <w:style w:type="paragraph" w:styleId="Caption">
    <w:name w:val="caption"/>
    <w:basedOn w:val="Normal"/>
    <w:next w:val="Normal"/>
    <w:uiPriority w:val="35"/>
    <w:qFormat/>
    <w:pPr>
      <w:spacing w:before="40" w:after="160"/>
      <w:jc w:val="center"/>
    </w:pPr>
    <w:rPr>
      <w:i/>
      <w:color w:val="595959"/>
      <w:sz w:val="18"/>
      <w:szCs w:val="18"/>
    </w:rPr>
  </w:style>
  <w:style w:type="paragraph" w:styleId="Header">
    <w:name w:val="header"/>
    <w:basedOn w:val="Normal"/>
    <w:uiPriority w:val="99"/>
    <w:pPr>
      <w:spacing w:after="0" w:line="240" w:lineRule="auto"/>
    </w:pPr>
    <w:rPr>
      <w:color w:val="7F7F7F"/>
      <w:sz w:val="16"/>
      <w:szCs w:val="16"/>
    </w:rPr>
  </w:style>
  <w:style w:type="paragraph" w:styleId="Footer">
    <w:name w:val="footer"/>
    <w:basedOn w:val="Normal"/>
    <w:uiPriority w:val="99"/>
    <w:pPr>
      <w:spacing w:after="0" w:line="240" w:lineRule="auto"/>
    </w:pPr>
    <w:rPr>
      <w:color w:val="7F7F7F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6" Type="http://schemas.openxmlformats.org/officeDocument/2006/relationships/header" Target="header2.xml"/><Relationship Id="rId5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NAgex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Decision Memo: 12-Week Working-Model Pilot Recommendation</dc:title>
  <dc:creator>NAgex</dc:creator>
  <dc:language>en-US</dc:language>
  <cp:lastModifiedBy>NAgex</cp:lastModifiedBy>
  <dcterms:created xsi:type="dcterms:W3CDTF">2026-10-17T08:37:00Z</dcterms:created>
  <dcterms:modified xsi:type="dcterms:W3CDTF">2026-10-17T08:37:00Z</dcterms:modified>
</cp:coreProperties>
</file>