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</w:pPr>
      <w:r>
        <w:t xml:space="preserve">Decision Memo: 12-Week Working-Model Pilot Recommendation</w:t>
      </w:r>
    </w:p>
    <w:p>
      <w:pPr>
        <w:pStyle w:val="Heading1"/>
        <w:keepNext/>
      </w:pPr>
      <w:r>
        <w:t xml:space="preserve">Decision Memo: 12-Week Working-Model Pilot</w:t>
      </w:r>
    </w:p>
    <w:p>
      <w:r>
        <w:rPr>
          <w:b/>
        </w:rPr>
        <w:t xml:space="preserve">To:</w:t>
      </w:r>
      <w:r>
        <w:t xml:space="preserve"> [To Be Provided] </w:t>
      </w:r>
      <w:r>
        <w:rPr>
          <w:b/>
        </w:rPr>
        <w:t xml:space="preserve">From:</w:t>
      </w:r>
      <w:r>
        <w:t xml:space="preserve"> NAgex Authoring Engine </w:t>
      </w:r>
      <w:r>
        <w:rPr>
          <w:b/>
        </w:rPr>
        <w:t xml:space="preserve">Date:</w:t>
      </w:r>
      <w:r>
        <w:t xml:space="preserve"> [To Be Provided] </w:t>
      </w:r>
      <w:r>
        <w:rPr>
          <w:b/>
        </w:rPr>
        <w:t xml:space="preserve">Decision Needed By:</w:t>
      </w:r>
      <w:r>
        <w:t xml:space="preserve"> 2026-11-15</w:t>
      </w:r>
    </w:p>
    <w:p>
      <w:pPr>
        <w:pStyle w:val="Heading2"/>
        <w:keepNext/>
      </w:pPr>
      <w:r>
        <w:t xml:space="preserve">1. Executive Summary</w:t>
      </w:r>
    </w:p>
    <w:p>
      <w:r>
        <w:t xml:space="preserve">To determine the most effective working model for our team of 30 people, we have evaluated three 12-week pilot options: Option A (hybrid with 3 office days), Option B (fully remote), and Option C (office only). This memo compares the options based on cost, duration, and risk, ultimately recommending Option A as the optimal balance between operational risk and financial investment.</w:t>
      </w:r>
    </w:p>
    <w:p>
      <w:pPr>
        <w:pStyle w:val="Heading2"/>
        <w:keepNext/>
      </w:pPr>
      <w:r>
        <w:t xml:space="preserve">2. Background and Objectives</w:t>
      </w:r>
    </w:p>
    <w:p>
      <w:r>
        <w:t xml:space="preserve">We require a structured, 12-week pilot program to evaluate long-term working arrangements for our 30-member team. The final decision must be made by 2026-11-15 to ensure timely implementation.</w:t>
      </w:r>
    </w:p>
    <w:p>
      <w:pPr>
        <w:pStyle w:val="Heading2"/>
        <w:keepNext/>
      </w:pPr>
      <w:r>
        <w:t xml:space="preserve">3. Comparison of Options</w:t>
      </w:r>
    </w:p>
    <w:tbl>
      <w:tblPr>
        <w:tblStyle w:val="NAgexTable"/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1302"/>
        <w:gridCol w:w="3129"/>
        <w:gridCol w:w="1302"/>
        <w:gridCol w:w="1302"/>
        <w:gridCol w:w="1041"/>
        <w:gridCol w:w="1562"/>
      </w:tblGrid>
      <w:tr>
        <w:trPr>
          <w:cantSplit/>
          <w:tblHeader/>
        </w:trPr>
        <w:tc>
          <w:tcPr>
            <w:tcW w:w="1302" w:type="dxa"/>
            <w:shd w:val="clear" w:color="auto" w:fill="EAF0FB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Option</w:t>
            </w:r>
          </w:p>
        </w:tc>
        <w:tc>
          <w:tcPr>
            <w:tcW w:w="3129" w:type="dxa"/>
            <w:shd w:val="clear" w:color="auto" w:fill="EAF0FB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Working Model</w:t>
            </w:r>
          </w:p>
        </w:tc>
        <w:tc>
          <w:tcPr>
            <w:tcW w:w="1302" w:type="dxa"/>
            <w:shd w:val="clear" w:color="auto" w:fill="EAF0FB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Team Size</w:t>
            </w:r>
          </w:p>
        </w:tc>
        <w:tc>
          <w:tcPr>
            <w:tcW w:w="1302" w:type="dxa"/>
            <w:shd w:val="clear" w:color="auto" w:fill="EAF0FB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Duration</w:t>
            </w:r>
          </w:p>
        </w:tc>
        <w:tc>
          <w:tcPr>
            <w:tcW w:w="1041" w:type="dxa"/>
            <w:shd w:val="clear" w:color="auto" w:fill="EAF0FB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Cost</w:t>
            </w:r>
          </w:p>
        </w:tc>
        <w:tc>
          <w:tcPr>
            <w:tcW w:w="1562" w:type="dxa"/>
            <w:shd w:val="clear" w:color="auto" w:fill="EAF0FB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Risk Level</w:t>
            </w:r>
          </w:p>
        </w:tc>
      </w:tr>
      <w:tr>
        <w:trPr>
          <w:cantSplit/>
        </w:trPr>
        <w:tc>
          <w:tcPr>
            <w:tcW w:w="13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Option A</w:t>
            </w:r>
          </w:p>
        </w:tc>
        <w:tc>
          <w:tcPr>
            <w:tcW w:w="3129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Hybrid (3 office days)</w:t>
            </w:r>
          </w:p>
        </w:tc>
        <w:tc>
          <w:tcPr>
            <w:tcW w:w="1302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30 people</w:t>
            </w:r>
          </w:p>
        </w:tc>
        <w:tc>
          <w:tcPr>
            <w:tcW w:w="1302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12 weeks</w:t>
            </w:r>
          </w:p>
        </w:tc>
        <w:tc>
          <w:tcPr>
            <w:tcW w:w="1041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$18,000</w:t>
            </w:r>
          </w:p>
        </w:tc>
        <w:tc>
          <w:tcPr>
            <w:tcW w:w="1562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Low</w:t>
            </w:r>
          </w:p>
        </w:tc>
      </w:tr>
      <w:tr>
        <w:trPr>
          <w:cantSplit/>
        </w:trPr>
        <w:tc>
          <w:tcPr>
            <w:tcW w:w="13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Option B</w:t>
            </w:r>
          </w:p>
        </w:tc>
        <w:tc>
          <w:tcPr>
            <w:tcW w:w="3129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Fully remote</w:t>
            </w:r>
          </w:p>
        </w:tc>
        <w:tc>
          <w:tcPr>
            <w:tcW w:w="1302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30 people</w:t>
            </w:r>
          </w:p>
        </w:tc>
        <w:tc>
          <w:tcPr>
            <w:tcW w:w="1302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12 weeks</w:t>
            </w:r>
          </w:p>
        </w:tc>
        <w:tc>
          <w:tcPr>
            <w:tcW w:w="1041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$9,500</w:t>
            </w:r>
          </w:p>
        </w:tc>
        <w:tc>
          <w:tcPr>
            <w:tcW w:w="1562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tcW w:w="13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Option C</w:t>
            </w:r>
          </w:p>
        </w:tc>
        <w:tc>
          <w:tcPr>
            <w:tcW w:w="3129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Office only</w:t>
            </w:r>
          </w:p>
        </w:tc>
        <w:tc>
          <w:tcPr>
            <w:tcW w:w="1302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30 people</w:t>
            </w:r>
          </w:p>
        </w:tc>
        <w:tc>
          <w:tcPr>
            <w:tcW w:w="1302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12 weeks</w:t>
            </w:r>
          </w:p>
        </w:tc>
        <w:tc>
          <w:tcPr>
            <w:tcW w:w="1041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$24,000</w:t>
            </w:r>
          </w:p>
        </w:tc>
        <w:tc>
          <w:tcPr>
            <w:tcW w:w="1562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Low</w:t>
            </w:r>
          </w:p>
        </w:tc>
      </w:tr>
    </w:tbl>
    <w:p/>
    <w:p>
      <w:pPr>
        <w:pStyle w:val="Heading2"/>
        <w:keepNext/>
      </w:pPr>
      <w:r>
        <w:t xml:space="preserve">4. Recommendation</w:t>
      </w:r>
    </w:p>
    <w:p>
      <w:r>
        <w:rPr>
          <w:b/>
        </w:rPr>
        <w:t xml:space="preserve">Recommendation:</w:t>
      </w:r>
      <w:r>
        <w:t xml:space="preserve"> Proceed with </w:t>
      </w:r>
      <w:r>
        <w:rPr>
          <w:b/>
        </w:rPr>
        <w:t xml:space="preserve">Option A (hybrid, 3 office days)</w:t>
      </w:r>
      <w:r>
        <w:t xml:space="preserve">.</w:t>
      </w:r>
    </w:p>
    <w:p>
      <w:pPr>
        <w:pStyle w:val="Heading3"/>
        <w:keepNext/>
      </w:pPr>
      <w:r>
        <w:t xml:space="preserve">Reasons for Recommendation: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Balanced Risk Profile:</w:t>
      </w:r>
      <w:r>
        <w:t xml:space="preserve"> Option A carries a "Low" risk profile, ensuring stability during the pilot phase compared to the "Medium" risk associated with the fully remote approach (Option B).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Cost-Effective Collaboration:</w:t>
      </w:r>
      <w:r>
        <w:t xml:space="preserve"> While Option B is the least expensive at $9,500, it introduces higher operational risks for our 30-person team. Option A provides in-person collaboration benefits at a moderate cost of $18,000, avoiding the highest expenditure of $24,000 required by the office-only model (Option C).</w:t>
      </w:r>
    </w:p>
    <w:p>
      <w:pPr>
        <w:pStyle w:val="Heading2"/>
        <w:keepNext/>
      </w:pPr>
      <w:r>
        <w:t xml:space="preserve">5. Next Steps</w:t>
      </w:r>
    </w:p>
    <w:p>
      <w:pPr>
        <w:pStyle w:val="ListNumber"/>
        <w:numPr>
          <w:ilvl w:val="0"/>
          <w:numId w:val="4"/>
        </w:numPr>
      </w:pPr>
      <w:r>
        <w:t xml:space="preserve">Review and approve the recommendation by the decision deadline of 2026-11-15.</w:t>
      </w:r>
    </w:p>
    <w:p>
      <w:pPr>
        <w:pStyle w:val="ListNumber"/>
        <w:numPr>
          <w:ilvl w:val="0"/>
          <w:numId w:val="4"/>
        </w:numPr>
      </w:pPr>
      <w:r>
        <w:t xml:space="preserve">Finalize logistics and communication plans for the 30-person team.</w:t>
      </w:r>
    </w:p>
    <w:p>
      <w:pPr>
        <w:pStyle w:val="ListNumber"/>
        <w:numPr>
          <w:ilvl w:val="0"/>
          <w:numId w:val="4"/>
        </w:numPr>
      </w:pPr>
      <w:r>
        <w:t xml:space="preserve">Initiate the 12-week pilot program according to the selected model.</w:t>
      </w:r>
    </w:p>
    <w:sectPr>
      <w:headerReference w:type="default" r:id="rId4"/>
      <w:headerReference w:type="first" r:id="rId6"/>
      <w:footerReference w:type="default" r:id="rId5"/>
      <w:footerReference w:type="first" r:id="rId5"/>
      <w:pgSz w:w="11906" w:h="16838"/>
      <w:pgMar w:top="1134" w:right="1134" w:bottom="1134" w:left="1134" w:header="567" w:footer="567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pBdr>
        <w:bottom w:val="single" w:sz="4" w:space="4" w:color="D9D9D9"/>
      </w:pBdr>
      <w:jc w:val="right"/>
    </w:pPr>
    <w:r>
      <w:t xml:space="preserve">Decision Memo: 12-Week Working-Model Pilot Recommendation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567" w:hanging="283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  <w:num w:numId="36">
    <w:abstractNumId w:val="1"/>
    <w:lvlOverride w:ilvl="0">
      <w:startOverride w:val="1"/>
    </w:lvlOverride>
  </w:num>
  <w:num w:numId="37">
    <w:abstractNumId w:val="1"/>
    <w:lvlOverride w:ilvl="0">
      <w:startOverride w:val="1"/>
    </w:lvlOverride>
  </w:num>
  <w:num w:numId="38">
    <w:abstractNumId w:val="1"/>
    <w:lvlOverride w:ilvl="0">
      <w:startOverride w:val="1"/>
    </w:lvlOverride>
  </w:num>
  <w:num w:numId="39">
    <w:abstractNumId w:val="1"/>
    <w:lvlOverride w:ilvl="0">
      <w:startOverride w:val="1"/>
    </w:lvlOverride>
  </w:num>
  <w:num w:numId="40">
    <w:abstractNumId w:val="1"/>
    <w:lvlOverride w:ilvl="0">
      <w:startOverride w:val="1"/>
    </w:lvlOverride>
  </w:num>
  <w:num w:numId="41">
    <w:abstractNumId w:val="1"/>
    <w:lvlOverride w:ilvl="0">
      <w:startOverride w:val="1"/>
    </w:lvlOverride>
  </w:num>
  <w:num w:numId="42">
    <w:abstractNumId w:val="1"/>
    <w:lvlOverride w:ilvl="0">
      <w:startOverride w:val="1"/>
    </w:lvlOverride>
  </w:num>
  <w:num w:numId="43">
    <w:abstractNumId w:val="1"/>
    <w:lvlOverride w:ilvl="0">
      <w:startOverride w:val="1"/>
    </w:lvlOverride>
  </w:num>
  <w:num w:numId="44">
    <w:abstractNumId w:val="1"/>
    <w:lvlOverride w:ilvl="0">
      <w:startOverride w:val="1"/>
    </w:lvlOverride>
  </w:num>
  <w:num w:numId="45">
    <w:abstractNumId w:val="1"/>
    <w:lvlOverride w:ilvl="0">
      <w:startOverride w:val="1"/>
    </w:lvlOverride>
  </w:num>
  <w:num w:numId="46">
    <w:abstractNumId w:val="1"/>
    <w:lvlOverride w:ilvl="0">
      <w:startOverride w:val="1"/>
    </w:lvlOverride>
  </w:num>
  <w:num w:numId="47">
    <w:abstractNumId w:val="1"/>
    <w:lvlOverride w:ilvl="0">
      <w:startOverride w:val="1"/>
    </w:lvlOverride>
  </w:num>
  <w:num w:numId="48">
    <w:abstractNumId w:val="1"/>
    <w:lvlOverride w:ilvl="0">
      <w:startOverride w:val="1"/>
    </w:lvlOverride>
  </w:num>
  <w:num w:numId="49">
    <w:abstractNumId w:val="1"/>
    <w:lvlOverride w:ilvl="0">
      <w:startOverride w:val="1"/>
    </w:lvlOverride>
  </w:num>
  <w:num w:numId="50">
    <w:abstractNumId w:val="1"/>
    <w:lvlOverride w:ilvl="0">
      <w:startOverride w:val="1"/>
    </w:lvlOverride>
  </w:num>
  <w:num w:numId="51">
    <w:abstractNumId w:val="1"/>
    <w:lvlOverride w:ilvl="0">
      <w:startOverride w:val="1"/>
    </w:lvlOverride>
  </w:num>
  <w:num w:numId="52">
    <w:abstractNumId w:val="1"/>
    <w:lvlOverride w:ilvl="0">
      <w:startOverride w:val="1"/>
    </w:lvlOverride>
  </w:num>
  <w:num w:numId="53">
    <w:abstractNumId w:val="1"/>
    <w:lvlOverride w:ilvl="0">
      <w:startOverride w:val="1"/>
    </w:lvlOverride>
  </w:num>
  <w:num w:numId="54">
    <w:abstractNumId w:val="1"/>
    <w:lvlOverride w:ilvl="0">
      <w:startOverride w:val="1"/>
    </w:lvlOverride>
  </w:num>
  <w:num w:numId="55">
    <w:abstractNumId w:val="1"/>
    <w:lvlOverride w:ilvl="0">
      <w:startOverride w:val="1"/>
    </w:lvlOverride>
  </w:num>
  <w:num w:numId="56">
    <w:abstractNumId w:val="1"/>
    <w:lvlOverride w:ilvl="0">
      <w:startOverride w:val="1"/>
    </w:lvlOverride>
  </w:num>
  <w:num w:numId="57">
    <w:abstractNumId w:val="1"/>
    <w:lvlOverride w:ilvl="0">
      <w:startOverride w:val="1"/>
    </w:lvlOverride>
  </w:num>
  <w:num w:numId="58">
    <w:abstractNumId w:val="1"/>
    <w:lvlOverride w:ilvl="0">
      <w:startOverride w:val="1"/>
    </w:lvlOverride>
  </w:num>
  <w:num w:numId="59">
    <w:abstractNumId w:val="1"/>
    <w:lvlOverride w:ilvl="0">
      <w:startOverride w:val="1"/>
    </w:lvlOverride>
  </w:num>
  <w:num w:numId="60">
    <w:abstractNumId w:val="1"/>
    <w:lvlOverride w:ilvl="0">
      <w:startOverride w:val="1"/>
    </w:lvlOverride>
  </w:num>
  <w:num w:numId="6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ko-KR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algun Gothic" w:cs="Calibri"/>
        <w:sz w:val="20"/>
        <w:szCs w:val="20"/>
        <w:lang w:val="en-US" w:eastAsia="en-US" w:bidi="ar-SA"/>
      </w:rPr>
    </w:rPrDefault>
    <w:pPrDefault>
      <w:pPr>
        <w:spacing w:after="100" w:line="312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AgexTable">
    <w:name w:val="NAgex Table"/>
    <w:basedOn w:val="TableNormal"/>
    <w:uiPriority w:val="59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40" w:type="dxa"/>
        <w:left w:w="100" w:type="dxa"/>
        <w:bottom w:w="4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4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80" w:after="80"/>
      <w:outlineLvl w:val="0"/>
    </w:pPr>
    <w:rPr>
      <w:b/>
      <w:color w:val="1F3864"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20" w:after="80"/>
      <w:outlineLvl w:val="1"/>
    </w:pPr>
    <w:rPr>
      <w:b/>
      <w:color w:val="2F5496"/>
      <w:sz w:val="24"/>
      <w:szCs w:val="24"/>
    </w:rPr>
  </w:style>
  <w:style w:type="paragraph" w:styleId="Heading3">
    <w:name w:val="heading 3"/>
    <w:basedOn w:val="Normal"/>
    <w:next w:val="Normal"/>
    <w:uiPriority w:val="9"/>
    <w:qFormat/>
    <w:pPr>
      <w:keepNext/>
      <w:spacing w:before="160" w:after="80"/>
      <w:outlineLvl w:val="2"/>
    </w:pPr>
    <w:rPr>
      <w:b/>
      <w:color w:val="2F5496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spacing w:before="120" w:after="80"/>
      <w:outlineLvl w:val="3"/>
    </w:pPr>
    <w:rPr>
      <w:b/>
      <w:color w:val="404040"/>
      <w:sz w:val="20"/>
      <w:szCs w:val="20"/>
    </w:rPr>
  </w:style>
  <w:style w:type="paragraph" w:styleId="ListBullet">
    <w:name w:val="List Bullet"/>
    <w:basedOn w:val="Normal"/>
    <w:pPr>
      <w:spacing w:after="60"/>
    </w:pPr>
  </w:style>
  <w:style w:type="paragraph" w:styleId="ListNumber">
    <w:name w:val="List Number"/>
    <w:basedOn w:val="Normal"/>
    <w:pPr>
      <w:spacing w:after="60"/>
    </w:pPr>
  </w:style>
  <w:style w:type="paragraph" w:styleId="Quote">
    <w:name w:val="Quote"/>
    <w:basedOn w:val="Normal"/>
    <w:pPr>
      <w:ind w:left="567"/>
    </w:pPr>
    <w:rPr>
      <w:i/>
      <w:color w:val="595959"/>
    </w:rPr>
  </w:style>
  <w:style w:type="paragraph" w:styleId="Caption">
    <w:name w:val="caption"/>
    <w:basedOn w:val="Normal"/>
    <w:next w:val="Normal"/>
    <w:uiPriority w:val="35"/>
    <w:qFormat/>
    <w:pPr>
      <w:spacing w:before="40" w:after="160"/>
      <w:jc w:val="center"/>
    </w:pPr>
    <w:rPr>
      <w:i/>
      <w:color w:val="595959"/>
      <w:sz w:val="18"/>
      <w:szCs w:val="18"/>
    </w:rPr>
  </w:style>
  <w:style w:type="paragraph" w:styleId="Header">
    <w:name w:val="header"/>
    <w:basedOn w:val="Normal"/>
    <w:uiPriority w:val="99"/>
    <w:pPr>
      <w:spacing w:after="0" w:line="240" w:lineRule="auto"/>
    </w:pPr>
    <w:rPr>
      <w:color w:val="7F7F7F"/>
      <w:sz w:val="16"/>
      <w:szCs w:val="16"/>
    </w:rPr>
  </w:style>
  <w:style w:type="paragraph" w:styleId="Footer">
    <w:name w:val="footer"/>
    <w:basedOn w:val="Normal"/>
    <w:uiPriority w:val="99"/>
    <w:pPr>
      <w:spacing w:after="0" w:line="240" w:lineRule="auto"/>
    </w:pPr>
    <w:rPr>
      <w:color w:val="7F7F7F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6" Type="http://schemas.openxmlformats.org/officeDocument/2006/relationships/header" Target="header2.xml"/><Relationship Id="rId5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NAgex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Decision Memo: 12-Week Working-Model Pilot Recommendation</dc:title>
  <dc:creator>NAgex</dc:creator>
  <dc:language>en-US</dc:language>
  <cp:lastModifiedBy>NAgex</cp:lastModifiedBy>
  <dcterms:created xsi:type="dcterms:W3CDTF">2026-10-17T08:29:30Z</dcterms:created>
  <dcterms:modified xsi:type="dcterms:W3CDTF">2026-10-17T08:29:30Z</dcterms:modified>
</cp:coreProperties>
</file>