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</w:pPr>
      <w:r>
        <w:t xml:space="preserve">2026년 3분기 운영 보고서</w:t>
      </w:r>
    </w:p>
    <w:p>
      <w:pPr>
        <w:pStyle w:val="Heading1"/>
        <w:keepNext/>
      </w:pPr>
      <w:r>
        <w:t xml:space="preserve">1. 개요</w:t>
      </w:r>
    </w:p>
    <w:p>
      <w:r>
        <w:t xml:space="preserve">본 보고서는 2026년 7월부터 9월까지의 기간 동안 총 48명의 사용자를 대상으로 수행된 운영 활동의 성과를 분석하기 위해 작성되었습니다. 주요 업무 영역에서의 효율성 변화와 비용 및 승인 현황을 점검하여 향후 운영 방향을 도출하고자 합니다.</w:t>
      </w:r>
    </w:p>
    <w:p>
      <w:pPr>
        <w:pStyle w:val="Heading1"/>
        <w:keepNext/>
      </w:pPr>
      <w:r>
        <w:t xml:space="preserve">2. 처리 시간 변화</w:t>
      </w:r>
    </w:p>
    <w:p>
      <w:r>
        <w:t xml:space="preserve">도입 전후의 주요 업무별 처리 시간 변화는 아래의 표와 같습니다.</w:t>
      </w:r>
    </w:p>
    <w:tbl>
      <w:tblPr>
        <w:tblStyle w:val="NAgexTable"/>
        <w:tblW w:w="9638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0" w:lastColumn="0" w:noHBand="0" w:noVBand="1"/>
      </w:tblPr>
      <w:tblGrid>
        <w:gridCol w:w="2858"/>
        <w:gridCol w:w="2498"/>
        <w:gridCol w:w="2855"/>
        <w:gridCol w:w="1427"/>
      </w:tblGrid>
      <w:tr>
        <w:trPr>
          <w:cantSplit/>
          <w:tblHeader/>
        </w:trPr>
        <w:tc>
          <w:tcPr>
            <w:tcW w:w="2858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구분</w:t>
            </w:r>
          </w:p>
        </w:tc>
        <w:tc>
          <w:tcPr>
            <w:tcW w:w="2498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기존 처리 시간</w:t>
            </w:r>
          </w:p>
        </w:tc>
        <w:tc>
          <w:tcPr>
            <w:tcW w:w="2855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도입 후 처리 시간</w:t>
            </w:r>
          </w:p>
        </w:tc>
        <w:tc>
          <w:tcPr>
            <w:tcW w:w="1427" w:type="dxa"/>
            <w:shd w:val="clear" w:color="auto" w:fill="EAF0FB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</w:rPr>
              <w:t xml:space="preserve">변화율</w:t>
            </w:r>
          </w:p>
        </w:tc>
      </w:tr>
      <w:tr>
        <w:trPr>
          <w:cantSplit/>
        </w:trPr>
        <w:tc>
          <w:tcPr>
            <w:tcW w:w="285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회의 준비 시간</w:t>
            </w:r>
          </w:p>
        </w:tc>
        <w:tc>
          <w:tcPr>
            <w:tcW w:w="249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45분</w:t>
            </w:r>
          </w:p>
        </w:tc>
        <w:tc>
          <w:tcPr>
            <w:tcW w:w="2855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12분</w:t>
            </w:r>
          </w:p>
        </w:tc>
        <w:tc>
          <w:tcPr>
            <w:tcW w:w="142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73% 단축</w:t>
            </w:r>
          </w:p>
        </w:tc>
      </w:tr>
      <w:tr>
        <w:trPr>
          <w:cantSplit/>
        </w:trPr>
        <w:tc>
          <w:tcPr>
            <w:tcW w:w="285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보고서 작성 시간</w:t>
            </w:r>
          </w:p>
        </w:tc>
        <w:tc>
          <w:tcPr>
            <w:tcW w:w="249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3시간</w:t>
            </w:r>
          </w:p>
        </w:tc>
        <w:tc>
          <w:tcPr>
            <w:tcW w:w="2855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50분</w:t>
            </w:r>
          </w:p>
        </w:tc>
        <w:tc>
          <w:tcPr>
            <w:tcW w:w="142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72% 단축</w:t>
            </w:r>
          </w:p>
        </w:tc>
      </w:tr>
      <w:tr>
        <w:trPr>
          <w:cantSplit/>
        </w:trPr>
        <w:tc>
          <w:tcPr>
            <w:tcW w:w="285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일정 조율 시간</w:t>
            </w:r>
          </w:p>
        </w:tc>
        <w:tc>
          <w:tcPr>
            <w:tcW w:w="2498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30분</w:t>
            </w:r>
          </w:p>
        </w:tc>
        <w:tc>
          <w:tcPr>
            <w:tcW w:w="2855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5분</w:t>
            </w:r>
          </w:p>
        </w:tc>
        <w:tc>
          <w:tcPr>
            <w:tcW w:w="1427" w:type="dxa"/>
            <w:vAlign w:val="center"/>
          </w:tcPr>
          <w:p>
            <w:pPr>
              <w:spacing w:before="40" w:after="40"/>
              <w:jc w:val="left"/>
            </w:pPr>
            <w:r>
              <w:t xml:space="preserve">83% 단축</w:t>
            </w:r>
          </w:p>
        </w:tc>
      </w:tr>
    </w:tbl>
    <w:p/>
    <w:p>
      <w:pPr>
        <w:pStyle w:val="Heading1"/>
        <w:keepNext/>
      </w:pPr>
      <w:r>
        <w:t xml:space="preserve">3. 비용과 승인</w:t>
      </w:r>
    </w:p>
    <w:p>
      <w:r>
        <w:t xml:space="preserve">운영과 관련된 재정적 및 승인 관련 지표는 다음과 같습니다.</w:t>
      </w:r>
    </w:p>
    <w:p>
      <w:pPr>
        <w:pStyle w:val="ListBullet"/>
        <w:numPr>
          <w:ilvl w:val="0"/>
          <w:numId w:val="1"/>
        </w:numPr>
      </w:pPr>
      <w:r>
        <w:t xml:space="preserve">월 비용: 사용자 1명당 12,000원</w:t>
      </w:r>
    </w:p>
    <w:p>
      <w:pPr>
        <w:pStyle w:val="ListBullet"/>
        <w:numPr>
          <w:ilvl w:val="0"/>
          <w:numId w:val="1"/>
        </w:numPr>
      </w:pPr>
      <w:r>
        <w:t xml:space="preserve">승인 거절률: 4.2%</w:t>
      </w:r>
    </w:p>
    <w:p>
      <w:pPr>
        <w:pStyle w:val="Heading1"/>
        <w:keepNext/>
      </w:pPr>
      <w:r>
        <w:t xml:space="preserve">4. 위험과 대응</w:t>
      </w:r>
    </w:p>
    <w:p>
      <w:r>
        <w:t xml:space="preserve">승인 거절률 4.2%가 기록됨에 따라, 거절 발생 원인을 면밀히 분석하고 사용자 가이드라인을 보완하여 불필요한 거절을 줄이는 방향으로 대응할 예정입니다. 비용 대비 효율성을 지속 모니터링하여 운영의 안정성을 확보해야 합니다.</w:t>
      </w:r>
    </w:p>
    <w:p>
      <w:pPr>
        <w:pStyle w:val="Heading1"/>
        <w:keepNext/>
      </w:pPr>
      <w:r>
        <w:t xml:space="preserve">5. 다음 분기 계획</w:t>
      </w:r>
    </w:p>
    <w:p>
      <w:r>
        <w:t xml:space="preserve">이번 분기 동안 확인된 처리 시간 단축 효과를 바탕으로 사용자 교육을 강화하고, 승인 거절률을 낮추기 위한 프로세스 개선을 추진할 계획입니다.</w:t>
      </w:r>
    </w:p>
    <w:sectPr>
      <w:headerReference w:type="default" r:id="rId4"/>
      <w:headerReference w:type="first" r:id="rId6"/>
      <w:footerReference w:type="default" r:id="rId5"/>
      <w:footerReference w:type="first" r:id="rId5"/>
      <w:pgSz w:w="11906" w:h="16838"/>
      <w:pgMar w:top="1134" w:right="1134" w:bottom="1134" w:left="1134" w:header="567" w:footer="567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  <w:pBdr>
        <w:bottom w:val="single" w:sz="4" w:space="4" w:color="D9D9D9"/>
      </w:pBdr>
      <w:jc w:val="right"/>
    </w:pPr>
    <w:r>
      <w:t xml:space="preserve">2026년 3분기 운영 보고서</w:t>
    </w:r>
  </w:p>
</w:hdr>
</file>

<file path=word/header2.xml><?xml version="1.0" encoding="utf-8"?>
<w:hdr xmlns:w="http://schemas.openxmlformats.org/wordprocessingml/2006/main" xmlns:r="http://schemas.openxmlformats.org/officeDocument/2006/relationships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67" w:hanging="283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67" w:hanging="3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  <w:num w:numId="27">
    <w:abstractNumId w:val="1"/>
    <w:lvlOverride w:ilvl="0">
      <w:startOverride w:val="1"/>
    </w:lvlOverride>
  </w:num>
  <w:num w:numId="28">
    <w:abstractNumId w:val="1"/>
    <w:lvlOverride w:ilvl="0">
      <w:startOverride w:val="1"/>
    </w:lvlOverride>
  </w:num>
  <w:num w:numId="29">
    <w:abstractNumId w:val="1"/>
    <w:lvlOverride w:ilvl="0">
      <w:startOverride w:val="1"/>
    </w:lvlOverride>
  </w:num>
  <w:num w:numId="30">
    <w:abstractNumId w:val="1"/>
    <w:lvlOverride w:ilvl="0">
      <w:startOverride w:val="1"/>
    </w:lvlOverride>
  </w:num>
  <w:num w:numId="31">
    <w:abstractNumId w:val="1"/>
    <w:lvlOverride w:ilvl="0">
      <w:startOverride w:val="1"/>
    </w:lvlOverride>
  </w:num>
  <w:num w:numId="32">
    <w:abstractNumId w:val="1"/>
    <w:lvlOverride w:ilvl="0">
      <w:startOverride w:val="1"/>
    </w:lvlOverride>
  </w:num>
  <w:num w:numId="33">
    <w:abstractNumId w:val="1"/>
    <w:lvlOverride w:ilvl="0">
      <w:startOverride w:val="1"/>
    </w:lvlOverride>
  </w:num>
  <w:num w:numId="34">
    <w:abstractNumId w:val="1"/>
    <w:lvlOverride w:ilvl="0">
      <w:startOverride w:val="1"/>
    </w:lvlOverride>
  </w:num>
  <w:num w:numId="35">
    <w:abstractNumId w:val="1"/>
    <w:lvlOverride w:ilvl="0">
      <w:startOverride w:val="1"/>
    </w:lvlOverride>
  </w:num>
  <w:num w:numId="36">
    <w:abstractNumId w:val="1"/>
    <w:lvlOverride w:ilvl="0">
      <w:startOverride w:val="1"/>
    </w:lvlOverride>
  </w:num>
  <w:num w:numId="37">
    <w:abstractNumId w:val="1"/>
    <w:lvlOverride w:ilvl="0">
      <w:startOverride w:val="1"/>
    </w:lvlOverride>
  </w:num>
  <w:num w:numId="38">
    <w:abstractNumId w:val="1"/>
    <w:lvlOverride w:ilvl="0">
      <w:startOverride w:val="1"/>
    </w:lvlOverride>
  </w:num>
  <w:num w:numId="39">
    <w:abstractNumId w:val="1"/>
    <w:lvlOverride w:ilvl="0">
      <w:startOverride w:val="1"/>
    </w:lvlOverride>
  </w:num>
  <w:num w:numId="40">
    <w:abstractNumId w:val="1"/>
    <w:lvlOverride w:ilvl="0">
      <w:startOverride w:val="1"/>
    </w:lvlOverride>
  </w:num>
  <w:num w:numId="41">
    <w:abstractNumId w:val="1"/>
    <w:lvlOverride w:ilvl="0">
      <w:startOverride w:val="1"/>
    </w:lvlOverride>
  </w:num>
  <w:num w:numId="42">
    <w:abstractNumId w:val="1"/>
    <w:lvlOverride w:ilvl="0">
      <w:startOverride w:val="1"/>
    </w:lvlOverride>
  </w:num>
  <w:num w:numId="43">
    <w:abstractNumId w:val="1"/>
    <w:lvlOverride w:ilvl="0">
      <w:startOverride w:val="1"/>
    </w:lvlOverride>
  </w:num>
  <w:num w:numId="44">
    <w:abstractNumId w:val="1"/>
    <w:lvlOverride w:ilvl="0">
      <w:startOverride w:val="1"/>
    </w:lvlOverride>
  </w:num>
  <w:num w:numId="45">
    <w:abstractNumId w:val="1"/>
    <w:lvlOverride w:ilvl="0">
      <w:startOverride w:val="1"/>
    </w:lvlOverride>
  </w:num>
  <w:num w:numId="46">
    <w:abstractNumId w:val="1"/>
    <w:lvlOverride w:ilvl="0">
      <w:startOverride w:val="1"/>
    </w:lvlOverride>
  </w:num>
  <w:num w:numId="47">
    <w:abstractNumId w:val="1"/>
    <w:lvlOverride w:ilvl="0">
      <w:startOverride w:val="1"/>
    </w:lvlOverride>
  </w:num>
  <w:num w:numId="48">
    <w:abstractNumId w:val="1"/>
    <w:lvlOverride w:ilvl="0">
      <w:startOverride w:val="1"/>
    </w:lvlOverride>
  </w:num>
  <w:num w:numId="49">
    <w:abstractNumId w:val="1"/>
    <w:lvlOverride w:ilvl="0">
      <w:startOverride w:val="1"/>
    </w:lvlOverride>
  </w:num>
  <w:num w:numId="50">
    <w:abstractNumId w:val="1"/>
    <w:lvlOverride w:ilvl="0">
      <w:startOverride w:val="1"/>
    </w:lvlOverride>
  </w:num>
  <w:num w:numId="51">
    <w:abstractNumId w:val="1"/>
    <w:lvlOverride w:ilvl="0">
      <w:startOverride w:val="1"/>
    </w:lvlOverride>
  </w:num>
  <w:num w:numId="52">
    <w:abstractNumId w:val="1"/>
    <w:lvlOverride w:ilvl="0">
      <w:startOverride w:val="1"/>
    </w:lvlOverride>
  </w:num>
  <w:num w:numId="53">
    <w:abstractNumId w:val="1"/>
    <w:lvlOverride w:ilvl="0">
      <w:startOverride w:val="1"/>
    </w:lvlOverride>
  </w:num>
  <w:num w:numId="54">
    <w:abstractNumId w:val="1"/>
    <w:lvlOverride w:ilvl="0">
      <w:startOverride w:val="1"/>
    </w:lvlOverride>
  </w:num>
  <w:num w:numId="55">
    <w:abstractNumId w:val="1"/>
    <w:lvlOverride w:ilvl="0">
      <w:startOverride w:val="1"/>
    </w:lvlOverride>
  </w:num>
  <w:num w:numId="56">
    <w:abstractNumId w:val="1"/>
    <w:lvlOverride w:ilvl="0">
      <w:startOverride w:val="1"/>
    </w:lvlOverride>
  </w:num>
  <w:num w:numId="57">
    <w:abstractNumId w:val="1"/>
    <w:lvlOverride w:ilvl="0">
      <w:startOverride w:val="1"/>
    </w:lvlOverride>
  </w:num>
  <w:num w:numId="58">
    <w:abstractNumId w:val="1"/>
    <w:lvlOverride w:ilvl="0">
      <w:startOverride w:val="1"/>
    </w:lvlOverride>
  </w:num>
  <w:num w:numId="59">
    <w:abstractNumId w:val="1"/>
    <w:lvlOverride w:ilvl="0">
      <w:startOverride w:val="1"/>
    </w:lvlOverride>
  </w:num>
  <w:num w:numId="60">
    <w:abstractNumId w:val="1"/>
    <w:lvlOverride w:ilvl="0">
      <w:startOverride w:val="1"/>
    </w:lvlOverride>
  </w:num>
  <w:num w:numId="61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ko-KR" w:eastAsia="ko-KR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algun Gothic" w:cs="Calibri"/>
        <w:sz w:val="20"/>
        <w:szCs w:val="20"/>
        <w:lang w:val="ko-KR" w:eastAsia="ko-KR" w:bidi="ar-SA"/>
      </w:rPr>
    </w:rPrDefault>
    <w:pPrDefault>
      <w:pPr>
        <w:spacing w:after="100" w:line="312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AgexTable">
    <w:name w:val="NAgex Table"/>
    <w:basedOn w:val="TableNormal"/>
    <w:uiPriority w:val="59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40" w:type="dxa"/>
        <w:left w:w="100" w:type="dxa"/>
        <w:bottom w:w="4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0" w:after="240"/>
    </w:pPr>
    <w:rPr>
      <w:b/>
      <w:color w:val="1F3864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80" w:after="80"/>
      <w:outlineLvl w:val="0"/>
    </w:pPr>
    <w:rPr>
      <w:b/>
      <w:color w:val="1F3864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spacing w:before="220" w:after="80"/>
      <w:outlineLvl w:val="1"/>
    </w:pPr>
    <w:rPr>
      <w:b/>
      <w:color w:val="2F5496"/>
      <w:sz w:val="24"/>
      <w:szCs w:val="24"/>
    </w:rPr>
  </w:style>
  <w:style w:type="paragraph" w:styleId="Heading3">
    <w:name w:val="heading 3"/>
    <w:basedOn w:val="Normal"/>
    <w:next w:val="Normal"/>
    <w:uiPriority w:val="9"/>
    <w:qFormat/>
    <w:pPr>
      <w:keepNext/>
      <w:spacing w:before="160" w:after="80"/>
      <w:outlineLvl w:val="2"/>
    </w:pPr>
    <w:rPr>
      <w:b/>
      <w:color w:val="2F5496"/>
      <w:sz w:val="22"/>
      <w:szCs w:val="22"/>
    </w:rPr>
  </w:style>
  <w:style w:type="paragraph" w:styleId="Heading4">
    <w:name w:val="heading 4"/>
    <w:basedOn w:val="Normal"/>
    <w:next w:val="Normal"/>
    <w:uiPriority w:val="9"/>
    <w:qFormat/>
    <w:pPr>
      <w:keepNext/>
      <w:spacing w:before="120" w:after="80"/>
      <w:outlineLvl w:val="3"/>
    </w:pPr>
    <w:rPr>
      <w:b/>
      <w:color w:val="404040"/>
      <w:sz w:val="20"/>
      <w:szCs w:val="20"/>
    </w:rPr>
  </w:style>
  <w:style w:type="paragraph" w:styleId="ListBullet">
    <w:name w:val="List Bullet"/>
    <w:basedOn w:val="Normal"/>
    <w:pPr>
      <w:spacing w:after="60"/>
    </w:pPr>
  </w:style>
  <w:style w:type="paragraph" w:styleId="ListNumber">
    <w:name w:val="List Number"/>
    <w:basedOn w:val="Normal"/>
    <w:pPr>
      <w:spacing w:after="60"/>
    </w:pPr>
  </w:style>
  <w:style w:type="paragraph" w:styleId="Quote">
    <w:name w:val="Quote"/>
    <w:basedOn w:val="Normal"/>
    <w:pPr>
      <w:ind w:left="567"/>
    </w:pPr>
    <w:rPr>
      <w:i/>
      <w:color w:val="595959"/>
    </w:rPr>
  </w:style>
  <w:style w:type="paragraph" w:styleId="Caption">
    <w:name w:val="caption"/>
    <w:basedOn w:val="Normal"/>
    <w:next w:val="Normal"/>
    <w:uiPriority w:val="35"/>
    <w:qFormat/>
    <w:pPr>
      <w:spacing w:before="40" w:after="160"/>
      <w:jc w:val="center"/>
    </w:pPr>
    <w:rPr>
      <w:i/>
      <w:color w:val="595959"/>
      <w:sz w:val="18"/>
      <w:szCs w:val="18"/>
    </w:rPr>
  </w:style>
  <w:style w:type="paragraph" w:styleId="Header">
    <w:name w:val="header"/>
    <w:basedOn w:val="Normal"/>
    <w:uiPriority w:val="99"/>
    <w:pPr>
      <w:spacing w:after="0" w:line="240" w:lineRule="auto"/>
    </w:pPr>
    <w:rPr>
      <w:color w:val="7F7F7F"/>
      <w:sz w:val="16"/>
      <w:szCs w:val="16"/>
    </w:rPr>
  </w:style>
  <w:style w:type="paragraph" w:styleId="Footer">
    <w:name w:val="footer"/>
    <w:basedOn w:val="Normal"/>
    <w:uiPriority w:val="99"/>
    <w:pPr>
      <w:spacing w:after="0" w:line="240" w:lineRule="auto"/>
    </w:pPr>
    <w:rPr>
      <w:color w:val="7F7F7F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6" Type="http://schemas.openxmlformats.org/officeDocument/2006/relationships/header" Target="header2.xml"/><Relationship Id="rId5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NAgex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2026년 3분기 운영 보고서</dc:title>
  <dc:creator>NAgex</dc:creator>
  <dc:language>ko-KR</dc:language>
  <cp:lastModifiedBy>NAgex</cp:lastModifiedBy>
  <dcterms:created xsi:type="dcterms:W3CDTF">2026-10-17T08:36:51Z</dcterms:created>
  <dcterms:modified xsi:type="dcterms:W3CDTF">2026-10-17T08:36:51Z</dcterms:modified>
</cp:coreProperties>
</file>