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Decision Memo: 12-Week Working-Model Pilot Recommendation</w:t>
      </w:r>
    </w:p>
    <w:p>
      <w:pPr>
        <w:pStyle w:val="Heading2"/>
        <w:keepNext/>
      </w:pPr>
      <w:r>
        <w:t xml:space="preserve">Executive Summary</w:t>
      </w:r>
    </w:p>
    <w:p>
      <w:r>
        <w:t xml:space="preserve">To determine the optimal long-term working model for our team of 30 people, this memo evaluates three 12-week pilot options: Option A (hybrid, 3 office days), Option B (fully remote), and Option C (office only). A decision is required by 2026-11-15. Based on cost, risk, and operational needs, Option A is recommended.</w:t>
      </w:r>
    </w:p>
    <w:p>
      <w:pPr>
        <w:pStyle w:val="Heading2"/>
        <w:keepNext/>
      </w:pPr>
      <w:r>
        <w:t xml:space="preserve">Option Comparison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4431"/>
        <w:gridCol w:w="1302"/>
        <w:gridCol w:w="1302"/>
        <w:gridCol w:w="1041"/>
        <w:gridCol w:w="1562"/>
      </w:tblGrid>
      <w:tr>
        <w:trPr>
          <w:cantSplit/>
          <w:tblHeader/>
        </w:trPr>
        <w:tc>
          <w:tcPr>
            <w:tcW w:w="4431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Working Model</w:t>
            </w:r>
          </w:p>
        </w:tc>
        <w:tc>
          <w:tcPr>
            <w:tcW w:w="1302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Duration</w:t>
            </w:r>
          </w:p>
        </w:tc>
        <w:tc>
          <w:tcPr>
            <w:tcW w:w="1302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Team Size</w:t>
            </w:r>
          </w:p>
        </w:tc>
        <w:tc>
          <w:tcPr>
            <w:tcW w:w="1041" w:type="dxa"/>
            <w:shd w:val="clear" w:color="auto" w:fill="EAF0FB"/>
            <w:vAlign w:val="center"/>
          </w:tcPr>
          <w:p>
            <w:pPr>
              <w:spacing w:before="40" w:after="40"/>
              <w:jc w:val="right"/>
            </w:pPr>
            <w:r>
              <w:rPr>
                <w:b/>
              </w:rPr>
              <w:t xml:space="preserve">Cost</w:t>
            </w:r>
          </w:p>
        </w:tc>
        <w:tc>
          <w:tcPr>
            <w:tcW w:w="1562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Risk Level</w:t>
            </w:r>
          </w:p>
        </w:tc>
      </w:tr>
      <w:tr>
        <w:trPr>
          <w:cantSplit/>
        </w:trPr>
        <w:tc>
          <w:tcPr>
            <w:tcW w:w="4431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Option A (Hybrid, 3 office days)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 people</w:t>
            </w:r>
          </w:p>
        </w:tc>
        <w:tc>
          <w:tcPr>
            <w:tcW w:w="1041" w:type="dxa"/>
            <w:vAlign w:val="center"/>
          </w:tcPr>
          <w:p>
            <w:pPr>
              <w:spacing w:before="40" w:after="40"/>
              <w:jc w:val="right"/>
            </w:pPr>
            <w:r>
              <w:t xml:space="preserve">$18,000</w:t>
            </w:r>
          </w:p>
        </w:tc>
        <w:tc>
          <w:tcPr>
            <w:tcW w:w="156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w="4431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Option B (Fully Remote)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 people</w:t>
            </w:r>
          </w:p>
        </w:tc>
        <w:tc>
          <w:tcPr>
            <w:tcW w:w="1041" w:type="dxa"/>
            <w:vAlign w:val="center"/>
          </w:tcPr>
          <w:p>
            <w:pPr>
              <w:spacing w:before="40" w:after="40"/>
              <w:jc w:val="right"/>
            </w:pPr>
            <w:r>
              <w:t xml:space="preserve">$9,500</w:t>
            </w:r>
          </w:p>
        </w:tc>
        <w:tc>
          <w:tcPr>
            <w:tcW w:w="156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Medium</w:t>
            </w:r>
          </w:p>
        </w:tc>
      </w:tr>
      <w:tr>
        <w:trPr>
          <w:cantSplit/>
        </w:trPr>
        <w:tc>
          <w:tcPr>
            <w:tcW w:w="4431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Option C (Office Only)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 weeks</w:t>
            </w:r>
          </w:p>
        </w:tc>
        <w:tc>
          <w:tcPr>
            <w:tcW w:w="130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 people</w:t>
            </w:r>
          </w:p>
        </w:tc>
        <w:tc>
          <w:tcPr>
            <w:tcW w:w="1041" w:type="dxa"/>
            <w:vAlign w:val="center"/>
          </w:tcPr>
          <w:p>
            <w:pPr>
              <w:spacing w:before="40" w:after="40"/>
              <w:jc w:val="right"/>
            </w:pPr>
            <w:r>
              <w:t xml:space="preserve">$24,000</w:t>
            </w:r>
          </w:p>
        </w:tc>
        <w:tc>
          <w:tcPr>
            <w:tcW w:w="1562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Low</w:t>
            </w:r>
          </w:p>
        </w:tc>
      </w:tr>
    </w:tbl>
    <w:p/>
    <w:p>
      <w:pPr>
        <w:pStyle w:val="Heading2"/>
        <w:keepNext/>
      </w:pPr>
      <w:r>
        <w:t xml:space="preserve">Recommendation and Rationale</w:t>
      </w:r>
    </w:p>
    <w:p>
      <w:r>
        <w:t xml:space="preserve">It is recommended to proceed with </w:t>
      </w:r>
      <w:r>
        <w:rPr>
          <w:b/>
        </w:rPr>
        <w:t xml:space="preserve">Option A (hybrid, 3 office days)</w:t>
      </w:r>
      <w:r>
        <w:t xml:space="preserve"> for the 12-week pilot.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Balanced Approach:</w:t>
      </w:r>
      <w:r>
        <w:t xml:space="preserve"> Option A provides a structured balance between in-person collaboration and remote flexibility for the 30-person team.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Risk Management:</w:t>
      </w:r>
      <w:r>
        <w:t xml:space="preserve"> Compared to Option B, which carries a medium risk level, Option A maintains a low risk profile similar to Option C.</w:t>
      </w:r>
    </w:p>
    <w:p>
      <w:pPr>
        <w:pStyle w:val="ListBullet"/>
        <w:numPr>
          <w:ilvl w:val="0"/>
          <w:numId w:val="1"/>
        </w:numPr>
      </w:pPr>
      <w:r>
        <w:rPr>
          <w:b/>
        </w:rPr>
        <w:t xml:space="preserve">Cost Efficiency:</w:t>
      </w:r>
      <w:r>
        <w:t xml:space="preserve"> While Option B is the least expensive at $9,500, Option A offers a moderate cost of $18,000—significantly lower than the $24,000 required for Option C while still securing the benefits of office presence.</w:t>
      </w:r>
    </w:p>
    <w:p>
      <w:pPr>
        <w:pStyle w:val="Heading2"/>
        <w:keepNext/>
      </w:pPr>
      <w:r>
        <w:t xml:space="preserve">Next Steps</w:t>
      </w:r>
    </w:p>
    <w:p>
      <w:pPr>
        <w:pStyle w:val="ListNumber"/>
        <w:numPr>
          <w:ilvl w:val="0"/>
          <w:numId w:val="5"/>
        </w:numPr>
      </w:pPr>
      <w:r>
        <w:t xml:space="preserve">Review this recommendation and finalize the selection by the decision deadline of 2026-11-15.</w:t>
      </w:r>
    </w:p>
    <w:p>
      <w:pPr>
        <w:pStyle w:val="ListNumber"/>
        <w:numPr>
          <w:ilvl w:val="0"/>
          <w:numId w:val="5"/>
        </w:numPr>
      </w:pPr>
      <w:r>
        <w:t xml:space="preserve">Communicate the selected pilot structure to the 30 team members.</w:t>
      </w:r>
    </w:p>
    <w:p>
      <w:pPr>
        <w:pStyle w:val="ListNumber"/>
        <w:numPr>
          <w:ilvl w:val="0"/>
          <w:numId w:val="5"/>
        </w:numPr>
      </w:pPr>
      <w:r>
        <w:t xml:space="preserve">Prepare the operational and logistical requirements for the 12-week duration.</w:t>
      </w:r>
    </w:p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Decision Memo: 12-Week Working-Model Pilot Recommendation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en-US" w:eastAsia="en-US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Decision Memo: 12-Week Working-Model Pilot Recommendation</dc:title>
  <dc:creator>NAgex</dc:creator>
  <dc:language>en-US</dc:language>
  <cp:lastModifiedBy>NAgex</cp:lastModifiedBy>
  <dcterms:created xsi:type="dcterms:W3CDTF">2026-10-17T08:44:12Z</dcterms:created>
  <dcterms:modified xsi:type="dcterms:W3CDTF">2026-10-17T08:44:12Z</dcterms:modified>
</cp:coreProperties>
</file>