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595959"/>
          <w:sz w:val="20"/>
          <w:szCs w:val="20"/>
        </w:rPr>
        <w:t xml:space="preserve">YUVA INTERN – AGRICULTURE &amp; AGRIBUSINESS SECTOR</w:t>
      </w:r>
    </w:p>
    <w:p>
      <w:pPr>
        <w:spacing w:after="40" w:before="120"/>
        <w:jc w:val="center"/>
      </w:pPr>
      <w:r>
        <w:rPr>
          <w:b/>
          <w:bCs/>
          <w:color w:val="1F3864"/>
          <w:sz w:val="34"/>
          <w:szCs w:val="34"/>
        </w:rPr>
        <w:t xml:space="preserve">Week 2 Task: Data Cleaning and Preprocessing Strategy</w:t>
      </w:r>
    </w:p>
    <w:p>
      <w:pPr>
        <w:spacing w:after="300"/>
        <w:jc w:val="center"/>
      </w:pPr>
      <w:r>
        <w:rPr>
          <w:i/>
          <w:iCs/>
          <w:color w:val="E67E22"/>
          <w:sz w:val="24"/>
          <w:szCs w:val="24"/>
        </w:rPr>
        <w:t xml:space="preserve">A Preprocessing Strategy for Agricultural Mandi Price &amp; Arrivals Data</w:t>
      </w:r>
    </w:p>
    <w:p>
      <w:pPr>
        <w:spacing w:after="20"/>
        <w:jc w:val="center"/>
      </w:pPr>
      <w:r>
        <w:rPr>
          <w:color w:val="595959"/>
          <w:sz w:val="20"/>
          <w:szCs w:val="20"/>
        </w:rPr>
        <w:t xml:space="preserve">Prepared by: [Your Name]</w:t>
      </w:r>
    </w:p>
    <w:p>
      <w:pPr>
        <w:spacing w:after="400"/>
        <w:jc w:val="center"/>
      </w:pPr>
      <w:r>
        <w:rPr>
          <w:color w:val="595959"/>
          <w:sz w:val="20"/>
          <w:szCs w:val="20"/>
        </w:rPr>
        <w:t xml:space="preserve">Date: [Submission Date]</w:t>
      </w:r>
    </w:p>
    <w:p>
      <w:pPr>
        <w:pStyle w:val="Heading1"/>
        <w:pBdr>
          <w:bottom w:val="single" w:color="E67E22" w:sz="6" w:space="4"/>
        </w:pBdr>
        <w:spacing w:after="160" w:before="320"/>
      </w:pPr>
      <w:r>
        <w:rPr>
          <w:b/>
          <w:bCs/>
          <w:color w:val="1F3864"/>
          <w:sz w:val="28"/>
          <w:szCs w:val="28"/>
        </w:rPr>
        <w:t xml:space="preserve">Executive Summary</w:t>
      </w:r>
    </w:p>
    <w:p>
      <w:pPr>
        <w:spacing w:after="160" w:line="300"/>
        <w:jc w:val="both"/>
      </w:pPr>
      <w:r>
        <w:rPr>
          <w:sz w:val="22"/>
          <w:szCs w:val="22"/>
        </w:rPr>
        <w:t xml:space="preserve">This report sets out a complete data cleaning and preprocessing strategy for agricultural datasets, using a hypothetical mandi (market) price and arrivals dataset as the running example — building on the post-harvest loss focus established in Week 1. Agricultural data carries a distinctive set of quality problems: missing reports on non-trading days, outliers from manual data-entry errors, genuine seasonal swings that must not be mistaken for noise, and inconsistent units and formats across mandis and states. The strategy proposed here follows a six-stage pipeline — profiling, missing-data handling, outlier detection, normalization, format transformation, and validation — with a clear rationale for each stage and worked, hypothetical before/after examples. The goal is a dataset that is consistent, comparable across sources, and trustworthy enough to support the predictive modelling proposed in Week 1 (spoilage-risk prediction, price forecasting, and infrastructure-gap analysis).</w:t>
      </w:r>
    </w:p>
    <w:p>
      <w:pPr>
        <w:pStyle w:val="Heading1"/>
        <w:pBdr>
          <w:bottom w:val="single" w:color="E67E22" w:sz="6" w:space="4"/>
        </w:pBdr>
        <w:spacing w:after="160" w:before="320"/>
      </w:pPr>
      <w:r>
        <w:rPr>
          <w:b/>
          <w:bCs/>
          <w:color w:val="1F3864"/>
          <w:sz w:val="28"/>
          <w:szCs w:val="28"/>
        </w:rPr>
        <w:t xml:space="preserve">1. Objective</w:t>
      </w:r>
    </w:p>
    <w:p>
      <w:pPr>
        <w:spacing w:after="160" w:line="300"/>
        <w:jc w:val="both"/>
      </w:pPr>
      <w:r>
        <w:rPr>
          <w:sz w:val="22"/>
          <w:szCs w:val="22"/>
        </w:rPr>
        <w:t xml:space="preserve">This week's task focuses on the preprocessing phase of data analysis: developing a detailed strategy report outlining how to clean and prepare raw agricultural data for meaningful analysis. The report identifies common data quality issues in agriculture-related datasets, proposes a step-by-step preprocessing workflow covering imputation, normalization, transformation, outlier detection, and validation, and illustrates each technique with hypothetical, generic examples structured around Agmarknet, India's public mandi price and arrivals dataset (introduced in Section 2).</w:t>
      </w:r>
    </w:p>
    <w:p>
      <w:pPr>
        <w:pStyle w:val="Heading1"/>
        <w:pBdr>
          <w:bottom w:val="single" w:color="E67E22" w:sz="6" w:space="4"/>
        </w:pBdr>
        <w:spacing w:after="160" w:before="320"/>
      </w:pPr>
      <w:r>
        <w:rPr>
          <w:b/>
          <w:bCs/>
          <w:color w:val="1F3864"/>
          <w:sz w:val="28"/>
          <w:szCs w:val="28"/>
        </w:rPr>
        <w:t xml:space="preserve">2. Reference Dataset</w:t>
      </w:r>
    </w:p>
    <w:p>
      <w:pPr>
        <w:spacing w:after="160" w:line="300"/>
        <w:jc w:val="both"/>
      </w:pPr>
      <w:r>
        <w:rPr>
          <w:sz w:val="22"/>
          <w:szCs w:val="22"/>
        </w:rPr>
        <w:t xml:space="preserve">The strategy in this report is designed around the structure of Agmarknet (the Agricultural Marketing Information Network), the Government of India's official portal for daily mandi price and arrival data, maintained by the Directorate of Marketing &amp; Inspection under the Ministry of Agriculture &amp; Farmers Welfare, and also accessible via the data.gov.in open data API. Agmarknet publishes daily price and arrival records for over 300 commodities and 1,500+ varieties across thousands of wholesale markets (APMCs) nationwide, making it one of the most widely used public datasets for agricultural market analysis in India.</w:t>
      </w:r>
    </w:p>
    <w:p>
      <w:pPr>
        <w:spacing w:after="160" w:line="300"/>
        <w:jc w:val="both"/>
      </w:pPr>
      <w:r>
        <w:rPr>
          <w:sz w:val="22"/>
          <w:szCs w:val="22"/>
        </w:rPr>
        <w:t xml:space="preserve">Its core fields are directly relevant to the cleaning strategy that follows:</w:t>
      </w:r>
    </w:p>
    <w:p>
      <w:pPr>
        <w:pStyle w:val="ListParagraph"/>
        <w:numPr>
          <w:ilvl w:val="0"/>
          <w:numId w:val="2"/>
        </w:numPr>
        <w:spacing w:after="80" w:line="280"/>
      </w:pPr>
      <w:r>
        <w:rPr>
          <w:sz w:val="22"/>
          <w:szCs w:val="22"/>
        </w:rPr>
        <w:t xml:space="preserve">Location fields: State, District, Market (APMC name)</w:t>
      </w:r>
    </w:p>
    <w:p>
      <w:pPr>
        <w:pStyle w:val="ListParagraph"/>
        <w:numPr>
          <w:ilvl w:val="0"/>
          <w:numId w:val="2"/>
        </w:numPr>
        <w:spacing w:after="80" w:line="280"/>
      </w:pPr>
      <w:r>
        <w:rPr>
          <w:sz w:val="22"/>
          <w:szCs w:val="22"/>
        </w:rPr>
        <w:t xml:space="preserve">Commodity fields: Commodity Group, Commodity, Variety, Grade</w:t>
      </w:r>
    </w:p>
    <w:p>
      <w:pPr>
        <w:pStyle w:val="ListParagraph"/>
        <w:numPr>
          <w:ilvl w:val="0"/>
          <w:numId w:val="2"/>
        </w:numPr>
        <w:spacing w:after="80" w:line="280"/>
      </w:pPr>
      <w:r>
        <w:rPr>
          <w:sz w:val="22"/>
          <w:szCs w:val="22"/>
        </w:rPr>
        <w:t xml:space="preserve">Price fields: Minimum Price, Maximum Price, Modal Price (typically ₹ per quintal)</w:t>
      </w:r>
    </w:p>
    <w:p>
      <w:pPr>
        <w:pStyle w:val="ListParagraph"/>
        <w:numPr>
          <w:ilvl w:val="0"/>
          <w:numId w:val="2"/>
        </w:numPr>
        <w:spacing w:after="80" w:line="280"/>
      </w:pPr>
      <w:r>
        <w:rPr>
          <w:sz w:val="22"/>
          <w:szCs w:val="22"/>
        </w:rPr>
        <w:t xml:space="preserve">Volume fields: Arrival Quantity, Unit</w:t>
      </w:r>
    </w:p>
    <w:p>
      <w:pPr>
        <w:pStyle w:val="ListParagraph"/>
        <w:numPr>
          <w:ilvl w:val="0"/>
          <w:numId w:val="2"/>
        </w:numPr>
        <w:spacing w:after="80" w:line="280"/>
      </w:pPr>
      <w:r>
        <w:rPr>
          <w:sz w:val="22"/>
          <w:szCs w:val="22"/>
        </w:rPr>
        <w:t xml:space="preserve">Temporal field: Arrival Date</w:t>
      </w:r>
    </w:p>
    <w:p>
      <w:pPr>
        <w:spacing w:after="160" w:line="300"/>
        <w:jc w:val="both"/>
      </w:pPr>
      <w:r>
        <w:rPr>
          <w:sz w:val="22"/>
          <w:szCs w:val="22"/>
        </w:rPr>
        <w:t xml:space="preserve">No live Agmarknet data has been downloaded or analyzed for this task — per the task brief, this report instead uses hypothetical, generic records that mirror Agmarknet's real field structure (state, district, market, commodity, price, arrival date, etc.) to demonstrate how each preprocessing technique would be applied. This keeps the illustrations grounded in a real, publicly documented dataset while meeting the task's requirement for generic, illustrative examples rather than a live data analysis. Independent reviews of Agmarknet-sourced datasets (e.g. open-source projects built on data.gov.in's Agmarknet resource) consistently report exactly the issues catalogued in Section 4 — price outliers from unit-entry errors, inconsistent state/commodity name spellings, and missing days — which is what motivates the workflow in Section 5.</w:t>
      </w:r>
    </w:p>
    <w:p>
      <w:pPr>
        <w:pStyle w:val="Heading1"/>
        <w:pBdr>
          <w:bottom w:val="single" w:color="E67E22" w:sz="6" w:space="4"/>
        </w:pBdr>
        <w:spacing w:after="160" w:before="320"/>
      </w:pPr>
      <w:r>
        <w:rPr>
          <w:b/>
          <w:bCs/>
          <w:color w:val="1F3864"/>
          <w:sz w:val="28"/>
          <w:szCs w:val="28"/>
        </w:rPr>
        <w:t xml:space="preserve">3. Literature Review: Data Cleaning Best Practices</w:t>
      </w:r>
    </w:p>
    <w:p>
      <w:pPr>
        <w:spacing w:after="160" w:line="300"/>
        <w:jc w:val="both"/>
      </w:pPr>
      <w:r>
        <w:rPr>
          <w:sz w:val="22"/>
          <w:szCs w:val="22"/>
        </w:rPr>
        <w:t xml:space="preserve">Standard data science practice treats data cleaning as a distinct, auditable phase that precedes any modelling — commonly summarized as the sequence: profile, clean, transform, validate. For agricultural datasets specifically, publicly documented experience from government and research data portals (e.g. Agmarknet mandi price data, ICAR crop datasets) highlights a few recurring themes:</w:t>
      </w:r>
    </w:p>
    <w:p>
      <w:pPr>
        <w:pStyle w:val="ListParagraph"/>
        <w:numPr>
          <w:ilvl w:val="0"/>
          <w:numId w:val="2"/>
        </w:numPr>
        <w:spacing w:after="80" w:line="280"/>
      </w:pPr>
      <w:r>
        <w:rPr>
          <w:sz w:val="22"/>
          <w:szCs w:val="22"/>
        </w:rPr>
        <w:t xml:space="preserve">Agricultural data is collected across thousands of decentralized reporting points (individual mandis, weather stations, farm surveys), which makes inconsistency — rather than outright absence — the dominant quality problem.</w:t>
      </w:r>
    </w:p>
    <w:p>
      <w:pPr>
        <w:pStyle w:val="ListParagraph"/>
        <w:numPr>
          <w:ilvl w:val="0"/>
          <w:numId w:val="2"/>
        </w:numPr>
        <w:spacing w:after="80" w:line="280"/>
      </w:pPr>
      <w:r>
        <w:rPr>
          <w:sz w:val="22"/>
          <w:szCs w:val="22"/>
        </w:rPr>
        <w:t xml:space="preserve">Seasonality is a core feature of agricultural data, not an error; cleaning strategies must distinguish genuine seasonal structure from noise or anomalies, rather than smoothing both away equally.</w:t>
      </w:r>
    </w:p>
    <w:p>
      <w:pPr>
        <w:pStyle w:val="ListParagraph"/>
        <w:numPr>
          <w:ilvl w:val="0"/>
          <w:numId w:val="2"/>
        </w:numPr>
        <w:spacing w:after="80" w:line="280"/>
      </w:pPr>
      <w:r>
        <w:rPr>
          <w:sz w:val="22"/>
          <w:szCs w:val="22"/>
        </w:rPr>
        <w:t xml:space="preserve">Because reporting units (kg, quintal, tonne) and currencies/time formats vary by state and source in India, unit and format standardization is consistently flagged as a prerequisite step before any cross-region analysis.</w:t>
      </w:r>
    </w:p>
    <w:p>
      <w:pPr>
        <w:pStyle w:val="ListParagraph"/>
        <w:numPr>
          <w:ilvl w:val="0"/>
          <w:numId w:val="2"/>
        </w:numPr>
        <w:spacing w:after="80" w:line="280"/>
      </w:pPr>
      <w:r>
        <w:rPr>
          <w:sz w:val="22"/>
          <w:szCs w:val="22"/>
        </w:rPr>
        <w:t xml:space="preserve">Outlier handling in commodity price data is best done with human-in-the-loop review rather than full automation, since genuine price shocks (e.g. due to supply disruption) are meaningful signal, not error.</w:t>
      </w:r>
    </w:p>
    <w:p>
      <w:pPr>
        <w:spacing w:after="160" w:line="300"/>
        <w:jc w:val="both"/>
      </w:pPr>
      <w:r>
        <w:rPr>
          <w:sz w:val="22"/>
          <w:szCs w:val="22"/>
        </w:rPr>
        <w:t xml:space="preserve">These principles directly inform the workflow proposed in Section 5.</w:t>
      </w:r>
    </w:p>
    <w:p>
      <w:pPr>
        <w:pStyle w:val="Heading1"/>
        <w:pBdr>
          <w:bottom w:val="single" w:color="E67E22" w:sz="6" w:space="4"/>
        </w:pBdr>
        <w:spacing w:after="160" w:before="320"/>
      </w:pPr>
      <w:r>
        <w:rPr>
          <w:b/>
          <w:bCs/>
          <w:color w:val="1F3864"/>
          <w:sz w:val="28"/>
          <w:szCs w:val="28"/>
        </w:rPr>
        <w:t xml:space="preserve">4. Common Data Issues in Agricultural Datasets</w:t>
      </w:r>
    </w:p>
    <w:p>
      <w:pPr>
        <w:spacing w:after="160" w:line="300"/>
        <w:jc w:val="both"/>
      </w:pPr>
      <w:r>
        <w:rPr>
          <w:sz w:val="22"/>
          <w:szCs w:val="22"/>
        </w:rPr>
        <w:t xml:space="preserve">Before designing a cleaning workflow, it's necessary to catalogue the specific issues likely to appear in agricultural data. The table below lists six recurring categories, how each typically shows up in agri datasets such as mandi price/arrivals data, and a hypothetical example of each.</w:t>
      </w:r>
    </w:p>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900"/>
          <w:gridCol w:w="3200"/>
          <w:gridCol w:w="3600"/>
        </w:tblGrid>
        <w:tr>
          <w:trPr>
            <w:tblHeader/>
          </w:trPr>
          <w:tc>
            <w:tcPr>
              <w:tcW w:type="dxa" w:w="1900"/>
              <w:shd w:fill="1F3864" w:val="clear"/>
              <w:tcMar>
                <w:top w:type="dxa" w:w="100"/>
                <w:left w:type="dxa" w:w="120"/>
                <w:bottom w:type="dxa" w:w="100"/>
                <w:right w:type="dxa" w:w="120"/>
              </w:tcMar>
            </w:tcPr>
            <w:p>
              <w:r>
                <w:rPr>
                  <w:b/>
                  <w:bCs/>
                  <w:color w:val="FFFFFF"/>
                  <w:sz w:val="19"/>
                  <w:szCs w:val="19"/>
                </w:rPr>
                <w:t xml:space="preserve">Issue Type</w:t>
              </w:r>
            </w:p>
          </w:tc>
          <w:tc>
            <w:tcPr>
              <w:tcW w:type="dxa" w:w="3200"/>
              <w:shd w:fill="1F3864" w:val="clear"/>
              <w:tcMar>
                <w:top w:type="dxa" w:w="100"/>
                <w:left w:type="dxa" w:w="120"/>
                <w:bottom w:type="dxa" w:w="100"/>
                <w:right w:type="dxa" w:w="120"/>
              </w:tcMar>
            </w:tcPr>
            <w:p>
              <w:r>
                <w:rPr>
                  <w:b/>
                  <w:bCs/>
                  <w:color w:val="FFFFFF"/>
                  <w:sz w:val="19"/>
                  <w:szCs w:val="19"/>
                </w:rPr>
                <w:t xml:space="preserve">How It Appears in Agri Datasets</w:t>
              </w:r>
            </w:p>
          </w:tc>
          <w:tc>
            <w:tcPr>
              <w:tcW w:type="dxa" w:w="3600"/>
              <w:shd w:fill="1F3864" w:val="clear"/>
              <w:tcMar>
                <w:top w:type="dxa" w:w="100"/>
                <w:left w:type="dxa" w:w="120"/>
                <w:bottom w:type="dxa" w:w="100"/>
                <w:right w:type="dxa" w:w="120"/>
              </w:tcMar>
            </w:tcPr>
            <w:p>
              <w:r>
                <w:rPr>
                  <w:b/>
                  <w:bCs/>
                  <w:color w:val="FFFFFF"/>
                  <w:sz w:val="19"/>
                  <w:szCs w:val="19"/>
                </w:rPr>
                <w:t xml:space="preserve">Example (Hypothetical)</w:t>
              </w:r>
            </w:p>
          </w:tc>
        </w:tr>
        <w:tr>
          <w:tc>
            <w:tcPr>
              <w:tcW w:type="dxa" w:w="1900"/>
              <w:tcMar>
                <w:top w:type="dxa" w:w="100"/>
                <w:left w:type="dxa" w:w="120"/>
                <w:bottom w:type="dxa" w:w="100"/>
                <w:right w:type="dxa" w:w="120"/>
              </w:tcMar>
            </w:tcPr>
            <w:p>
              <w:r>
                <w:rPr>
                  <w:b w:val="false"/>
                  <w:bCs w:val="false"/>
                  <w:color w:val="000000"/>
                  <w:sz w:val="19"/>
                  <w:szCs w:val="19"/>
                </w:rPr>
                <w:t xml:space="preserve">Missing data</w:t>
              </w:r>
            </w:p>
          </w:tc>
          <w:tc>
            <w:tcPr>
              <w:tcW w:type="dxa" w:w="3200"/>
              <w:tcMar>
                <w:top w:type="dxa" w:w="100"/>
                <w:left w:type="dxa" w:w="120"/>
                <w:bottom w:type="dxa" w:w="100"/>
                <w:right w:type="dxa" w:w="120"/>
              </w:tcMar>
            </w:tcPr>
            <w:p>
              <w:r>
                <w:rPr>
                  <w:b w:val="false"/>
                  <w:bCs w:val="false"/>
                  <w:color w:val="000000"/>
                  <w:sz w:val="19"/>
                  <w:szCs w:val="19"/>
                </w:rPr>
                <w:t xml:space="preserve">Unreported mandi arrivals on holidays; farmers skipping survey fields; sensor downtime in IoT soil/weather data</w:t>
              </w:r>
            </w:p>
          </w:tc>
          <w:tc>
            <w:tcPr>
              <w:tcW w:type="dxa" w:w="3600"/>
              <w:tcMar>
                <w:top w:type="dxa" w:w="100"/>
                <w:left w:type="dxa" w:w="120"/>
                <w:bottom w:type="dxa" w:w="100"/>
                <w:right w:type="dxa" w:w="120"/>
              </w:tcMar>
            </w:tcPr>
            <w:p>
              <w:r>
                <w:rPr>
                  <w:b w:val="false"/>
                  <w:bCs w:val="false"/>
                  <w:color w:val="000000"/>
                  <w:sz w:val="19"/>
                  <w:szCs w:val="19"/>
                </w:rPr>
                <w:t xml:space="preserve">A 90-day tomato price series has 11 days blank where the mandi was closed or reporting lapsed</w:t>
              </w:r>
            </w:p>
          </w:tc>
        </w:tr>
        <w:tr>
          <w:tc>
            <w:tcPr>
              <w:tcW w:type="dxa" w:w="1900"/>
              <w:shd w:fill="F2F2F2" w:val="clear"/>
              <w:tcMar>
                <w:top w:type="dxa" w:w="100"/>
                <w:left w:type="dxa" w:w="120"/>
                <w:bottom w:type="dxa" w:w="100"/>
                <w:right w:type="dxa" w:w="120"/>
              </w:tcMar>
            </w:tcPr>
            <w:p>
              <w:r>
                <w:rPr>
                  <w:b w:val="false"/>
                  <w:bCs w:val="false"/>
                  <w:color w:val="000000"/>
                  <w:sz w:val="19"/>
                  <w:szCs w:val="19"/>
                </w:rPr>
                <w:t xml:space="preserve">Outliers</w:t>
              </w:r>
            </w:p>
          </w:tc>
          <w:tc>
            <w:tcPr>
              <w:tcW w:type="dxa" w:w="3200"/>
              <w:shd w:fill="F2F2F2" w:val="clear"/>
              <w:tcMar>
                <w:top w:type="dxa" w:w="100"/>
                <w:left w:type="dxa" w:w="120"/>
                <w:bottom w:type="dxa" w:w="100"/>
                <w:right w:type="dxa" w:w="120"/>
              </w:tcMar>
            </w:tcPr>
            <w:p>
              <w:r>
                <w:rPr>
                  <w:b w:val="false"/>
                  <w:bCs w:val="false"/>
                  <w:color w:val="000000"/>
                  <w:sz w:val="19"/>
                  <w:szCs w:val="19"/>
                </w:rPr>
                <w:t xml:space="preserve">Data-entry errors (extra zero), freak yield spikes from a single large farm, one-off price shocks during supply shocks</w:t>
              </w:r>
            </w:p>
          </w:tc>
          <w:tc>
            <w:tcPr>
              <w:tcW w:type="dxa" w:w="3600"/>
              <w:shd w:fill="F2F2F2" w:val="clear"/>
              <w:tcMar>
                <w:top w:type="dxa" w:w="100"/>
                <w:left w:type="dxa" w:w="120"/>
                <w:bottom w:type="dxa" w:w="100"/>
                <w:right w:type="dxa" w:w="120"/>
              </w:tcMar>
            </w:tcPr>
            <w:p>
              <w:r>
                <w:rPr>
                  <w:b w:val="false"/>
                  <w:bCs w:val="false"/>
                  <w:color w:val="000000"/>
                  <w:sz w:val="19"/>
                  <w:szCs w:val="19"/>
                </w:rPr>
                <w:t xml:space="preserve">Onion price recorded as ₹950/quintal for one day in a series averaging ₹18–25/quintal — likely a unit entry error (per kg vs per quintal)</w:t>
              </w:r>
            </w:p>
          </w:tc>
        </w:tr>
        <w:tr>
          <w:tc>
            <w:tcPr>
              <w:tcW w:type="dxa" w:w="1900"/>
              <w:tcMar>
                <w:top w:type="dxa" w:w="100"/>
                <w:left w:type="dxa" w:w="120"/>
                <w:bottom w:type="dxa" w:w="100"/>
                <w:right w:type="dxa" w:w="120"/>
              </w:tcMar>
            </w:tcPr>
            <w:p>
              <w:r>
                <w:rPr>
                  <w:b w:val="false"/>
                  <w:bCs w:val="false"/>
                  <w:color w:val="000000"/>
                  <w:sz w:val="19"/>
                  <w:szCs w:val="19"/>
                </w:rPr>
                <w:t xml:space="preserve">Noise</w:t>
              </w:r>
            </w:p>
          </w:tc>
          <w:tc>
            <w:tcPr>
              <w:tcW w:type="dxa" w:w="3200"/>
              <w:tcMar>
                <w:top w:type="dxa" w:w="100"/>
                <w:left w:type="dxa" w:w="120"/>
                <w:bottom w:type="dxa" w:w="100"/>
                <w:right w:type="dxa" w:w="120"/>
              </w:tcMar>
            </w:tcPr>
            <w:p>
              <w:r>
                <w:rPr>
                  <w:b w:val="false"/>
                  <w:bCs w:val="false"/>
                  <w:color w:val="000000"/>
                  <w:sz w:val="19"/>
                  <w:szCs w:val="19"/>
                </w:rPr>
                <w:t xml:space="preserve">Small random fluctuations from manual weighing, rounding, or inconsistent sampling times across mandis</w:t>
              </w:r>
            </w:p>
          </w:tc>
          <w:tc>
            <w:tcPr>
              <w:tcW w:type="dxa" w:w="3600"/>
              <w:tcMar>
                <w:top w:type="dxa" w:w="100"/>
                <w:left w:type="dxa" w:w="120"/>
                <w:bottom w:type="dxa" w:w="100"/>
                <w:right w:type="dxa" w:w="120"/>
              </w:tcMar>
            </w:tcPr>
            <w:p>
              <w:r>
                <w:rPr>
                  <w:b w:val="false"/>
                  <w:bCs w:val="false"/>
                  <w:color w:val="000000"/>
                  <w:sz w:val="19"/>
                  <w:szCs w:val="19"/>
                </w:rPr>
                <w:t xml:space="preserve">Daily arrival-quantity figures jitter ±2–3% with no real cause, masking the true weekly trend</w:t>
              </w:r>
            </w:p>
          </w:tc>
        </w:tr>
        <w:tr>
          <w:tc>
            <w:tcPr>
              <w:tcW w:type="dxa" w:w="1900"/>
              <w:shd w:fill="F2F2F2" w:val="clear"/>
              <w:tcMar>
                <w:top w:type="dxa" w:w="100"/>
                <w:left w:type="dxa" w:w="120"/>
                <w:bottom w:type="dxa" w:w="100"/>
                <w:right w:type="dxa" w:w="120"/>
              </w:tcMar>
            </w:tcPr>
            <w:p>
              <w:r>
                <w:rPr>
                  <w:b w:val="false"/>
                  <w:bCs w:val="false"/>
                  <w:color w:val="000000"/>
                  <w:sz w:val="19"/>
                  <w:szCs w:val="19"/>
                </w:rPr>
                <w:t xml:space="preserve">Seasonal fluctuations</w:t>
              </w:r>
            </w:p>
          </w:tc>
          <w:tc>
            <w:tcPr>
              <w:tcW w:type="dxa" w:w="3200"/>
              <w:shd w:fill="F2F2F2" w:val="clear"/>
              <w:tcMar>
                <w:top w:type="dxa" w:w="100"/>
                <w:left w:type="dxa" w:w="120"/>
                <w:bottom w:type="dxa" w:w="100"/>
                <w:right w:type="dxa" w:w="120"/>
              </w:tcMar>
            </w:tcPr>
            <w:p>
              <w:r>
                <w:rPr>
                  <w:b w:val="false"/>
                  <w:bCs w:val="false"/>
                  <w:color w:val="000000"/>
                  <w:sz w:val="19"/>
                  <w:szCs w:val="19"/>
                </w:rPr>
                <w:t xml:space="preserve">Genuine but structural swings — harvest-season price crashes, off-season gaps — that must be modelled, not removed</w:t>
              </w:r>
            </w:p>
          </w:tc>
          <w:tc>
            <w:tcPr>
              <w:tcW w:type="dxa" w:w="3600"/>
              <w:shd w:fill="F2F2F2" w:val="clear"/>
              <w:tcMar>
                <w:top w:type="dxa" w:w="100"/>
                <w:left w:type="dxa" w:w="120"/>
                <w:bottom w:type="dxa" w:w="100"/>
                <w:right w:type="dxa" w:w="120"/>
              </w:tcMar>
            </w:tcPr>
            <w:p>
              <w:r>
                <w:rPr>
                  <w:b w:val="false"/>
                  <w:bCs w:val="false"/>
                  <w:color w:val="000000"/>
                  <w:sz w:val="19"/>
                  <w:szCs w:val="19"/>
                </w:rPr>
                <w:t xml:space="preserve">Tomato supply (and price) swings sharply between the Rabi harvest peak and the lean monsoon months</w:t>
              </w:r>
            </w:p>
          </w:tc>
        </w:tr>
        <w:tr>
          <w:tc>
            <w:tcPr>
              <w:tcW w:type="dxa" w:w="1900"/>
              <w:tcMar>
                <w:top w:type="dxa" w:w="100"/>
                <w:left w:type="dxa" w:w="120"/>
                <w:bottom w:type="dxa" w:w="100"/>
                <w:right w:type="dxa" w:w="120"/>
              </w:tcMar>
            </w:tcPr>
            <w:p>
              <w:r>
                <w:rPr>
                  <w:b w:val="false"/>
                  <w:bCs w:val="false"/>
                  <w:color w:val="000000"/>
                  <w:sz w:val="19"/>
                  <w:szCs w:val="19"/>
                </w:rPr>
                <w:t xml:space="preserve">Measurement inconsistencies</w:t>
              </w:r>
            </w:p>
          </w:tc>
          <w:tc>
            <w:tcPr>
              <w:tcW w:type="dxa" w:w="3200"/>
              <w:tcMar>
                <w:top w:type="dxa" w:w="100"/>
                <w:left w:type="dxa" w:w="120"/>
                <w:bottom w:type="dxa" w:w="100"/>
                <w:right w:type="dxa" w:w="120"/>
              </w:tcMar>
            </w:tcPr>
            <w:p>
              <w:r>
                <w:rPr>
                  <w:b w:val="false"/>
                  <w:bCs w:val="false"/>
                  <w:color w:val="000000"/>
                  <w:sz w:val="19"/>
                  <w:szCs w:val="19"/>
                </w:rPr>
                <w:t xml:space="preserve">Different mandis/states reporting in quintals, kg, or tonnes; currency recorded as ₹/kg in one source and ₹/quintal in another</w:t>
              </w:r>
            </w:p>
          </w:tc>
          <w:tc>
            <w:tcPr>
              <w:tcW w:type="dxa" w:w="3600"/>
              <w:tcMar>
                <w:top w:type="dxa" w:w="100"/>
                <w:left w:type="dxa" w:w="120"/>
                <w:bottom w:type="dxa" w:w="100"/>
                <w:right w:type="dxa" w:w="120"/>
              </w:tcMar>
            </w:tcPr>
            <w:p>
              <w:r>
                <w:rPr>
                  <w:b w:val="false"/>
                  <w:bCs w:val="false"/>
                  <w:color w:val="000000"/>
                  <w:sz w:val="19"/>
                  <w:szCs w:val="19"/>
                </w:rPr>
                <w:t xml:space="preserve">One state's dataset reports yield in kg/hectare, another in tonnes/hectare — a 1000x mismatch if unconverted</w:t>
              </w:r>
            </w:p>
          </w:tc>
        </w:tr>
        <w:tr>
          <w:tc>
            <w:tcPr>
              <w:tcW w:type="dxa" w:w="1900"/>
              <w:shd w:fill="F2F2F2" w:val="clear"/>
              <w:tcMar>
                <w:top w:type="dxa" w:w="100"/>
                <w:left w:type="dxa" w:w="120"/>
                <w:bottom w:type="dxa" w:w="100"/>
                <w:right w:type="dxa" w:w="120"/>
              </w:tcMar>
            </w:tcPr>
            <w:p>
              <w:r>
                <w:rPr>
                  <w:b w:val="false"/>
                  <w:bCs w:val="false"/>
                  <w:color w:val="000000"/>
                  <w:sz w:val="19"/>
                  <w:szCs w:val="19"/>
                </w:rPr>
                <w:t xml:space="preserve">Format variations</w:t>
              </w:r>
            </w:p>
          </w:tc>
          <w:tc>
            <w:tcPr>
              <w:tcW w:type="dxa" w:w="3200"/>
              <w:shd w:fill="F2F2F2" w:val="clear"/>
              <w:tcMar>
                <w:top w:type="dxa" w:w="100"/>
                <w:left w:type="dxa" w:w="120"/>
                <w:bottom w:type="dxa" w:w="100"/>
                <w:right w:type="dxa" w:w="120"/>
              </w:tcMar>
            </w:tcPr>
            <w:p>
              <w:r>
                <w:rPr>
                  <w:b w:val="false"/>
                  <w:bCs w:val="false"/>
                  <w:color w:val="000000"/>
                  <w:sz w:val="19"/>
                  <w:szCs w:val="19"/>
                </w:rPr>
                <w:t xml:space="preserve">Inconsistent date formats (DD/MM/YYYY vs MM-DD-YY), crop-name spelling variants, mixed-case district names</w:t>
              </w:r>
            </w:p>
          </w:tc>
          <w:tc>
            <w:tcPr>
              <w:tcW w:type="dxa" w:w="3600"/>
              <w:shd w:fill="F2F2F2" w:val="clear"/>
              <w:tcMar>
                <w:top w:type="dxa" w:w="100"/>
                <w:left w:type="dxa" w:w="120"/>
                <w:bottom w:type="dxa" w:w="100"/>
                <w:right w:type="dxa" w:w="120"/>
              </w:tcMar>
            </w:tcPr>
            <w:p>
              <w:r>
                <w:rPr>
                  <w:b w:val="false"/>
                  <w:bCs w:val="false"/>
                  <w:color w:val="000000"/>
                  <w:sz w:val="19"/>
                  <w:szCs w:val="19"/>
                </w:rPr>
                <w:t xml:space="preserve">“Tomato”, “tomatoe”, and “TOMATO” appear as three distinct categories in a raw CSV pulled from different mandi portals</w:t>
              </w:r>
            </w:p>
          </w:tc>
        </w:tr>
      </w:tbl>
    </w:p>
    <w:p>
      <w:pPr>
        <w:spacing w:after="280" w:before="60"/>
        <w:jc w:val="center"/>
      </w:pPr>
      <w:r>
        <w:rPr>
          <w:i/>
          <w:iCs/>
          <w:color w:val="595959"/>
          <w:sz w:val="18"/>
          <w:szCs w:val="18"/>
        </w:rPr>
        <w:t xml:space="preserve">Table 1: Common data quality issues in agricultural datasets</w:t>
      </w:r>
    </w:p>
    <w:p>
      <w:pPr>
        <w:pStyle w:val="Heading1"/>
        <w:pBdr>
          <w:bottom w:val="single" w:color="E67E22" w:sz="6" w:space="4"/>
        </w:pBdr>
        <w:spacing w:after="160" w:before="320"/>
      </w:pPr>
      <w:r>
        <w:rPr>
          <w:b/>
          <w:bCs/>
          <w:color w:val="1F3864"/>
          <w:sz w:val="28"/>
          <w:szCs w:val="28"/>
        </w:rPr>
        <w:t xml:space="preserve">5. Data Cleaning and Preprocessing Workflow</w:t>
      </w:r>
    </w:p>
    <w:p>
      <w:pPr>
        <w:spacing w:after="160" w:line="300"/>
        <w:jc w:val="both"/>
      </w:pPr>
      <w:r>
        <w:rPr>
          <w:sz w:val="22"/>
          <w:szCs w:val="22"/>
        </w:rPr>
        <w:t xml:space="preserve">The proposed workflow follows six sequential stages, each with a specific purpose and a rationale tied to the issues identified in Table 1.</w:t>
      </w:r>
    </w:p>
    <w:p>
      <w:pPr>
        <w:spacing w:before="100"/>
        <w:jc w:val="center"/>
      </w:pPr>
      <w:r>
        <w:drawing>
          <wp:inline distT="0" distB="0" distL="0" distR="0">
            <wp:extent cx="5524500" cy="1209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524500" cy="1209675"/>
                    </a:xfrm>
                    <a:prstGeom prst="rect">
                      <a:avLst/>
                    </a:prstGeom>
                  </pic:spPr>
                </pic:pic>
              </a:graphicData>
            </a:graphic>
          </wp:inline>
        </w:drawing>
      </w:r>
    </w:p>
    <w:p>
      <w:pPr>
        <w:spacing w:after="280" w:before="60"/>
        <w:jc w:val="center"/>
      </w:pPr>
      <w:r>
        <w:rPr>
          <w:i/>
          <w:iCs/>
          <w:color w:val="595959"/>
          <w:sz w:val="18"/>
          <w:szCs w:val="18"/>
        </w:rPr>
        <w:t xml:space="preserve">Figure 1: Six-stage data cleaning and preprocessing pipeline</w:t>
      </w:r>
    </w:p>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800"/>
          <w:gridCol w:w="3000"/>
          <w:gridCol w:w="3900"/>
        </w:tblGrid>
        <w:tr>
          <w:trPr>
            <w:tblHeader/>
          </w:trPr>
          <w:tc>
            <w:tcPr>
              <w:tcW w:type="dxa" w:w="1800"/>
              <w:shd w:fill="1F3864" w:val="clear"/>
              <w:tcMar>
                <w:top w:type="dxa" w:w="100"/>
                <w:left w:type="dxa" w:w="120"/>
                <w:bottom w:type="dxa" w:w="100"/>
                <w:right w:type="dxa" w:w="120"/>
              </w:tcMar>
            </w:tcPr>
            <w:p>
              <w:r>
                <w:rPr>
                  <w:b/>
                  <w:bCs/>
                  <w:color w:val="FFFFFF"/>
                  <w:sz w:val="19"/>
                  <w:szCs w:val="19"/>
                </w:rPr>
                <w:t xml:space="preserve">Step</w:t>
              </w:r>
            </w:p>
          </w:tc>
          <w:tc>
            <w:tcPr>
              <w:tcW w:type="dxa" w:w="3000"/>
              <w:shd w:fill="1F3864" w:val="clear"/>
              <w:tcMar>
                <w:top w:type="dxa" w:w="100"/>
                <w:left w:type="dxa" w:w="120"/>
                <w:bottom w:type="dxa" w:w="100"/>
                <w:right w:type="dxa" w:w="120"/>
              </w:tcMar>
            </w:tcPr>
            <w:p>
              <w:r>
                <w:rPr>
                  <w:b/>
                  <w:bCs/>
                  <w:color w:val="FFFFFF"/>
                  <w:sz w:val="19"/>
                  <w:szCs w:val="19"/>
                </w:rPr>
                <w:t xml:space="preserve">What It Involves</w:t>
              </w:r>
            </w:p>
          </w:tc>
          <w:tc>
            <w:tcPr>
              <w:tcW w:type="dxa" w:w="3900"/>
              <w:shd w:fill="1F3864" w:val="clear"/>
              <w:tcMar>
                <w:top w:type="dxa" w:w="100"/>
                <w:left w:type="dxa" w:w="120"/>
                <w:bottom w:type="dxa" w:w="100"/>
                <w:right w:type="dxa" w:w="120"/>
              </w:tcMar>
            </w:tcPr>
            <w:p>
              <w:r>
                <w:rPr>
                  <w:b/>
                  <w:bCs/>
                  <w:color w:val="FFFFFF"/>
                  <w:sz w:val="19"/>
                  <w:szCs w:val="19"/>
                </w:rPr>
                <w:t xml:space="preserve">Rationale</w:t>
              </w:r>
            </w:p>
          </w:tc>
        </w:tr>
        <w:tr>
          <w:tc>
            <w:tcPr>
              <w:tcW w:type="dxa" w:w="1800"/>
              <w:tcMar>
                <w:top w:type="dxa" w:w="100"/>
                <w:left w:type="dxa" w:w="120"/>
                <w:bottom w:type="dxa" w:w="100"/>
                <w:right w:type="dxa" w:w="120"/>
              </w:tcMar>
            </w:tcPr>
            <w:p>
              <w:r>
                <w:rPr>
                  <w:b w:val="false"/>
                  <w:bCs w:val="false"/>
                  <w:color w:val="000000"/>
                  <w:sz w:val="19"/>
                  <w:szCs w:val="19"/>
                </w:rPr>
                <w:t xml:space="preserve">1. Data Profiling</w:t>
              </w:r>
            </w:p>
          </w:tc>
          <w:tc>
            <w:tcPr>
              <w:tcW w:type="dxa" w:w="3000"/>
              <w:tcMar>
                <w:top w:type="dxa" w:w="100"/>
                <w:left w:type="dxa" w:w="120"/>
                <w:bottom w:type="dxa" w:w="100"/>
                <w:right w:type="dxa" w:w="120"/>
              </w:tcMar>
            </w:tcPr>
            <w:p>
              <w:r>
                <w:rPr>
                  <w:b w:val="false"/>
                  <w:bCs w:val="false"/>
                  <w:color w:val="000000"/>
                  <w:sz w:val="19"/>
                  <w:szCs w:val="19"/>
                </w:rPr>
                <w:t xml:space="preserve">Inspect shape, data types, value ranges, null counts, and duplicate rows across each source file before touching anything</w:t>
              </w:r>
            </w:p>
          </w:tc>
          <w:tc>
            <w:tcPr>
              <w:tcW w:type="dxa" w:w="3900"/>
              <w:tcMar>
                <w:top w:type="dxa" w:w="100"/>
                <w:left w:type="dxa" w:w="120"/>
                <w:bottom w:type="dxa" w:w="100"/>
                <w:right w:type="dxa" w:w="120"/>
              </w:tcMar>
            </w:tcPr>
            <w:p>
              <w:r>
                <w:rPr>
                  <w:b w:val="false"/>
                  <w:bCs w:val="false"/>
                  <w:color w:val="000000"/>
                  <w:sz w:val="19"/>
                  <w:szCs w:val="19"/>
                </w:rPr>
                <w:t xml:space="preserve">You can't design a cleaning plan blind — profiling reveals which issues from Table 1 are actually present and how severe each one is</w:t>
              </w:r>
            </w:p>
          </w:tc>
        </w:tr>
        <w:tr>
          <w:tc>
            <w:tcPr>
              <w:tcW w:type="dxa" w:w="1800"/>
              <w:shd w:fill="F2F2F2" w:val="clear"/>
              <w:tcMar>
                <w:top w:type="dxa" w:w="100"/>
                <w:left w:type="dxa" w:w="120"/>
                <w:bottom w:type="dxa" w:w="100"/>
                <w:right w:type="dxa" w:w="120"/>
              </w:tcMar>
            </w:tcPr>
            <w:p>
              <w:r>
                <w:rPr>
                  <w:b w:val="false"/>
                  <w:bCs w:val="false"/>
                  <w:color w:val="000000"/>
                  <w:sz w:val="19"/>
                  <w:szCs w:val="19"/>
                </w:rPr>
                <w:t xml:space="preserve">2. Missing Data Handling</w:t>
              </w:r>
            </w:p>
          </w:tc>
          <w:tc>
            <w:tcPr>
              <w:tcW w:type="dxa" w:w="3000"/>
              <w:shd w:fill="F2F2F2" w:val="clear"/>
              <w:tcMar>
                <w:top w:type="dxa" w:w="100"/>
                <w:left w:type="dxa" w:w="120"/>
                <w:bottom w:type="dxa" w:w="100"/>
                <w:right w:type="dxa" w:w="120"/>
              </w:tcMar>
            </w:tcPr>
            <w:p>
              <w:r>
                <w:rPr>
                  <w:b w:val="false"/>
                  <w:bCs w:val="false"/>
                  <w:color w:val="000000"/>
                  <w:sz w:val="19"/>
                  <w:szCs w:val="19"/>
                </w:rPr>
                <w:t xml:space="preserve">Apply forward-fill or seasonal-mean imputation for short gaps (e.g. 1–2 missing mandi days); flag and drop rows only where an entire week is missing and imputation would be unreliable</w:t>
              </w:r>
            </w:p>
          </w:tc>
          <w:tc>
            <w:tcPr>
              <w:tcW w:type="dxa" w:w="3900"/>
              <w:shd w:fill="F2F2F2" w:val="clear"/>
              <w:tcMar>
                <w:top w:type="dxa" w:w="100"/>
                <w:left w:type="dxa" w:w="120"/>
                <w:bottom w:type="dxa" w:w="100"/>
                <w:right w:type="dxa" w:w="120"/>
              </w:tcMar>
            </w:tcPr>
            <w:p>
              <w:r>
                <w:rPr>
                  <w:b w:val="false"/>
                  <w:bCs w:val="false"/>
                  <w:color w:val="000000"/>
                  <w:sz w:val="19"/>
                  <w:szCs w:val="19"/>
                </w:rPr>
                <w:t xml:space="preserve">Deleting every row with a gap would discard valid data and bias the remaining series toward well-reported mandis; imputation preserves sample size while being transparent about what was estimated</w:t>
              </w:r>
            </w:p>
          </w:tc>
        </w:tr>
        <w:tr>
          <w:tc>
            <w:tcPr>
              <w:tcW w:type="dxa" w:w="1800"/>
              <w:tcMar>
                <w:top w:type="dxa" w:w="100"/>
                <w:left w:type="dxa" w:w="120"/>
                <w:bottom w:type="dxa" w:w="100"/>
                <w:right w:type="dxa" w:w="120"/>
              </w:tcMar>
            </w:tcPr>
            <w:p>
              <w:r>
                <w:rPr>
                  <w:b w:val="false"/>
                  <w:bCs w:val="false"/>
                  <w:color w:val="000000"/>
                  <w:sz w:val="19"/>
                  <w:szCs w:val="19"/>
                </w:rPr>
                <w:t xml:space="preserve">3. Outlier Detection</w:t>
              </w:r>
            </w:p>
          </w:tc>
          <w:tc>
            <w:tcPr>
              <w:tcW w:type="dxa" w:w="3000"/>
              <w:tcMar>
                <w:top w:type="dxa" w:w="100"/>
                <w:left w:type="dxa" w:w="120"/>
                <w:bottom w:type="dxa" w:w="100"/>
                <w:right w:type="dxa" w:w="120"/>
              </w:tcMar>
            </w:tcPr>
            <w:p>
              <w:r>
                <w:rPr>
                  <w:b w:val="false"/>
                  <w:bCs w:val="false"/>
                  <w:color w:val="000000"/>
                  <w:sz w:val="19"/>
                  <w:szCs w:val="19"/>
                </w:rPr>
                <w:t xml:space="preserve">Use IQR or z-score thresholds per crop-mandi combination (not globally, since price ranges differ by crop) to flag extreme values for manual review rather than automatic deletion</w:t>
              </w:r>
            </w:p>
          </w:tc>
          <w:tc>
            <w:tcPr>
              <w:tcW w:type="dxa" w:w="3900"/>
              <w:tcMar>
                <w:top w:type="dxa" w:w="100"/>
                <w:left w:type="dxa" w:w="120"/>
                <w:bottom w:type="dxa" w:w="100"/>
                <w:right w:type="dxa" w:w="120"/>
              </w:tcMar>
            </w:tcPr>
            <w:p>
              <w:r>
                <w:rPr>
                  <w:b w:val="false"/>
                  <w:bCs w:val="false"/>
                  <w:color w:val="000000"/>
                  <w:sz w:val="19"/>
                  <w:szCs w:val="19"/>
                </w:rPr>
                <w:t xml:space="preserve">A global threshold would wrongly flag naturally high-value crops; reviewing flagged points lets you distinguish real price shocks (keep) from entry errors (correct or remove)</w:t>
              </w:r>
            </w:p>
          </w:tc>
        </w:tr>
        <w:tr>
          <w:tc>
            <w:tcPr>
              <w:tcW w:type="dxa" w:w="1800"/>
              <w:shd w:fill="F2F2F2" w:val="clear"/>
              <w:tcMar>
                <w:top w:type="dxa" w:w="100"/>
                <w:left w:type="dxa" w:w="120"/>
                <w:bottom w:type="dxa" w:w="100"/>
                <w:right w:type="dxa" w:w="120"/>
              </w:tcMar>
            </w:tcPr>
            <w:p>
              <w:r>
                <w:rPr>
                  <w:b w:val="false"/>
                  <w:bCs w:val="false"/>
                  <w:color w:val="000000"/>
                  <w:sz w:val="19"/>
                  <w:szCs w:val="19"/>
                </w:rPr>
                <w:t xml:space="preserve">4. Normalization / Standardization</w:t>
              </w:r>
            </w:p>
          </w:tc>
          <w:tc>
            <w:tcPr>
              <w:tcW w:type="dxa" w:w="3000"/>
              <w:shd w:fill="F2F2F2" w:val="clear"/>
              <w:tcMar>
                <w:top w:type="dxa" w:w="100"/>
                <w:left w:type="dxa" w:w="120"/>
                <w:bottom w:type="dxa" w:w="100"/>
                <w:right w:type="dxa" w:w="120"/>
              </w:tcMar>
            </w:tcPr>
            <w:p>
              <w:r>
                <w:rPr>
                  <w:b w:val="false"/>
                  <w:bCs w:val="false"/>
                  <w:color w:val="000000"/>
                  <w:sz w:val="19"/>
                  <w:szCs w:val="19"/>
                </w:rPr>
                <w:t xml:space="preserve">Convert all quantities to a common unit (e.g. ₹/quintal, kg/hectare) and apply min-max or z-score scaling to numeric features before modelling</w:t>
              </w:r>
            </w:p>
          </w:tc>
          <w:tc>
            <w:tcPr>
              <w:tcW w:type="dxa" w:w="3900"/>
              <w:shd w:fill="F2F2F2" w:val="clear"/>
              <w:tcMar>
                <w:top w:type="dxa" w:w="100"/>
                <w:left w:type="dxa" w:w="120"/>
                <w:bottom w:type="dxa" w:w="100"/>
                <w:right w:type="dxa" w:w="120"/>
              </w:tcMar>
            </w:tcPr>
            <w:p>
              <w:r>
                <w:rPr>
                  <w:b w:val="false"/>
                  <w:bCs w:val="false"/>
                  <w:color w:val="000000"/>
                  <w:sz w:val="19"/>
                  <w:szCs w:val="19"/>
                </w:rPr>
                <w:t xml:space="preserve">Mixed units make cross-mandi or cross-state comparison meaningless; scaling ensures features with large natural ranges (e.g. arrival volume) don't dominate models over smaller-range features (e.g. price)</w:t>
              </w:r>
            </w:p>
          </w:tc>
        </w:tr>
        <w:tr>
          <w:tc>
            <w:tcPr>
              <w:tcW w:type="dxa" w:w="1800"/>
              <w:tcMar>
                <w:top w:type="dxa" w:w="100"/>
                <w:left w:type="dxa" w:w="120"/>
                <w:bottom w:type="dxa" w:w="100"/>
                <w:right w:type="dxa" w:w="120"/>
              </w:tcMar>
            </w:tcPr>
            <w:p>
              <w:r>
                <w:rPr>
                  <w:b w:val="false"/>
                  <w:bCs w:val="false"/>
                  <w:color w:val="000000"/>
                  <w:sz w:val="19"/>
                  <w:szCs w:val="19"/>
                </w:rPr>
                <w:t xml:space="preserve">5. Format Transformation</w:t>
              </w:r>
            </w:p>
          </w:tc>
          <w:tc>
            <w:tcPr>
              <w:tcW w:type="dxa" w:w="3000"/>
              <w:tcMar>
                <w:top w:type="dxa" w:w="100"/>
                <w:left w:type="dxa" w:w="120"/>
                <w:bottom w:type="dxa" w:w="100"/>
                <w:right w:type="dxa" w:w="120"/>
              </w:tcMar>
            </w:tcPr>
            <w:p>
              <w:r>
                <w:rPr>
                  <w:b w:val="false"/>
                  <w:bCs w:val="false"/>
                  <w:color w:val="000000"/>
                  <w:sz w:val="19"/>
                  <w:szCs w:val="19"/>
                </w:rPr>
                <w:t xml:space="preserve">Standardize date formats to ISO (YYYY-MM-DD), normalize text fields (lowercase, trim whitespace, map spelling variants to a canonical crop-name list)</w:t>
              </w:r>
            </w:p>
          </w:tc>
          <w:tc>
            <w:tcPr>
              <w:tcW w:type="dxa" w:w="3900"/>
              <w:tcMar>
                <w:top w:type="dxa" w:w="100"/>
                <w:left w:type="dxa" w:w="120"/>
                <w:bottom w:type="dxa" w:w="100"/>
                <w:right w:type="dxa" w:w="120"/>
              </w:tcMar>
            </w:tcPr>
            <w:p>
              <w:r>
                <w:rPr>
                  <w:b w:val="false"/>
                  <w:bCs w:val="false"/>
                  <w:color w:val="000000"/>
                  <w:sz w:val="19"/>
                  <w:szCs w:val="19"/>
                </w:rPr>
                <w:t xml:space="preserve">Without this, “Tomato” and “tomatoe” are treated as different crops by any groupby or model, silently fragmenting the dataset</w:t>
              </w:r>
            </w:p>
          </w:tc>
        </w:tr>
        <w:tr>
          <w:tc>
            <w:tcPr>
              <w:tcW w:type="dxa" w:w="1800"/>
              <w:shd w:fill="F2F2F2" w:val="clear"/>
              <w:tcMar>
                <w:top w:type="dxa" w:w="100"/>
                <w:left w:type="dxa" w:w="120"/>
                <w:bottom w:type="dxa" w:w="100"/>
                <w:right w:type="dxa" w:w="120"/>
              </w:tcMar>
            </w:tcPr>
            <w:p>
              <w:r>
                <w:rPr>
                  <w:b w:val="false"/>
                  <w:bCs w:val="false"/>
                  <w:color w:val="000000"/>
                  <w:sz w:val="19"/>
                  <w:szCs w:val="19"/>
                </w:rPr>
                <w:t xml:space="preserve">6. Validation</w:t>
              </w:r>
            </w:p>
          </w:tc>
          <w:tc>
            <w:tcPr>
              <w:tcW w:type="dxa" w:w="3000"/>
              <w:shd w:fill="F2F2F2" w:val="clear"/>
              <w:tcMar>
                <w:top w:type="dxa" w:w="100"/>
                <w:left w:type="dxa" w:w="120"/>
                <w:bottom w:type="dxa" w:w="100"/>
                <w:right w:type="dxa" w:w="120"/>
              </w:tcMar>
            </w:tcPr>
            <w:p>
              <w:r>
                <w:rPr>
                  <w:b w:val="false"/>
                  <w:bCs w:val="false"/>
                  <w:color w:val="000000"/>
                  <w:sz w:val="19"/>
                  <w:szCs w:val="19"/>
                </w:rPr>
                <w:t xml:space="preserve">Re-run profiling after cleaning; check row counts, confirm no nulls remain unexplained, spot-check a sample of imputed/corrected rows against the raw source</w:t>
              </w:r>
            </w:p>
          </w:tc>
          <w:tc>
            <w:tcPr>
              <w:tcW w:type="dxa" w:w="3900"/>
              <w:shd w:fill="F2F2F2" w:val="clear"/>
              <w:tcMar>
                <w:top w:type="dxa" w:w="100"/>
                <w:left w:type="dxa" w:w="120"/>
                <w:bottom w:type="dxa" w:w="100"/>
                <w:right w:type="dxa" w:w="120"/>
              </w:tcMar>
            </w:tcPr>
            <w:p>
              <w:r>
                <w:rPr>
                  <w:b w:val="false"/>
                  <w:bCs w:val="false"/>
                  <w:color w:val="000000"/>
                  <w:sz w:val="19"/>
                  <w:szCs w:val="19"/>
                </w:rPr>
                <w:t xml:space="preserve">Cleaning steps can introduce new errors (e.g. over-aggressive imputation); validation closes the loop and documents that the dataset is analysis-ready</w:t>
              </w:r>
            </w:p>
          </w:tc>
        </w:tr>
      </w:tbl>
    </w:p>
    <w:p>
      <w:pPr>
        <w:spacing w:after="280" w:before="60"/>
        <w:jc w:val="center"/>
      </w:pPr>
      <w:r>
        <w:rPr>
          <w:i/>
          <w:iCs/>
          <w:color w:val="595959"/>
          <w:sz w:val="18"/>
          <w:szCs w:val="18"/>
        </w:rPr>
        <w:t xml:space="preserve">Table 2: Workflow steps, methods, and rationale</w:t>
      </w:r>
    </w:p>
    <w:p>
      <w:pPr>
        <w:pStyle w:val="Heading1"/>
        <w:pBdr>
          <w:bottom w:val="single" w:color="E67E22" w:sz="6" w:space="4"/>
        </w:pBdr>
        <w:spacing w:after="160" w:before="320"/>
      </w:pPr>
      <w:r>
        <w:rPr>
          <w:b/>
          <w:bCs/>
          <w:color w:val="1F3864"/>
          <w:sz w:val="28"/>
          <w:szCs w:val="28"/>
        </w:rPr>
        <w:t xml:space="preserve">6. Illustrative End-to-End Example</w:t>
      </w:r>
    </w:p>
    <w:p>
      <w:pPr>
        <w:spacing w:after="160" w:line="300"/>
        <w:jc w:val="both"/>
      </w:pPr>
      <w:r>
        <w:rPr>
          <w:sz w:val="22"/>
          <w:szCs w:val="22"/>
        </w:rPr>
        <w:t xml:space="preserve">The table below walks through four hypothetical raw records from a mandi tomato-price dataset and shows how each would look after passing through the full workflow — demonstrating format standardization, imputation, and outlier correction together.</w:t>
      </w:r>
    </w:p>
    <w:p>
      <w:tbl>
        <w:tblPr>
          <w:tblW w:type="dxa" w:w="8700"/>
          <w:tblBorders>
            <w:top w:val="single" w:color="auto" w:sz="4"/>
            <w:left w:val="single" w:color="auto" w:sz="4"/>
            <w:bottom w:val="single" w:color="auto" w:sz="4"/>
            <w:right w:val="single" w:color="auto" w:sz="4"/>
            <w:insideH w:val="single" w:color="auto" w:sz="4"/>
            <w:insideV w:val="single" w:color="auto" w:sz="4"/>
          </w:tblBorders>
        </w:tblPr>
        <w:tblGrid>
          <w:gridCol w:w="1500"/>
          <w:gridCol w:w="1800"/>
          <w:gridCol w:w="2700"/>
          <w:gridCol w:w="2700"/>
        </w:tblGrid>
        <w:tr>
          <w:trPr>
            <w:tblHeader/>
          </w:trPr>
          <w:tc>
            <w:tcPr>
              <w:tcW w:type="dxa" w:w="1500"/>
              <w:shd w:fill="1F3864" w:val="clear"/>
              <w:tcMar>
                <w:top w:type="dxa" w:w="100"/>
                <w:left w:type="dxa" w:w="120"/>
                <w:bottom w:type="dxa" w:w="100"/>
                <w:right w:type="dxa" w:w="120"/>
              </w:tcMar>
            </w:tcPr>
            <w:p>
              <w:r>
                <w:rPr>
                  <w:b/>
                  <w:bCs/>
                  <w:color w:val="FFFFFF"/>
                  <w:sz w:val="19"/>
                  <w:szCs w:val="19"/>
                </w:rPr>
                <w:t xml:space="preserve">Date</w:t>
              </w:r>
            </w:p>
          </w:tc>
          <w:tc>
            <w:tcPr>
              <w:tcW w:type="dxa" w:w="1800"/>
              <w:shd w:fill="1F3864" w:val="clear"/>
              <w:tcMar>
                <w:top w:type="dxa" w:w="100"/>
                <w:left w:type="dxa" w:w="120"/>
                <w:bottom w:type="dxa" w:w="100"/>
                <w:right w:type="dxa" w:w="120"/>
              </w:tcMar>
            </w:tcPr>
            <w:p>
              <w:r>
                <w:rPr>
                  <w:b/>
                  <w:bCs/>
                  <w:color w:val="FFFFFF"/>
                  <w:sz w:val="19"/>
                  <w:szCs w:val="19"/>
                </w:rPr>
                <w:t xml:space="preserve">Crop</w:t>
              </w:r>
            </w:p>
          </w:tc>
          <w:tc>
            <w:tcPr>
              <w:tcW w:type="dxa" w:w="2700"/>
              <w:shd w:fill="1F3864" w:val="clear"/>
              <w:tcMar>
                <w:top w:type="dxa" w:w="100"/>
                <w:left w:type="dxa" w:w="120"/>
                <w:bottom w:type="dxa" w:w="100"/>
                <w:right w:type="dxa" w:w="120"/>
              </w:tcMar>
            </w:tcPr>
            <w:p>
              <w:r>
                <w:rPr>
                  <w:b/>
                  <w:bCs/>
                  <w:color w:val="FFFFFF"/>
                  <w:sz w:val="19"/>
                  <w:szCs w:val="19"/>
                </w:rPr>
                <w:t xml:space="preserve">Raw Value</w:t>
              </w:r>
            </w:p>
          </w:tc>
          <w:tc>
            <w:tcPr>
              <w:tcW w:type="dxa" w:w="2700"/>
              <w:shd w:fill="1F3864" w:val="clear"/>
              <w:tcMar>
                <w:top w:type="dxa" w:w="100"/>
                <w:left w:type="dxa" w:w="120"/>
                <w:bottom w:type="dxa" w:w="100"/>
                <w:right w:type="dxa" w:w="120"/>
              </w:tcMar>
            </w:tcPr>
            <w:p>
              <w:r>
                <w:rPr>
                  <w:b/>
                  <w:bCs/>
                  <w:color w:val="FFFFFF"/>
                  <w:sz w:val="19"/>
                  <w:szCs w:val="19"/>
                </w:rPr>
                <w:t xml:space="preserve">After Cleaning</w:t>
              </w:r>
            </w:p>
          </w:tc>
        </w:tr>
        <w:tr>
          <w:tc>
            <w:tcPr>
              <w:tcW w:type="dxa" w:w="1500"/>
              <w:tcMar>
                <w:top w:type="dxa" w:w="100"/>
                <w:left w:type="dxa" w:w="120"/>
                <w:bottom w:type="dxa" w:w="100"/>
                <w:right w:type="dxa" w:w="120"/>
              </w:tcMar>
            </w:tcPr>
            <w:p>
              <w:r>
                <w:rPr>
                  <w:b w:val="false"/>
                  <w:bCs w:val="false"/>
                  <w:color w:val="000000"/>
                  <w:sz w:val="19"/>
                  <w:szCs w:val="19"/>
                </w:rPr>
                <w:t xml:space="preserve">04/07/2025</w:t>
              </w:r>
            </w:p>
          </w:tc>
          <w:tc>
            <w:tcPr>
              <w:tcW w:type="dxa" w:w="1800"/>
              <w:tcMar>
                <w:top w:type="dxa" w:w="100"/>
                <w:left w:type="dxa" w:w="120"/>
                <w:bottom w:type="dxa" w:w="100"/>
                <w:right w:type="dxa" w:w="120"/>
              </w:tcMar>
            </w:tcPr>
            <w:p>
              <w:r>
                <w:rPr>
                  <w:b w:val="false"/>
                  <w:bCs w:val="false"/>
                  <w:color w:val="000000"/>
                  <w:sz w:val="19"/>
                  <w:szCs w:val="19"/>
                </w:rPr>
                <w:t xml:space="preserve">tomatoe</w:t>
              </w:r>
            </w:p>
          </w:tc>
          <w:tc>
            <w:tcPr>
              <w:tcW w:type="dxa" w:w="2700"/>
              <w:tcMar>
                <w:top w:type="dxa" w:w="100"/>
                <w:left w:type="dxa" w:w="120"/>
                <w:bottom w:type="dxa" w:w="100"/>
                <w:right w:type="dxa" w:w="120"/>
              </w:tcMar>
            </w:tcPr>
            <w:p>
              <w:r>
                <w:rPr>
                  <w:b w:val="false"/>
                  <w:bCs w:val="false"/>
                  <w:color w:val="000000"/>
                  <w:sz w:val="19"/>
                  <w:szCs w:val="19"/>
                </w:rPr>
                <w:t xml:space="preserve">₹ 18/kg</w:t>
              </w:r>
            </w:p>
          </w:tc>
          <w:tc>
            <w:tcPr>
              <w:tcW w:type="dxa" w:w="2700"/>
              <w:tcMar>
                <w:top w:type="dxa" w:w="100"/>
                <w:left w:type="dxa" w:w="120"/>
                <w:bottom w:type="dxa" w:w="100"/>
                <w:right w:type="dxa" w:w="120"/>
              </w:tcMar>
            </w:tcPr>
            <w:p>
              <w:r>
                <w:rPr>
                  <w:b w:val="false"/>
                  <w:bCs w:val="false"/>
                  <w:color w:val="000000"/>
                  <w:sz w:val="19"/>
                  <w:szCs w:val="19"/>
                </w:rPr>
                <w:t xml:space="preserve">2025-07-04 – Tomato – ₹1,800/quintal (unit standardized)</w:t>
              </w:r>
            </w:p>
          </w:tc>
        </w:tr>
        <w:tr>
          <w:tc>
            <w:tcPr>
              <w:tcW w:type="dxa" w:w="1500"/>
              <w:shd w:fill="F2F2F2" w:val="clear"/>
              <w:tcMar>
                <w:top w:type="dxa" w:w="100"/>
                <w:left w:type="dxa" w:w="120"/>
                <w:bottom w:type="dxa" w:w="100"/>
                <w:right w:type="dxa" w:w="120"/>
              </w:tcMar>
            </w:tcPr>
            <w:p>
              <w:r>
                <w:rPr>
                  <w:b w:val="false"/>
                  <w:bCs w:val="false"/>
                  <w:color w:val="000000"/>
                  <w:sz w:val="19"/>
                  <w:szCs w:val="19"/>
                </w:rPr>
                <w:t xml:space="preserve">2025-07-05</w:t>
              </w:r>
            </w:p>
          </w:tc>
          <w:tc>
            <w:tcPr>
              <w:tcW w:type="dxa" w:w="1800"/>
              <w:shd w:fill="F2F2F2" w:val="clear"/>
              <w:tcMar>
                <w:top w:type="dxa" w:w="100"/>
                <w:left w:type="dxa" w:w="120"/>
                <w:bottom w:type="dxa" w:w="100"/>
                <w:right w:type="dxa" w:w="120"/>
              </w:tcMar>
            </w:tcPr>
            <w:p>
              <w:r>
                <w:rPr>
                  <w:b w:val="false"/>
                  <w:bCs w:val="false"/>
                  <w:color w:val="000000"/>
                  <w:sz w:val="19"/>
                  <w:szCs w:val="19"/>
                </w:rPr>
                <w:t xml:space="preserve">Tomato</w:t>
              </w:r>
            </w:p>
          </w:tc>
          <w:tc>
            <w:tcPr>
              <w:tcW w:type="dxa" w:w="2700"/>
              <w:shd w:fill="F2F2F2" w:val="clear"/>
              <w:tcMar>
                <w:top w:type="dxa" w:w="100"/>
                <w:left w:type="dxa" w:w="120"/>
                <w:bottom w:type="dxa" w:w="100"/>
                <w:right w:type="dxa" w:w="120"/>
              </w:tcMar>
            </w:tcPr>
            <w:p>
              <w:r>
                <w:rPr>
                  <w:b w:val="false"/>
                  <w:bCs w:val="false"/>
                  <w:color w:val="000000"/>
                  <w:sz w:val="19"/>
                  <w:szCs w:val="19"/>
                </w:rPr>
                <w:t xml:space="preserve">(missing)</w:t>
              </w:r>
            </w:p>
          </w:tc>
          <w:tc>
            <w:tcPr>
              <w:tcW w:type="dxa" w:w="2700"/>
              <w:shd w:fill="F2F2F2" w:val="clear"/>
              <w:tcMar>
                <w:top w:type="dxa" w:w="100"/>
                <w:left w:type="dxa" w:w="120"/>
                <w:bottom w:type="dxa" w:w="100"/>
                <w:right w:type="dxa" w:w="120"/>
              </w:tcMar>
            </w:tcPr>
            <w:p>
              <w:r>
                <w:rPr>
                  <w:b w:val="false"/>
                  <w:bCs w:val="false"/>
                  <w:color w:val="000000"/>
                  <w:sz w:val="19"/>
                  <w:szCs w:val="19"/>
                </w:rPr>
                <w:t xml:space="preserve">₹1,750/quintal (seasonal-mean imputed; flagged as estimated)</w:t>
              </w:r>
            </w:p>
          </w:tc>
        </w:tr>
        <w:tr>
          <w:tc>
            <w:tcPr>
              <w:tcW w:type="dxa" w:w="1500"/>
              <w:tcMar>
                <w:top w:type="dxa" w:w="100"/>
                <w:left w:type="dxa" w:w="120"/>
                <w:bottom w:type="dxa" w:w="100"/>
                <w:right w:type="dxa" w:w="120"/>
              </w:tcMar>
            </w:tcPr>
            <w:p>
              <w:r>
                <w:rPr>
                  <w:b w:val="false"/>
                  <w:bCs w:val="false"/>
                  <w:color w:val="000000"/>
                  <w:sz w:val="19"/>
                  <w:szCs w:val="19"/>
                </w:rPr>
                <w:t xml:space="preserve">2025-07-06</w:t>
              </w:r>
            </w:p>
          </w:tc>
          <w:tc>
            <w:tcPr>
              <w:tcW w:type="dxa" w:w="1800"/>
              <w:tcMar>
                <w:top w:type="dxa" w:w="100"/>
                <w:left w:type="dxa" w:w="120"/>
                <w:bottom w:type="dxa" w:w="100"/>
                <w:right w:type="dxa" w:w="120"/>
              </w:tcMar>
            </w:tcPr>
            <w:p>
              <w:r>
                <w:rPr>
                  <w:b w:val="false"/>
                  <w:bCs w:val="false"/>
                  <w:color w:val="000000"/>
                  <w:sz w:val="19"/>
                  <w:szCs w:val="19"/>
                </w:rPr>
                <w:t xml:space="preserve">TOMATO</w:t>
              </w:r>
            </w:p>
          </w:tc>
          <w:tc>
            <w:tcPr>
              <w:tcW w:type="dxa" w:w="2700"/>
              <w:tcMar>
                <w:top w:type="dxa" w:w="100"/>
                <w:left w:type="dxa" w:w="120"/>
                <w:bottom w:type="dxa" w:w="100"/>
                <w:right w:type="dxa" w:w="120"/>
              </w:tcMar>
            </w:tcPr>
            <w:p>
              <w:r>
                <w:rPr>
                  <w:b w:val="false"/>
                  <w:bCs w:val="false"/>
                  <w:color w:val="000000"/>
                  <w:sz w:val="19"/>
                  <w:szCs w:val="19"/>
                </w:rPr>
                <w:t xml:space="preserve">₹ 95,000/quintal</w:t>
              </w:r>
            </w:p>
          </w:tc>
          <w:tc>
            <w:tcPr>
              <w:tcW w:type="dxa" w:w="2700"/>
              <w:tcMar>
                <w:top w:type="dxa" w:w="100"/>
                <w:left w:type="dxa" w:w="120"/>
                <w:bottom w:type="dxa" w:w="100"/>
                <w:right w:type="dxa" w:w="120"/>
              </w:tcMar>
            </w:tcPr>
            <w:p>
              <w:r>
                <w:rPr>
                  <w:b w:val="false"/>
                  <w:bCs w:val="false"/>
                  <w:color w:val="000000"/>
                  <w:sz w:val="19"/>
                  <w:szCs w:val="19"/>
                </w:rPr>
                <w:t xml:space="preserve">Flagged outlier → reviewed → corrected to ₹9,500/quintal (decimal entry error)</w:t>
              </w:r>
            </w:p>
          </w:tc>
        </w:tr>
        <w:tr>
          <w:tc>
            <w:tcPr>
              <w:tcW w:type="dxa" w:w="1500"/>
              <w:shd w:fill="F2F2F2" w:val="clear"/>
              <w:tcMar>
                <w:top w:type="dxa" w:w="100"/>
                <w:left w:type="dxa" w:w="120"/>
                <w:bottom w:type="dxa" w:w="100"/>
                <w:right w:type="dxa" w:w="120"/>
              </w:tcMar>
            </w:tcPr>
            <w:p>
              <w:r>
                <w:rPr>
                  <w:b w:val="false"/>
                  <w:bCs w:val="false"/>
                  <w:color w:val="000000"/>
                  <w:sz w:val="19"/>
                  <w:szCs w:val="19"/>
                </w:rPr>
                <w:t xml:space="preserve">2025-07-07</w:t>
              </w:r>
            </w:p>
          </w:tc>
          <w:tc>
            <w:tcPr>
              <w:tcW w:type="dxa" w:w="1800"/>
              <w:shd w:fill="F2F2F2" w:val="clear"/>
              <w:tcMar>
                <w:top w:type="dxa" w:w="100"/>
                <w:left w:type="dxa" w:w="120"/>
                <w:bottom w:type="dxa" w:w="100"/>
                <w:right w:type="dxa" w:w="120"/>
              </w:tcMar>
            </w:tcPr>
            <w:p>
              <w:r>
                <w:rPr>
                  <w:b w:val="false"/>
                  <w:bCs w:val="false"/>
                  <w:color w:val="000000"/>
                  <w:sz w:val="19"/>
                  <w:szCs w:val="19"/>
                </w:rPr>
                <w:t xml:space="preserve">Tomato </w:t>
              </w:r>
            </w:p>
          </w:tc>
          <w:tc>
            <w:tcPr>
              <w:tcW w:type="dxa" w:w="2700"/>
              <w:shd w:fill="F2F2F2" w:val="clear"/>
              <w:tcMar>
                <w:top w:type="dxa" w:w="100"/>
                <w:left w:type="dxa" w:w="120"/>
                <w:bottom w:type="dxa" w:w="100"/>
                <w:right w:type="dxa" w:w="120"/>
              </w:tcMar>
            </w:tcPr>
            <w:p>
              <w:r>
                <w:rPr>
                  <w:b w:val="false"/>
                  <w:bCs w:val="false"/>
                  <w:color w:val="000000"/>
                  <w:sz w:val="19"/>
                  <w:szCs w:val="19"/>
                </w:rPr>
                <w:t xml:space="preserve">₹ 1,820/quintal</w:t>
              </w:r>
            </w:p>
          </w:tc>
          <w:tc>
            <w:tcPr>
              <w:tcW w:type="dxa" w:w="2700"/>
              <w:shd w:fill="F2F2F2" w:val="clear"/>
              <w:tcMar>
                <w:top w:type="dxa" w:w="100"/>
                <w:left w:type="dxa" w:w="120"/>
                <w:bottom w:type="dxa" w:w="100"/>
                <w:right w:type="dxa" w:w="120"/>
              </w:tcMar>
            </w:tcPr>
            <w:p>
              <w:r>
                <w:rPr>
                  <w:b w:val="false"/>
                  <w:bCs w:val="false"/>
                  <w:color w:val="000000"/>
                  <w:sz w:val="19"/>
                  <w:szCs w:val="19"/>
                </w:rPr>
                <w:t xml:space="preserve">2025-07-07 – Tomato – ₹1,820/quintal (format/whitespace cleaned)</w:t>
              </w:r>
            </w:p>
          </w:tc>
        </w:tr>
      </w:tbl>
    </w:p>
    <w:p>
      <w:pPr>
        <w:spacing w:after="280" w:before="60"/>
        <w:jc w:val="center"/>
      </w:pPr>
      <w:r>
        <w:rPr>
          <w:i/>
          <w:iCs/>
          <w:color w:val="595959"/>
          <w:sz w:val="18"/>
          <w:szCs w:val="18"/>
        </w:rPr>
        <w:t xml:space="preserve">Table 3: Before/after example on hypothetical mandi price records</w:t>
      </w:r>
    </w:p>
    <w:p>
      <w:pPr>
        <w:spacing w:after="160" w:line="300"/>
        <w:jc w:val="both"/>
      </w:pPr>
      <w:r>
        <w:rPr>
          <w:sz w:val="22"/>
          <w:szCs w:val="22"/>
        </w:rPr>
        <w:t xml:space="preserve">Two design choices are worth noting. First, imputed values (row 2) are flagged rather than silently inserted, so that any downstream model can optionally exclude or down-weight estimated data. Second, the outlier in row 3 is corrected rather than deleted, because the profiling step determined it was almost certainly a decimal/unit entry error (₹95,000 vs a local average near ₹9,500) rather than a genuine price spike — illustrating why human review, guided by domain context, outperforms blind automated removal for this kind of data.</w:t>
      </w:r>
    </w:p>
    <w:p>
      <w:pPr>
        <w:pStyle w:val="Heading1"/>
        <w:pBdr>
          <w:bottom w:val="single" w:color="E67E22" w:sz="6" w:space="4"/>
        </w:pBdr>
        <w:spacing w:after="160" w:before="320"/>
      </w:pPr>
      <w:r>
        <w:rPr>
          <w:b/>
          <w:bCs/>
          <w:color w:val="1F3864"/>
          <w:sz w:val="28"/>
          <w:szCs w:val="28"/>
        </w:rPr>
        <w:t xml:space="preserve">7. Conclusion</w:t>
      </w:r>
    </w:p>
    <w:p>
      <w:pPr>
        <w:spacing w:after="160" w:line="300"/>
        <w:jc w:val="both"/>
      </w:pPr>
      <w:r>
        <w:rPr>
          <w:sz w:val="22"/>
          <w:szCs w:val="22"/>
        </w:rPr>
        <w:t xml:space="preserve">Raw agricultural data — whether mandi prices, yield records, or post-harvest survey data — is rarely analysis-ready: it carries missing reports, entry errors, genuine seasonal structure, and inconsistent units and formats across its many decentralized sources. The six-stage workflow proposed here (profiling, missing-data handling, outlier detection, normalization, transformation, and validation) addresses each of these issues in a specific order, with human review built into the steps most likely to destroy real signal if automated. Applied consistently, this strategy would turn a fragmented raw dataset into a consistent, comparable, and trustworthy input for the predictive modelling work (spoilage-risk prediction, price forecasting) proposed for later weeks of this internship.</w:t>
      </w:r>
    </w:p>
    <w:p>
      <w:pPr>
        <w:pStyle w:val="Heading1"/>
        <w:pBdr>
          <w:bottom w:val="single" w:color="E67E22" w:sz="6" w:space="4"/>
        </w:pBdr>
        <w:spacing w:after="160" w:before="320"/>
      </w:pPr>
      <w:r>
        <w:rPr>
          <w:b/>
          <w:bCs/>
          <w:color w:val="1F3864"/>
          <w:sz w:val="28"/>
          <w:szCs w:val="28"/>
        </w:rPr>
        <w:t xml:space="preserve">References</w:t>
      </w:r>
    </w:p>
    <w:p>
      <w:pPr>
        <w:spacing w:after="160" w:line="300"/>
        <w:jc w:val="both"/>
      </w:pPr>
      <w:r>
        <w:rPr>
          <w:color w:val="595959"/>
          <w:sz w:val="20"/>
          <w:szCs w:val="20"/>
        </w:rPr>
        <w:t xml:space="preserve">Agmarknet – Agricultural Marketing Information Network, Directorate of Marketing &amp; Inspection, Ministry of Agriculture &amp; Farmers Welfare, Govt. of India – agmarknet.gov.in</w:t>
      </w:r>
    </w:p>
    <w:p>
      <w:pPr>
        <w:spacing w:after="160" w:line="300"/>
        <w:jc w:val="both"/>
      </w:pPr>
      <w:r>
        <w:rPr>
          <w:color w:val="595959"/>
          <w:sz w:val="20"/>
          <w:szCs w:val="20"/>
        </w:rPr>
        <w:t xml:space="preserve">data.gov.in – Open Government Data Platform India, Agmarknet daily mandi price &amp; arrival resource (accessed via public API)</w:t>
      </w:r>
    </w:p>
    <w:p>
      <w:pPr>
        <w:spacing w:after="160" w:line="300"/>
        <w:jc w:val="both"/>
      </w:pPr>
      <w:r>
        <w:rPr>
          <w:color w:val="595959"/>
          <w:sz w:val="20"/>
          <w:szCs w:val="20"/>
        </w:rPr>
        <w:t xml:space="preserve">India Data Portal – Agriculture Marketing: APMC Arrivals and Prices (AGMARKNET) dataset documentation, indiadataportal.com</w:t>
      </w:r>
    </w:p>
    <w:p>
      <w:pPr>
        <w:spacing w:after="160" w:line="300"/>
        <w:jc w:val="both"/>
      </w:pPr>
      <w:r>
        <w:rPr>
          <w:color w:val="595959"/>
          <w:sz w:val="20"/>
          <w:szCs w:val="20"/>
        </w:rPr>
        <w:t xml:space="preserve">ICAR – data standards and known quality issues in national crop and horticulture datasets</w:t>
      </w:r>
    </w:p>
    <w:p>
      <w:pPr>
        <w:spacing w:after="160" w:line="300"/>
        <w:jc w:val="both"/>
      </w:pPr>
      <w:r>
        <w:rPr>
          <w:color w:val="595959"/>
          <w:sz w:val="20"/>
          <w:szCs w:val="20"/>
        </w:rPr>
        <w:t xml:space="preserve">Standard data science preprocessing practice: profiling → cleaning → transformation → validation pipeline, as commonly documented across data science methodology literature</w:t>
      </w:r>
    </w:p>
    <w:p>
      <w:pPr>
        <w:spacing w:after="160" w:line="300"/>
        <w:jc w:val="both"/>
      </w:pPr>
      <w:r>
        <w:rPr>
          <w:color w:val="595959"/>
          <w:sz w:val="20"/>
          <w:szCs w:val="20"/>
        </w:rPr>
        <w:t xml:space="preserve">Week 1 report (this internship) – Post-Harvest Losses in India's Agricultural Supply Chain, for continuity of domain context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bbda04b2e364c51f486783713e49283505990b5c.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2026-10-03T02:54:32.750Z</dcterms:created>
  <dcterms:modified xsi:type="dcterms:W3CDTF">2026-10-03T02:54:32.751Z</dcterms:modified>
</cp:coreProperties>
</file>

<file path=docProps/custom.xml><?xml version="1.0" encoding="utf-8"?>
<Properties xmlns="http://schemas.openxmlformats.org/officeDocument/2006/custom-properties" xmlns:vt="http://schemas.openxmlformats.org/officeDocument/2006/docPropsVTypes"/>
</file>