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62AC4">
      <w:pPr>
        <w:spacing w:after="40"/>
        <w:jc w:val="center"/>
      </w:pPr>
      <w:r>
        <w:rPr>
          <w:b/>
          <w:bCs/>
          <w:color w:val="595959"/>
          <w:sz w:val="20"/>
          <w:szCs w:val="20"/>
        </w:rPr>
        <w:t>YUVA INTERN – AGRICULTURE &amp; AGRIBUSINESS SECTOR</w:t>
      </w:r>
    </w:p>
    <w:p w14:paraId="645476A4">
      <w:pPr>
        <w:spacing w:before="120" w:after="40"/>
        <w:jc w:val="center"/>
      </w:pPr>
      <w:r>
        <w:rPr>
          <w:b/>
          <w:bCs/>
          <w:color w:val="1F3864"/>
          <w:sz w:val="34"/>
          <w:szCs w:val="34"/>
        </w:rPr>
        <w:t>Week 2 Task: Data Cleaning and Preprocessing Strategy</w:t>
      </w:r>
    </w:p>
    <w:p w14:paraId="72193C5A">
      <w:pPr>
        <w:spacing w:after="300"/>
        <w:jc w:val="center"/>
      </w:pPr>
      <w:r>
        <w:rPr>
          <w:i/>
          <w:iCs/>
          <w:color w:val="E67E22"/>
          <w:sz w:val="24"/>
          <w:szCs w:val="24"/>
        </w:rPr>
        <w:t>A Preprocessing Strategy for Agricultural Mandi Price &amp; Arrivals Data</w:t>
      </w:r>
    </w:p>
    <w:p w14:paraId="4BFB71DE">
      <w:pPr>
        <w:spacing w:after="20"/>
        <w:jc w:val="center"/>
        <w:rPr>
          <w:rFonts w:hint="default"/>
          <w:lang w:val="en-IN"/>
        </w:rPr>
      </w:pPr>
      <w:r>
        <w:rPr>
          <w:color w:val="595959"/>
          <w:sz w:val="20"/>
          <w:szCs w:val="20"/>
        </w:rPr>
        <w:t xml:space="preserve">Prepared by: </w:t>
      </w:r>
      <w:r>
        <w:rPr>
          <w:rFonts w:hint="default"/>
          <w:color w:val="595959"/>
          <w:sz w:val="20"/>
          <w:szCs w:val="20"/>
          <w:lang w:val="en-IN"/>
        </w:rPr>
        <w:t xml:space="preserve"> Maride Yashwanth Reddy</w:t>
      </w:r>
    </w:p>
    <w:p w14:paraId="02C90B1F">
      <w:pPr>
        <w:spacing w:after="400"/>
        <w:jc w:val="center"/>
        <w:rPr>
          <w:rFonts w:hint="default"/>
          <w:lang w:val="en-IN"/>
        </w:rPr>
      </w:pPr>
      <w:r>
        <w:rPr>
          <w:color w:val="595959"/>
          <w:sz w:val="20"/>
          <w:szCs w:val="20"/>
        </w:rPr>
        <w:t>Date:</w:t>
      </w:r>
      <w:r>
        <w:rPr>
          <w:rFonts w:hint="default"/>
          <w:color w:val="595959"/>
          <w:sz w:val="20"/>
          <w:szCs w:val="20"/>
          <w:lang w:val="en-IN"/>
        </w:rPr>
        <w:t>03-10-2026</w:t>
      </w:r>
      <w:bookmarkStart w:id="0" w:name="_GoBack"/>
      <w:bookmarkEnd w:id="0"/>
    </w:p>
    <w:p w14:paraId="227317FD">
      <w:pPr>
        <w:pStyle w:val="2"/>
        <w:pBdr>
          <w:bottom w:val="single" w:color="E67E22" w:sz="6" w:space="4"/>
        </w:pBdr>
        <w:spacing w:before="320" w:after="160"/>
      </w:pPr>
      <w:r>
        <w:rPr>
          <w:b/>
          <w:bCs/>
          <w:color w:val="1F3864"/>
          <w:sz w:val="28"/>
          <w:szCs w:val="28"/>
        </w:rPr>
        <w:t>Executive Summary</w:t>
      </w:r>
    </w:p>
    <w:p w14:paraId="3F8525CF">
      <w:pPr>
        <w:spacing w:after="160" w:line="300" w:lineRule="auto"/>
        <w:jc w:val="both"/>
      </w:pPr>
      <w:r>
        <w:rPr>
          <w:sz w:val="22"/>
          <w:szCs w:val="22"/>
        </w:rPr>
        <w:t>This report sets out a complete data cleaning and preprocessing strategy for agricultural datasets, using a hypothetical mandi (market) price and arrivals dataset as the running example — building on the post-harvest loss focus established in Week 1. Agricultural data carries a distinctive set of quality problems: missing reports on non-trading days, outliers from manual data-entry errors, genuine seasonal swings that must not be mistaken for noise, and inconsistent units and formats across mandis and states. The strategy proposed here follows a six-stage pipeline — profiling, missing-data handling, outlier detection, normalization, format transformation, and validation — with a clear rationale for each stage and worked, hypothetical before/after examples. The goal is a dataset that is consistent, comparable across sources, and trustworthy enough to support the predictive modelling proposed in Week 1 (spoilage-risk prediction, price forecasting, and infrastructure-gap analysis).</w:t>
      </w:r>
    </w:p>
    <w:p w14:paraId="08374770">
      <w:pPr>
        <w:pStyle w:val="2"/>
        <w:pBdr>
          <w:bottom w:val="single" w:color="E67E22" w:sz="6" w:space="4"/>
        </w:pBdr>
        <w:spacing w:before="320" w:after="160"/>
      </w:pPr>
      <w:r>
        <w:rPr>
          <w:b/>
          <w:bCs/>
          <w:color w:val="1F3864"/>
          <w:sz w:val="28"/>
          <w:szCs w:val="28"/>
        </w:rPr>
        <w:t>1. Objective</w:t>
      </w:r>
    </w:p>
    <w:p w14:paraId="5E092CC4">
      <w:pPr>
        <w:spacing w:after="160" w:line="300" w:lineRule="auto"/>
        <w:jc w:val="both"/>
      </w:pPr>
      <w:r>
        <w:rPr>
          <w:sz w:val="22"/>
          <w:szCs w:val="22"/>
        </w:rPr>
        <w:t>This week's task focuses on the preprocessing phase of data analysis: developing a detailed strategy report outlining how to clean and prepare raw agricultural data for meaningful analysis. The report identifies common data quality issues in agriculture-related datasets, proposes a step-by-step preprocessing workflow covering imputation, normalization, transformation, outlier detection, and validation, and illustrates each technique with hypothetical, generic examples structured around Agmarknet, India's public mandi price and arrivals dataset (introduced in Section 2).</w:t>
      </w:r>
    </w:p>
    <w:p w14:paraId="03A0AB4D">
      <w:pPr>
        <w:pStyle w:val="2"/>
        <w:pBdr>
          <w:bottom w:val="single" w:color="E67E22" w:sz="6" w:space="4"/>
        </w:pBdr>
        <w:spacing w:before="320" w:after="160"/>
      </w:pPr>
      <w:r>
        <w:rPr>
          <w:b/>
          <w:bCs/>
          <w:color w:val="1F3864"/>
          <w:sz w:val="28"/>
          <w:szCs w:val="28"/>
        </w:rPr>
        <w:t>2. Reference Dataset</w:t>
      </w:r>
    </w:p>
    <w:p w14:paraId="32625C02">
      <w:pPr>
        <w:spacing w:after="160" w:line="300" w:lineRule="auto"/>
        <w:jc w:val="both"/>
      </w:pPr>
      <w:r>
        <w:rPr>
          <w:sz w:val="22"/>
          <w:szCs w:val="22"/>
        </w:rPr>
        <w:t>The strategy in this report is designed around the structure of Agmarknet (the Agricultural Marketing Information Network), the Government of India's official portal for daily mandi price and arrival data, maintained by the Directorate of Marketing &amp; Inspection under the Ministry of Agriculture &amp; Farmers Welfare, and also accessible via the data.gov.in open data API. Agmarknet publishes daily price and arrival records for over 300 commodities and 1,500+ varieties across thousands of wholesale markets (APMCs) nationwide, making it one of the most widely used public datasets for agricultural market analysis in India.</w:t>
      </w:r>
    </w:p>
    <w:p w14:paraId="70A504F9">
      <w:pPr>
        <w:spacing w:after="160" w:line="300" w:lineRule="auto"/>
        <w:jc w:val="both"/>
      </w:pPr>
      <w:r>
        <w:rPr>
          <w:sz w:val="22"/>
          <w:szCs w:val="22"/>
        </w:rPr>
        <w:t>Its core fields are directly relevant to the cleaning strategy that follows:</w:t>
      </w:r>
    </w:p>
    <w:p w14:paraId="3FB969C6">
      <w:pPr>
        <w:pStyle w:val="16"/>
        <w:numPr>
          <w:ilvl w:val="0"/>
          <w:numId w:val="1"/>
        </w:numPr>
        <w:spacing w:after="80" w:line="280" w:lineRule="auto"/>
      </w:pPr>
      <w:r>
        <w:rPr>
          <w:sz w:val="22"/>
          <w:szCs w:val="22"/>
        </w:rPr>
        <w:t>Location fields: State, District, Market (APMC name)</w:t>
      </w:r>
    </w:p>
    <w:p w14:paraId="26731E32">
      <w:pPr>
        <w:pStyle w:val="16"/>
        <w:numPr>
          <w:ilvl w:val="0"/>
          <w:numId w:val="1"/>
        </w:numPr>
        <w:spacing w:after="80" w:line="280" w:lineRule="auto"/>
      </w:pPr>
      <w:r>
        <w:rPr>
          <w:sz w:val="22"/>
          <w:szCs w:val="22"/>
        </w:rPr>
        <w:t>Commodity fields: Commodity Group, Commodity, Variety, Grade</w:t>
      </w:r>
    </w:p>
    <w:p w14:paraId="6DDDD992">
      <w:pPr>
        <w:pStyle w:val="16"/>
        <w:numPr>
          <w:ilvl w:val="0"/>
          <w:numId w:val="1"/>
        </w:numPr>
        <w:spacing w:after="80" w:line="280" w:lineRule="auto"/>
      </w:pPr>
      <w:r>
        <w:rPr>
          <w:sz w:val="22"/>
          <w:szCs w:val="22"/>
        </w:rPr>
        <w:t>Price fields: Minimum Price, Maximum Price, Modal Price (typically ₹ per quintal)</w:t>
      </w:r>
    </w:p>
    <w:p w14:paraId="568D2006">
      <w:pPr>
        <w:pStyle w:val="16"/>
        <w:numPr>
          <w:ilvl w:val="0"/>
          <w:numId w:val="1"/>
        </w:numPr>
        <w:spacing w:after="80" w:line="280" w:lineRule="auto"/>
      </w:pPr>
      <w:r>
        <w:rPr>
          <w:sz w:val="22"/>
          <w:szCs w:val="22"/>
        </w:rPr>
        <w:t>Volume fields: Arrival Quantity, Unit</w:t>
      </w:r>
    </w:p>
    <w:p w14:paraId="433FDA21">
      <w:pPr>
        <w:pStyle w:val="16"/>
        <w:numPr>
          <w:ilvl w:val="0"/>
          <w:numId w:val="1"/>
        </w:numPr>
        <w:spacing w:after="80" w:line="280" w:lineRule="auto"/>
      </w:pPr>
      <w:r>
        <w:rPr>
          <w:sz w:val="22"/>
          <w:szCs w:val="22"/>
        </w:rPr>
        <w:t>Temporal field: Arrival Date</w:t>
      </w:r>
    </w:p>
    <w:p w14:paraId="12C8F3EC">
      <w:pPr>
        <w:spacing w:after="160" w:line="300" w:lineRule="auto"/>
        <w:jc w:val="both"/>
      </w:pPr>
      <w:r>
        <w:rPr>
          <w:sz w:val="22"/>
          <w:szCs w:val="22"/>
        </w:rPr>
        <w:t>No live Agmarknet data has been downloaded or analyzed for this task — per the task brief, this report instead uses hypothetical, generic records that mirror Agmarknet's real field structure (state, district, market, commodity, price, arrival date, etc.) to demonstrate how each preprocessing technique would be applied. This keeps the illustrations grounded in a real, publicly documented dataset while meeting the task's requirement for generic, illustrative examples rather than a live data analysis. Independent reviews of Agmarknet-sourced datasets (e.g. open-source projects built on data.gov.in's Agmarknet resource) consistently report exactly the issues catalogued in Section 4 — price outliers from unit-entry errors, inconsistent state/commodity name spellings, and missing days — which is what motivates the workflow in Section 5.</w:t>
      </w:r>
    </w:p>
    <w:p w14:paraId="5C4869EF">
      <w:pPr>
        <w:pStyle w:val="2"/>
        <w:pBdr>
          <w:bottom w:val="single" w:color="E67E22" w:sz="6" w:space="4"/>
        </w:pBdr>
        <w:spacing w:before="320" w:after="160"/>
      </w:pPr>
      <w:r>
        <w:rPr>
          <w:b/>
          <w:bCs/>
          <w:color w:val="1F3864"/>
          <w:sz w:val="28"/>
          <w:szCs w:val="28"/>
        </w:rPr>
        <w:t>3. Literature Review: Data Cleaning Best Practices</w:t>
      </w:r>
    </w:p>
    <w:p w14:paraId="35CA6F8C">
      <w:pPr>
        <w:spacing w:after="160" w:line="300" w:lineRule="auto"/>
        <w:jc w:val="both"/>
      </w:pPr>
      <w:r>
        <w:rPr>
          <w:sz w:val="22"/>
          <w:szCs w:val="22"/>
        </w:rPr>
        <w:t>Standard data science practice treats data cleaning as a distinct, auditable phase that precedes any modelling — commonly summarized as the sequence: profile, clean, transform, validate. For agricultural datasets specifically, publicly documented experience from government and research data portals (e.g. Agmarknet mandi price data, ICAR crop datasets) highlights a few recurring themes:</w:t>
      </w:r>
    </w:p>
    <w:p w14:paraId="77C47451">
      <w:pPr>
        <w:pStyle w:val="16"/>
        <w:numPr>
          <w:ilvl w:val="0"/>
          <w:numId w:val="1"/>
        </w:numPr>
        <w:spacing w:after="80" w:line="280" w:lineRule="auto"/>
      </w:pPr>
      <w:r>
        <w:rPr>
          <w:sz w:val="22"/>
          <w:szCs w:val="22"/>
        </w:rPr>
        <w:t>Agricultural data is collected across thousands of decentralized reporting points (individual mandis, weather stations, farm surveys), which makes inconsistency — rather than outright absence — the dominant quality problem.</w:t>
      </w:r>
    </w:p>
    <w:p w14:paraId="15B659D2">
      <w:pPr>
        <w:pStyle w:val="16"/>
        <w:numPr>
          <w:ilvl w:val="0"/>
          <w:numId w:val="1"/>
        </w:numPr>
        <w:spacing w:after="80" w:line="280" w:lineRule="auto"/>
      </w:pPr>
      <w:r>
        <w:rPr>
          <w:sz w:val="22"/>
          <w:szCs w:val="22"/>
        </w:rPr>
        <w:t>Seasonality is a core feature of agricultural data, not an error; cleaning strategies must distinguish genuine seasonal structure from noise or anomalies, rather than smoothing both away equally.</w:t>
      </w:r>
    </w:p>
    <w:p w14:paraId="4F01F676">
      <w:pPr>
        <w:pStyle w:val="16"/>
        <w:numPr>
          <w:ilvl w:val="0"/>
          <w:numId w:val="1"/>
        </w:numPr>
        <w:spacing w:after="80" w:line="280" w:lineRule="auto"/>
      </w:pPr>
      <w:r>
        <w:rPr>
          <w:sz w:val="22"/>
          <w:szCs w:val="22"/>
        </w:rPr>
        <w:t>Because reporting units (kg, quintal, tonne) and currencies/time formats vary by state and source in India, unit and format standardization is consistently flagged as a prerequisite step before any cross-region analysis.</w:t>
      </w:r>
    </w:p>
    <w:p w14:paraId="65CC712C">
      <w:pPr>
        <w:pStyle w:val="16"/>
        <w:numPr>
          <w:ilvl w:val="0"/>
          <w:numId w:val="1"/>
        </w:numPr>
        <w:spacing w:after="80" w:line="280" w:lineRule="auto"/>
      </w:pPr>
      <w:r>
        <w:rPr>
          <w:sz w:val="22"/>
          <w:szCs w:val="22"/>
        </w:rPr>
        <w:t>Outlier handling in commodity price data is best done with human-in-the-loop review rather than full automation, since genuine price shocks (e.g. due to supply disruption) are meaningful signal, not error.</w:t>
      </w:r>
    </w:p>
    <w:p w14:paraId="69C21391">
      <w:pPr>
        <w:spacing w:after="160" w:line="300" w:lineRule="auto"/>
        <w:jc w:val="both"/>
      </w:pPr>
      <w:r>
        <w:rPr>
          <w:sz w:val="22"/>
          <w:szCs w:val="22"/>
        </w:rPr>
        <w:t>These principles directly inform the workflow proposed in Section 5.</w:t>
      </w:r>
    </w:p>
    <w:p w14:paraId="7FBFF213">
      <w:pPr>
        <w:pStyle w:val="2"/>
        <w:pBdr>
          <w:bottom w:val="single" w:color="E67E22" w:sz="6" w:space="4"/>
        </w:pBdr>
        <w:spacing w:before="320" w:after="160"/>
      </w:pPr>
      <w:r>
        <w:rPr>
          <w:b/>
          <w:bCs/>
          <w:color w:val="1F3864"/>
          <w:sz w:val="28"/>
          <w:szCs w:val="28"/>
        </w:rPr>
        <w:t>4. Common Data Issues in Agricultural Datasets</w:t>
      </w:r>
    </w:p>
    <w:p w14:paraId="12E79827">
      <w:pPr>
        <w:spacing w:after="160" w:line="300" w:lineRule="auto"/>
        <w:jc w:val="both"/>
      </w:pPr>
      <w:r>
        <w:rPr>
          <w:sz w:val="22"/>
          <w:szCs w:val="22"/>
        </w:rPr>
        <w:t>Before designing a cleaning workflow, it's necessary to catalogue the specific issues likely to appear in agricultural data. The table below lists six recurring categories, how each typically shows up in agri datasets such as mandi price/arrivals data, and a hypothetical example of each.</w:t>
      </w:r>
    </w:p>
    <w:p w14:paraId="0DC639DA"/>
    <w:p w14:paraId="61BFC955">
      <w:pPr>
        <w:spacing w:before="60" w:after="280"/>
        <w:jc w:val="center"/>
      </w:pPr>
      <w:r>
        <w:rPr>
          <w:i/>
          <w:iCs/>
          <w:color w:val="595959"/>
          <w:sz w:val="18"/>
          <w:szCs w:val="18"/>
        </w:rPr>
        <w:t>Table 1: Common data quality issues in agricultural datasets</w:t>
      </w:r>
    </w:p>
    <w:p w14:paraId="3DB5729A">
      <w:pPr>
        <w:pStyle w:val="2"/>
        <w:pBdr>
          <w:bottom w:val="single" w:color="E67E22" w:sz="6" w:space="4"/>
        </w:pBdr>
        <w:spacing w:before="320" w:after="160"/>
      </w:pPr>
      <w:r>
        <w:rPr>
          <w:b/>
          <w:bCs/>
          <w:color w:val="1F3864"/>
          <w:sz w:val="28"/>
          <w:szCs w:val="28"/>
        </w:rPr>
        <w:t>5. Data Cleaning and Preprocessing Workflow</w:t>
      </w:r>
    </w:p>
    <w:p w14:paraId="1C534DBD">
      <w:pPr>
        <w:spacing w:after="160" w:line="300" w:lineRule="auto"/>
        <w:jc w:val="both"/>
      </w:pPr>
      <w:r>
        <w:rPr>
          <w:sz w:val="22"/>
          <w:szCs w:val="22"/>
        </w:rPr>
        <w:t>The proposed workflow follows six sequential stages, each with a specific purpose and a rationale tied to the issues identified in Table 1.</w:t>
      </w:r>
    </w:p>
    <w:p w14:paraId="560A4B1C">
      <w:pPr>
        <w:spacing w:before="100"/>
        <w:jc w:val="center"/>
      </w:pPr>
      <w:r>
        <w:drawing>
          <wp:inline distT="0" distB="0" distL="0" distR="0">
            <wp:extent cx="5524500" cy="1209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524500" cy="1209675"/>
                    </a:xfrm>
                    <a:prstGeom prst="rect">
                      <a:avLst/>
                    </a:prstGeom>
                  </pic:spPr>
                </pic:pic>
              </a:graphicData>
            </a:graphic>
          </wp:inline>
        </w:drawing>
      </w:r>
    </w:p>
    <w:p w14:paraId="0964C763">
      <w:pPr>
        <w:spacing w:before="60" w:after="280"/>
        <w:jc w:val="center"/>
      </w:pPr>
      <w:r>
        <w:rPr>
          <w:i/>
          <w:iCs/>
          <w:color w:val="595959"/>
          <w:sz w:val="18"/>
          <w:szCs w:val="18"/>
        </w:rPr>
        <w:t>Figure 1: Six-stage data cleaning and preprocessing pipeline</w:t>
      </w:r>
    </w:p>
    <w:p w14:paraId="4C1FD399"/>
    <w:p w14:paraId="59A5CFF2">
      <w:pPr>
        <w:spacing w:before="60" w:after="280"/>
        <w:jc w:val="center"/>
      </w:pPr>
      <w:r>
        <w:rPr>
          <w:i/>
          <w:iCs/>
          <w:color w:val="595959"/>
          <w:sz w:val="18"/>
          <w:szCs w:val="18"/>
        </w:rPr>
        <w:t>Table 2: Workflow steps, methods, and rationale</w:t>
      </w:r>
    </w:p>
    <w:p w14:paraId="3BC3FDDC">
      <w:pPr>
        <w:pStyle w:val="2"/>
        <w:pBdr>
          <w:bottom w:val="single" w:color="E67E22" w:sz="6" w:space="4"/>
        </w:pBdr>
        <w:spacing w:before="320" w:after="160"/>
      </w:pPr>
      <w:r>
        <w:rPr>
          <w:b/>
          <w:bCs/>
          <w:color w:val="1F3864"/>
          <w:sz w:val="28"/>
          <w:szCs w:val="28"/>
        </w:rPr>
        <w:t>6. Methodology Specifications</w:t>
      </w:r>
    </w:p>
    <w:p w14:paraId="4188D192">
      <w:pPr>
        <w:spacing w:after="160" w:line="300" w:lineRule="auto"/>
        <w:jc w:val="both"/>
      </w:pPr>
      <w:r>
        <w:rPr>
          <w:sz w:val="22"/>
          <w:szCs w:val="22"/>
        </w:rPr>
        <w:t>To make the workflow in Table 2 directly applicable rather than descriptive, this section specifies the exact formulas and thresholds used at each quantitative step, applied to the Agmarknet schema (price per quintal, arrival quantity, arrival date) introduced in Section 2.</w:t>
      </w:r>
    </w:p>
    <w:p w14:paraId="2B7C3C77">
      <w:pPr>
        <w:pStyle w:val="4"/>
        <w:spacing w:before="180" w:after="90"/>
      </w:pPr>
      <w:r>
        <w:rPr>
          <w:b/>
          <w:bCs/>
          <w:color w:val="E67E22"/>
          <w:sz w:val="22"/>
          <w:szCs w:val="22"/>
        </w:rPr>
        <w:t>6.1 Missing Data — Seasonal-Mean Imputation</w:t>
      </w:r>
    </w:p>
    <w:p w14:paraId="5F445E35">
      <w:pPr>
        <w:spacing w:after="160" w:line="300" w:lineRule="auto"/>
        <w:jc w:val="both"/>
      </w:pPr>
      <w:r>
        <w:rPr>
          <w:sz w:val="22"/>
          <w:szCs w:val="22"/>
        </w:rPr>
        <w:t>For a gap of 1–2 days in a crop-mandi price series, the missing Modal Price is estimated as the mean of the same crop-mandi series over a ±7-day window around the missing date, excluding any other missing or already-flagged-outlier days:</w:t>
      </w:r>
    </w:p>
    <w:p w14:paraId="72A05F1C">
      <w:pPr>
        <w:pBdr>
          <w:left w:val="single" w:color="E67E22" w:sz="12" w:space="6"/>
        </w:pBdr>
        <w:shd w:val="clear" w:fill="F2F2F2"/>
        <w:spacing w:before="80" w:after="200" w:line="280" w:lineRule="auto"/>
        <w:ind w:left="240"/>
      </w:pPr>
      <w:r>
        <w:rPr>
          <w:rFonts w:ascii="Courier New" w:hAnsi="Courier New" w:eastAsia="Courier New" w:cs="Courier New"/>
          <w:i/>
          <w:iCs/>
          <w:color w:val="1F3864"/>
          <w:sz w:val="20"/>
          <w:szCs w:val="20"/>
        </w:rPr>
        <w:t>Imputed Price(d) = mean( Price(d−7) ... Price(d−1), Price(d+1) ... Price(d+7) )</w:t>
      </w:r>
    </w:p>
    <w:p w14:paraId="5A2A4621">
      <w:pPr>
        <w:spacing w:after="160" w:line="300" w:lineRule="auto"/>
        <w:jc w:val="both"/>
      </w:pPr>
      <w:r>
        <w:rPr>
          <w:sz w:val="22"/>
          <w:szCs w:val="22"/>
        </w:rPr>
        <w:t>If more than 5 of the 14 surrounding days are also missing, the window is widened to ±14 days before falling back to a simple drop-and-flag. Every imputed value is written to a separate is_imputed boolean column rather than overwriting the raw field, so it can be excluded from downstream modelling on request.</w:t>
      </w:r>
    </w:p>
    <w:p w14:paraId="42C40F98">
      <w:pPr>
        <w:pStyle w:val="4"/>
        <w:spacing w:before="180" w:after="90"/>
      </w:pPr>
      <w:r>
        <w:rPr>
          <w:b/>
          <w:bCs/>
          <w:color w:val="E67E22"/>
          <w:sz w:val="22"/>
          <w:szCs w:val="22"/>
        </w:rPr>
        <w:t>6.2 Outlier Detection — Interquartile Range (IQR) Method</w:t>
      </w:r>
    </w:p>
    <w:p w14:paraId="4B6D5448">
      <w:pPr>
        <w:spacing w:after="160" w:line="300" w:lineRule="auto"/>
        <w:jc w:val="both"/>
      </w:pPr>
      <w:r>
        <w:rPr>
          <w:sz w:val="22"/>
          <w:szCs w:val="22"/>
        </w:rPr>
        <w:t>Applied separately per crop-mandi combination (never on the pooled dataset, since price scale varies enormously by crop):</w:t>
      </w:r>
    </w:p>
    <w:p w14:paraId="229BB9C3">
      <w:pPr>
        <w:pBdr>
          <w:left w:val="single" w:color="E67E22" w:sz="12" w:space="6"/>
        </w:pBdr>
        <w:shd w:val="clear" w:fill="F2F2F2"/>
        <w:spacing w:before="80" w:after="200" w:line="280" w:lineRule="auto"/>
        <w:ind w:left="240"/>
      </w:pPr>
      <w:r>
        <w:rPr>
          <w:rFonts w:ascii="Courier New" w:hAnsi="Courier New" w:eastAsia="Courier New" w:cs="Courier New"/>
          <w:i/>
          <w:iCs/>
          <w:color w:val="1F3864"/>
          <w:sz w:val="20"/>
          <w:szCs w:val="20"/>
        </w:rPr>
        <w:t>Q1, Q3 = 25th and 75th percentile of Price for that crop-mandi group</w:t>
      </w:r>
      <w:r>
        <w:br w:type="textWrapping"/>
      </w:r>
      <w:r>
        <w:rPr>
          <w:rFonts w:ascii="Courier New" w:hAnsi="Courier New" w:eastAsia="Courier New" w:cs="Courier New"/>
          <w:i/>
          <w:iCs/>
          <w:color w:val="1F3864"/>
          <w:sz w:val="20"/>
          <w:szCs w:val="20"/>
        </w:rPr>
        <w:t>IQR = Q3 − Q1</w:t>
      </w:r>
      <w:r>
        <w:br w:type="textWrapping"/>
      </w:r>
      <w:r>
        <w:rPr>
          <w:rFonts w:ascii="Courier New" w:hAnsi="Courier New" w:eastAsia="Courier New" w:cs="Courier New"/>
          <w:i/>
          <w:iCs/>
          <w:color w:val="1F3864"/>
          <w:sz w:val="20"/>
          <w:szCs w:val="20"/>
        </w:rPr>
        <w:t>Lower bound = Q1 − 1.5 × IQR</w:t>
      </w:r>
      <w:r>
        <w:br w:type="textWrapping"/>
      </w:r>
      <w:r>
        <w:rPr>
          <w:rFonts w:ascii="Courier New" w:hAnsi="Courier New" w:eastAsia="Courier New" w:cs="Courier New"/>
          <w:i/>
          <w:iCs/>
          <w:color w:val="1F3864"/>
          <w:sz w:val="20"/>
          <w:szCs w:val="20"/>
        </w:rPr>
        <w:t>Upper bound = Q3 + 1.5 × IQR</w:t>
      </w:r>
    </w:p>
    <w:p w14:paraId="1D827E52">
      <w:pPr>
        <w:spacing w:after="160" w:line="300" w:lineRule="auto"/>
        <w:jc w:val="both"/>
      </w:pPr>
      <w:r>
        <w:rPr>
          <w:sz w:val="22"/>
          <w:szCs w:val="22"/>
        </w:rPr>
        <w:t>A record outside [Lower bound, Upper bound] is flagged, not deleted. Flagged records are checked against a simple secondary rule before correction: if Flagged Price / median(Price) is within 5% of 10, 100, or 1000, it is treated as a probable decimal/unit entry error and divided accordingly; otherwise it is left as a genuine price movement and kept with an is_outlier flag for transparency.</w:t>
      </w:r>
    </w:p>
    <w:p w14:paraId="102258AB">
      <w:pPr>
        <w:pStyle w:val="4"/>
        <w:spacing w:before="180" w:after="90"/>
      </w:pPr>
      <w:r>
        <w:rPr>
          <w:b/>
          <w:bCs/>
          <w:color w:val="E67E22"/>
          <w:sz w:val="22"/>
          <w:szCs w:val="22"/>
        </w:rPr>
        <w:t>6.3 Normalization — Unit Conversion and Min-Max Scaling</w:t>
      </w:r>
    </w:p>
    <w:p w14:paraId="3C078667">
      <w:pPr>
        <w:spacing w:after="160" w:line="300" w:lineRule="auto"/>
        <w:jc w:val="both"/>
      </w:pPr>
      <w:r>
        <w:rPr>
          <w:sz w:val="22"/>
          <w:szCs w:val="22"/>
        </w:rPr>
        <w:t>All price fields are first converted to a single unit (₹ per quintal) using fixed conversion factors (1 quintal = 100 kg = 0.1 tonne) before any scaling is applied. For model-ready numeric features, min-max scaling is used so all features fall in [0, 1]:</w:t>
      </w:r>
    </w:p>
    <w:p w14:paraId="48FC569F">
      <w:pPr>
        <w:pBdr>
          <w:left w:val="single" w:color="E67E22" w:sz="12" w:space="6"/>
        </w:pBdr>
        <w:shd w:val="clear" w:fill="F2F2F2"/>
        <w:spacing w:before="80" w:after="200" w:line="280" w:lineRule="auto"/>
        <w:ind w:left="240"/>
      </w:pPr>
      <w:r>
        <w:rPr>
          <w:rFonts w:ascii="Courier New" w:hAnsi="Courier New" w:eastAsia="Courier New" w:cs="Courier New"/>
          <w:i/>
          <w:iCs/>
          <w:color w:val="1F3864"/>
          <w:sz w:val="20"/>
          <w:szCs w:val="20"/>
        </w:rPr>
        <w:t>Scaled value = (x − min(x)) / (max(x) − min(x))</w:t>
      </w:r>
    </w:p>
    <w:p w14:paraId="4C75D48A">
      <w:pPr>
        <w:spacing w:after="160" w:line="300" w:lineRule="auto"/>
        <w:jc w:val="both"/>
      </w:pPr>
      <w:r>
        <w:rPr>
          <w:sz w:val="22"/>
          <w:szCs w:val="22"/>
        </w:rPr>
        <w:t>computed per crop (not globally), so that a low-value crop like potato and a high-value crop like cardamom each scale within their own realistic range rather than being distorted by the other's scale.</w:t>
      </w:r>
    </w:p>
    <w:p w14:paraId="07ADF58D">
      <w:pPr>
        <w:pStyle w:val="4"/>
        <w:spacing w:before="180" w:after="90"/>
      </w:pPr>
      <w:r>
        <w:rPr>
          <w:b/>
          <w:bCs/>
          <w:color w:val="E67E22"/>
          <w:sz w:val="22"/>
          <w:szCs w:val="22"/>
        </w:rPr>
        <w:t>6.4 Format Transformation — Canonical Name Mapping</w:t>
      </w:r>
    </w:p>
    <w:p w14:paraId="0677CB67">
      <w:pPr>
        <w:spacing w:after="160" w:line="300" w:lineRule="auto"/>
        <w:jc w:val="both"/>
      </w:pPr>
      <w:r>
        <w:rPr>
          <w:sz w:val="22"/>
          <w:szCs w:val="22"/>
        </w:rPr>
        <w:t>Commodity names are matched against a canonical lookup table (e.g. {“tomatoe”: “Tomato”, “TOMATO”: “Tomato”, “tomato ”: “Tomato”}) built by taking the distinct values from Data Profiling (Step 1), lower-casing and trimming them, and grouping near-duplicates using a string-edit-distance threshold (Levenshtein distance ≤ 2) for manual confirmation before being added to the lookup table.</w:t>
      </w:r>
    </w:p>
    <w:p w14:paraId="496BB041">
      <w:pPr>
        <w:pStyle w:val="2"/>
        <w:pBdr>
          <w:bottom w:val="single" w:color="E67E22" w:sz="6" w:space="4"/>
        </w:pBdr>
        <w:spacing w:before="320" w:after="160"/>
      </w:pPr>
      <w:r>
        <w:rPr>
          <w:b/>
          <w:bCs/>
          <w:color w:val="1F3864"/>
          <w:sz w:val="28"/>
          <w:szCs w:val="28"/>
        </w:rPr>
        <w:t>7. Illustrative End-to-End Example</w:t>
      </w:r>
    </w:p>
    <w:p w14:paraId="04537914">
      <w:pPr>
        <w:spacing w:after="160" w:line="300" w:lineRule="auto"/>
        <w:jc w:val="both"/>
      </w:pPr>
      <w:r>
        <w:rPr>
          <w:sz w:val="22"/>
          <w:szCs w:val="22"/>
        </w:rPr>
        <w:t>The table below walks through four hypothetical raw records from a mandi tomato-price dataset and shows how each would look after applying the formulas in Section 6 — demonstrating format standardization, seasonal-mean imputation, and IQR-based outlier correction together. For context, assume the surrounding 14-day window for this crop-mandi series has a mean Modal Price of ₹1,750/quintal and an IQR-derived upper bound of ₹2,400/quintal.</w:t>
      </w:r>
    </w:p>
    <w:p w14:paraId="04F96F65"/>
    <w:p w14:paraId="45D2B073">
      <w:pPr>
        <w:spacing w:before="60" w:after="280"/>
        <w:jc w:val="center"/>
      </w:pPr>
      <w:r>
        <w:rPr>
          <w:i/>
          <w:iCs/>
          <w:color w:val="595959"/>
          <w:sz w:val="18"/>
          <w:szCs w:val="18"/>
        </w:rPr>
        <w:t>Table 3: Before/after example on hypothetical mandi price records</w:t>
      </w:r>
    </w:p>
    <w:p w14:paraId="560F1523">
      <w:pPr>
        <w:spacing w:after="160" w:line="300" w:lineRule="auto"/>
        <w:jc w:val="both"/>
      </w:pPr>
      <w:r>
        <w:rPr>
          <w:sz w:val="22"/>
          <w:szCs w:val="22"/>
        </w:rPr>
        <w:t>Two design choices are worth noting. First, imputed values (row 2) are flagged rather than silently inserted, so that any downstream model can optionally exclude or down-weight estimated data. Second, the outlier in row 3 is corrected rather than deleted, because the profiling step determined it was almost certainly a decimal/unit entry error (₹95,000 vs a local average near ₹9,500) rather than a genuine price spike — illustrating why human review, guided by domain context, outperforms blind automated removal for this kind of data.</w:t>
      </w:r>
    </w:p>
    <w:p w14:paraId="147C9006">
      <w:pPr>
        <w:pStyle w:val="2"/>
        <w:pBdr>
          <w:bottom w:val="single" w:color="E67E22" w:sz="6" w:space="4"/>
        </w:pBdr>
        <w:spacing w:before="320" w:after="160"/>
      </w:pPr>
      <w:r>
        <w:rPr>
          <w:b/>
          <w:bCs/>
          <w:color w:val="1F3864"/>
          <w:sz w:val="28"/>
          <w:szCs w:val="28"/>
        </w:rPr>
        <w:t>8. Conclusion</w:t>
      </w:r>
    </w:p>
    <w:p w14:paraId="4353B92F">
      <w:pPr>
        <w:spacing w:after="160" w:line="300" w:lineRule="auto"/>
        <w:jc w:val="both"/>
      </w:pPr>
      <w:r>
        <w:rPr>
          <w:sz w:val="22"/>
          <w:szCs w:val="22"/>
        </w:rPr>
        <w:t>Raw agricultural data — whether mandi prices, yield records, or post-harvest survey data — is rarely analysis-ready: it carries missing reports, entry errors, genuine seasonal structure, and inconsistent units and formats across its many decentralized sources. The six-stage workflow proposed here (profiling, missing-data handling, outlier detection, normalization, transformation, and validation) addresses each of these issues in a specific, formula-level order — seasonal-mean imputation for short gaps, the IQR method with a 1.5× threshold for outlier flagging, per-crop min-max scaling for normalization — with human review built into the steps most likely to destroy real signal if automated. Applied consistently, this strategy would turn a fragmented raw dataset into a consistent, comparable, and trustworthy input for the predictive modelling work (spoilage-risk prediction, price forecasting) proposed for later weeks of this internship.</w:t>
      </w:r>
    </w:p>
    <w:p w14:paraId="40692E28">
      <w:pPr>
        <w:pStyle w:val="2"/>
        <w:pBdr>
          <w:bottom w:val="single" w:color="E67E22" w:sz="6" w:space="4"/>
        </w:pBdr>
        <w:spacing w:before="320" w:after="160"/>
      </w:pPr>
      <w:r>
        <w:rPr>
          <w:b/>
          <w:bCs/>
          <w:color w:val="1F3864"/>
          <w:sz w:val="28"/>
          <w:szCs w:val="28"/>
        </w:rPr>
        <w:t>References</w:t>
      </w:r>
    </w:p>
    <w:p w14:paraId="64467582">
      <w:pPr>
        <w:spacing w:after="160" w:line="300" w:lineRule="auto"/>
        <w:jc w:val="both"/>
      </w:pPr>
      <w:r>
        <w:rPr>
          <w:color w:val="595959"/>
          <w:sz w:val="20"/>
          <w:szCs w:val="20"/>
        </w:rPr>
        <w:t>Agmarknet – Agricultural Marketing Information Network, Directorate of Marketing &amp; Inspection, Ministry of Agriculture &amp; Farmers Welfare, Govt. of India – agmarknet.gov.in</w:t>
      </w:r>
    </w:p>
    <w:p w14:paraId="692DEF6B">
      <w:pPr>
        <w:spacing w:after="160" w:line="300" w:lineRule="auto"/>
        <w:jc w:val="both"/>
      </w:pPr>
      <w:r>
        <w:rPr>
          <w:color w:val="595959"/>
          <w:sz w:val="20"/>
          <w:szCs w:val="20"/>
        </w:rPr>
        <w:t>data.gov.in – Open Government Data Platform India, Agmarknet daily mandi price &amp; arrival resource (accessed via public API)</w:t>
      </w:r>
    </w:p>
    <w:p w14:paraId="3D949C09">
      <w:pPr>
        <w:spacing w:after="160" w:line="300" w:lineRule="auto"/>
        <w:jc w:val="both"/>
      </w:pPr>
      <w:r>
        <w:rPr>
          <w:color w:val="595959"/>
          <w:sz w:val="20"/>
          <w:szCs w:val="20"/>
        </w:rPr>
        <w:t>India Data Portal – Agriculture Marketing: APMC Arrivals and Prices (AGMARKNET) dataset documentation, indiadataportal.com</w:t>
      </w:r>
    </w:p>
    <w:p w14:paraId="06D9BFB4">
      <w:pPr>
        <w:spacing w:after="160" w:line="300" w:lineRule="auto"/>
        <w:jc w:val="both"/>
      </w:pPr>
      <w:r>
        <w:rPr>
          <w:color w:val="595959"/>
          <w:sz w:val="20"/>
          <w:szCs w:val="20"/>
        </w:rPr>
        <w:t>ICAR – data standards and known quality issues in national crop and horticulture datasets</w:t>
      </w:r>
    </w:p>
    <w:p w14:paraId="348F26EE">
      <w:pPr>
        <w:spacing w:after="160" w:line="300" w:lineRule="auto"/>
        <w:jc w:val="both"/>
      </w:pPr>
      <w:r>
        <w:rPr>
          <w:color w:val="595959"/>
          <w:sz w:val="20"/>
          <w:szCs w:val="20"/>
        </w:rPr>
        <w:t>Standard data science preprocessing practice: profiling → cleaning → transformation → validation pipeline, as commonly documented across data science methodology literature</w:t>
      </w:r>
    </w:p>
    <w:p w14:paraId="4C5A3ADA">
      <w:pPr>
        <w:spacing w:after="160" w:line="300" w:lineRule="auto"/>
        <w:jc w:val="both"/>
      </w:pPr>
      <w:r>
        <w:rPr>
          <w:color w:val="595959"/>
          <w:sz w:val="20"/>
          <w:szCs w:val="20"/>
        </w:rPr>
        <w:t>Week 1 report (this internship) – Post-Harvest Losses in India's Agricultural Supply Chain, for continuity of domain context</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20" w:hanging="260"/>
      </w:pPr>
    </w:lvl>
    <w:lvl w:ilvl="1" w:tentative="0">
      <w:start w:val="1"/>
      <w:numFmt w:val="bullet"/>
      <w:lvlText w:val="◦"/>
      <w:lvlJc w:val="left"/>
      <w:pPr>
        <w:ind w:left="8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isplayBackgroundShape w:val="1"/>
  <w:documentProtection w:enforcement="0"/>
  <w:compat>
    <w:compatSetting w:name="compatibilityMode" w:uri="http://schemas.microsoft.com/office/word" w:val="15"/>
  </w:compat>
  <w:rsids>
    <w:rsidRoot w:val="00000000"/>
    <w:rsid w:val="1FFA53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1631</Words>
  <Characters>9618</Characters>
  <TotalTime>0</TotalTime>
  <ScaleCrop>false</ScaleCrop>
  <LinksUpToDate>false</LinksUpToDate>
  <CharactersWithSpaces>11185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2026-10-03T03:16:00Z</dcterms:created>
  <dc:creator>Un-named</dc:creator>
  <cp:lastModifiedBy>Yashwanth reddy Reddy</cp:lastModifiedBy>
  <dcterms:modified xsi:type="dcterms:W3CDTF">2026-10-03T03:17:49Z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eyJoZGlkIjoiNTc5YjRmZDFlMzUyN2IwOTFlNTNhZGQ0NTY4NTE1YWUiLCJ1c2VySWQiOiI1Njc2MjczNTM3NDMifQ==</vt:lpwstr>
  </property>
  <property fmtid="{D5CDD505-2E9C-101B-9397-08002B2CF9AE}" pid="3" name="KSOProductBuildVer">
    <vt:lpwstr>1033-12.1.0.28485</vt:lpwstr>
  </property>
  <property fmtid="{D5CDD505-2E9C-101B-9397-08002B2CF9AE}" pid="4" name="ICV">
    <vt:lpwstr>36EE600F43BE4DB9A85D0C2557F68810_12</vt:lpwstr>
  </property>
</Properties>
</file>