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2CB" w:rsidRPr="008A5A5B" w:rsidRDefault="009242CB" w:rsidP="008A5A5B">
      <w:pPr>
        <w:jc w:val="center"/>
        <w:rPr>
          <w:sz w:val="32"/>
          <w:szCs w:val="32"/>
        </w:rPr>
      </w:pPr>
      <w:r w:rsidRPr="008A5A5B">
        <w:rPr>
          <w:rFonts w:hint="eastAsia"/>
          <w:sz w:val="32"/>
          <w:szCs w:val="32"/>
        </w:rPr>
        <w:t>《清代盐政基本原理论纲》读书报告</w:t>
      </w:r>
    </w:p>
    <w:p w:rsidR="00DC58D9" w:rsidRDefault="004B1FA6" w:rsidP="00DC58D9">
      <w:pPr>
        <w:pStyle w:val="ae"/>
        <w:ind w:firstLineChars="100" w:firstLine="240"/>
        <w:rPr>
          <w:rFonts w:ascii="FZSSK--GBK1-0" w:hAnsi="FZSSK--GBK1-0" w:hint="eastAsia"/>
        </w:rPr>
      </w:pPr>
      <w:r>
        <w:rPr>
          <w:rFonts w:hint="eastAsia"/>
        </w:rPr>
        <w:t>这篇文章写作的目的在于从历史中观层面出发，纲要式地总结清代盐政的基本原理。黄国信</w:t>
      </w:r>
      <w:r w:rsidR="00F10F1F">
        <w:rPr>
          <w:rFonts w:hint="eastAsia"/>
        </w:rPr>
        <w:t>认为，清代盐政可以归纳出五大原则，</w:t>
      </w:r>
      <w:r w:rsidR="00F10F1F" w:rsidRPr="00DC58D9">
        <w:rPr>
          <w:rFonts w:hint="eastAsia"/>
        </w:rPr>
        <w:t>分别是，</w:t>
      </w:r>
      <w:r w:rsidR="00DC58D9" w:rsidRPr="00DC58D9">
        <w:rPr>
          <w:rFonts w:ascii="FZSSK--GBK1-0" w:hAnsi="FZSSK--GBK1-0"/>
        </w:rPr>
        <w:t>课入最大化期望转化为课入最优化实践的试错原则，交易成本与课入量动态协调的平衡原则，计划性与市场性相结合的折中</w:t>
      </w:r>
      <w:r w:rsidR="00DC58D9" w:rsidRPr="00DC58D9">
        <w:rPr>
          <w:rFonts w:ascii="FZSSK--GBK1-0" w:hAnsi="FZSSK--GBK1-0"/>
        </w:rPr>
        <w:t xml:space="preserve"> </w:t>
      </w:r>
      <w:r w:rsidR="00DC58D9" w:rsidRPr="00DC58D9">
        <w:rPr>
          <w:rFonts w:ascii="FZSSK--GBK1-0" w:hAnsi="FZSSK--GBK1-0"/>
        </w:rPr>
        <w:t>原则，作为盐区边界纠纷动力的行政收益考量原则，使盐区难以改划更无法取消的路径依赖原</w:t>
      </w:r>
      <w:r w:rsidR="00DC58D9">
        <w:rPr>
          <w:rFonts w:ascii="FZSSK--GBK1-0" w:hAnsi="FZSSK--GBK1-0" w:hint="eastAsia"/>
        </w:rPr>
        <w:t>则。黄国信的观点是，这五大原则构成了清代盐政运作的内在逻辑和机制。</w:t>
      </w:r>
      <w:r w:rsidR="002A1982">
        <w:rPr>
          <w:rFonts w:ascii="FZSSK--GBK1-0" w:hAnsi="FZSSK--GBK1-0" w:hint="eastAsia"/>
        </w:rPr>
        <w:t>他还认为，规制生财，是清代验证的基本目标，特点和性质。我的报告的框架将先分析这篇文章的大致内容，然后指出这篇文章的贡献，不足点，以及在盐政领域的前景。</w:t>
      </w:r>
    </w:p>
    <w:p w:rsidR="008B7DE7" w:rsidRDefault="008B7DE7" w:rsidP="00DC58D9">
      <w:pPr>
        <w:pStyle w:val="ae"/>
        <w:ind w:firstLineChars="100" w:firstLine="240"/>
        <w:rPr>
          <w:rFonts w:ascii="FZSSK--GBK1-0" w:hAnsi="FZSSK--GBK1-0" w:hint="eastAsia"/>
        </w:rPr>
      </w:pPr>
      <w:r>
        <w:rPr>
          <w:rFonts w:ascii="FZSSK--GBK1-0" w:hAnsi="FZSSK--GBK1-0" w:hint="eastAsia"/>
        </w:rPr>
        <w:t>黄国信的这篇文章分为三大部分，第一部分，分析清代盐政的基本目标：规制生财；第二部分，分析五大原则，试错原理，平衡原理，折中原理，行政收益考量，</w:t>
      </w:r>
      <w:r w:rsidR="007F29E5">
        <w:rPr>
          <w:rFonts w:ascii="FZSSK--GBK1-0" w:hAnsi="FZSSK--GBK1-0" w:hint="eastAsia"/>
        </w:rPr>
        <w:t>路径依赖；第三部分，总结，余论。</w:t>
      </w:r>
    </w:p>
    <w:p w:rsidR="00195C38" w:rsidRPr="00DC58D9" w:rsidRDefault="00DC58D9" w:rsidP="00DC58D9">
      <w:pPr>
        <w:pStyle w:val="ae"/>
        <w:ind w:firstLineChars="100" w:firstLine="240"/>
        <w:rPr>
          <w:rFonts w:ascii="FZSSK--GBK1-0" w:hAnsi="FZSSK--GBK1-0" w:hint="eastAsia"/>
        </w:rPr>
      </w:pPr>
      <w:r w:rsidRPr="00DC58D9">
        <w:rPr>
          <w:rFonts w:ascii="FZSSK--GBK1-0" w:hAnsi="FZSSK--GBK1-0"/>
        </w:rPr>
        <w:t>在论文的开篇，黄国信对于特许专商、分地行盐制度的选择和推出进行了简要介绍，并提出了其略作损益后的成效，引出了分区行盐制度的路径依赖问题。这一开端为后文的论述奠定了基础，揭示了清代盐政制度的核心架构和基本原则。通过对制度的推理和分析，黄国信清晰地阐述了其在清代盐政中的重要性。这种制度的选择不仅在当时有其合理性，也在一定程度上影响了后续的政策演变。</w:t>
      </w:r>
    </w:p>
    <w:p w:rsidR="00DC58D9" w:rsidRPr="00DC58D9" w:rsidRDefault="008B7DE7" w:rsidP="008B7DE7">
      <w:pPr>
        <w:pStyle w:val="ae"/>
        <w:ind w:firstLineChars="100" w:firstLine="240"/>
        <w:rPr>
          <w:rFonts w:ascii="FZSSK--GBK1-0" w:hAnsi="FZSSK--GBK1-0" w:hint="eastAsia"/>
        </w:rPr>
      </w:pPr>
      <w:r>
        <w:rPr>
          <w:rFonts w:ascii="FZSSK--GBK1-0" w:hAnsi="FZSSK--GBK1-0" w:hint="eastAsia"/>
        </w:rPr>
        <w:t>在论述的过程中，</w:t>
      </w:r>
      <w:r w:rsidR="00DC58D9" w:rsidRPr="00DC58D9">
        <w:rPr>
          <w:rFonts w:ascii="FZSSK--GBK1-0" w:hAnsi="FZSSK--GBK1-0"/>
        </w:rPr>
        <w:t>黄国信</w:t>
      </w:r>
      <w:r>
        <w:rPr>
          <w:rFonts w:ascii="FZSSK--GBK1-0" w:hAnsi="FZSSK--GBK1-0" w:hint="eastAsia"/>
        </w:rPr>
        <w:t>运用了大量史料</w:t>
      </w:r>
      <w:r w:rsidR="00DC58D9" w:rsidRPr="00DC58D9">
        <w:rPr>
          <w:rFonts w:ascii="FZSSK--GBK1-0" w:hAnsi="FZSSK--GBK1-0"/>
        </w:rPr>
        <w:t>。他引用了内阁户科题本、宫中朱批奏折等大量正史文献，以及一些具体的历史档案，如河南巡抚尹会一等的奏折，从而深入挖掘了清代盐政的相关资料。通过这些史料的运用，黄国信对清代盐政的历史背景、政策制定和执行情况进行详尽考证，为论文的论证提供了充分的依据和支撑。这些史料的综合运用，为对清代盐政制度的深入探讨提供了坚实的基础，使得论文的结论更具可信度。</w:t>
      </w:r>
    </w:p>
    <w:p w:rsidR="00DC58D9" w:rsidRPr="00DC58D9" w:rsidRDefault="007F29E5" w:rsidP="00DC58D9">
      <w:pPr>
        <w:pStyle w:val="ae"/>
        <w:ind w:firstLineChars="100" w:firstLine="240"/>
        <w:rPr>
          <w:rFonts w:ascii="FZSSK--GBK1-0" w:hAnsi="FZSSK--GBK1-0" w:hint="eastAsia"/>
        </w:rPr>
      </w:pPr>
      <w:r>
        <w:rPr>
          <w:rFonts w:ascii="FZSSK--GBK1-0" w:hAnsi="FZSSK--GBK1-0" w:hint="eastAsia"/>
        </w:rPr>
        <w:t>论文的后半部分，</w:t>
      </w:r>
      <w:r w:rsidR="00DC58D9" w:rsidRPr="00DC58D9">
        <w:rPr>
          <w:rFonts w:ascii="FZSSK--GBK1-0" w:hAnsi="FZSSK--GBK1-0"/>
        </w:rPr>
        <w:t>黄国信对于清代盐政制度的路径依赖现象进行了深入分析。他引用了大量历史文献和官方文件，如军机处录副奏折，详细阐述了官员们对于分区行盐制度的态度和看法。通过这些史料的运用，黄国信揭示了清代盐政制度在实践中的稳定性和持续性，从而进一步印证了论文的主要观点。这种路径依赖现象的深入剖析，</w:t>
      </w:r>
      <w:r w:rsidR="008B7DE7">
        <w:rPr>
          <w:rFonts w:ascii="FZSSK--GBK1-0" w:hAnsi="FZSSK--GBK1-0" w:hint="eastAsia"/>
        </w:rPr>
        <w:t>让</w:t>
      </w:r>
      <w:r w:rsidR="00DC58D9" w:rsidRPr="00DC58D9">
        <w:rPr>
          <w:rFonts w:ascii="FZSSK--GBK1-0" w:hAnsi="FZSSK--GBK1-0"/>
        </w:rPr>
        <w:t>读者对于清代盐政制度的运行机制有了更加全面的认识，为进一步研究提供了有益的启示。</w:t>
      </w:r>
    </w:p>
    <w:p w:rsidR="008B71B4" w:rsidRPr="008B71B4" w:rsidRDefault="00D00476" w:rsidP="00EE177A">
      <w:pPr>
        <w:pStyle w:val="ae"/>
        <w:ind w:firstLineChars="100" w:firstLine="240"/>
        <w:rPr>
          <w:rFonts w:ascii="FZSSK--GBK1-0" w:hAnsi="FZSSK--GBK1-0" w:hint="eastAsia"/>
        </w:rPr>
      </w:pPr>
      <w:r w:rsidRPr="00D00476">
        <w:rPr>
          <w:rFonts w:ascii="FZSSK--GBK1-0" w:hAnsi="FZSSK--GBK1-0"/>
        </w:rPr>
        <w:t>黄国信的这篇</w:t>
      </w:r>
      <w:r w:rsidR="007328A2">
        <w:rPr>
          <w:rFonts w:ascii="FZSSK--GBK1-0" w:hAnsi="FZSSK--GBK1-0" w:hint="eastAsia"/>
        </w:rPr>
        <w:t>文章</w:t>
      </w:r>
      <w:r w:rsidRPr="00D00476">
        <w:rPr>
          <w:rFonts w:ascii="FZSSK--GBK1-0" w:hAnsi="FZSSK--GBK1-0"/>
        </w:rPr>
        <w:t>在研究清代盐政制度方面做出了重要的贡献。</w:t>
      </w:r>
      <w:r w:rsidR="008B71B4">
        <w:rPr>
          <w:rFonts w:ascii="FZSSK--GBK1-0" w:hAnsi="FZSSK--GBK1-0" w:hint="eastAsia"/>
        </w:rPr>
        <w:t>第一</w:t>
      </w:r>
      <w:r w:rsidRPr="00D00476">
        <w:rPr>
          <w:rFonts w:ascii="FZSSK--GBK1-0" w:hAnsi="FZSSK--GBK1-0"/>
        </w:rPr>
        <w:t>，他通过对特许专商、分地行盐制度的深入分析，揭示了清代盐政制度的核心架构和基本原则，填补了以往研究中的一些空白。</w:t>
      </w:r>
      <w:r w:rsidR="008B71B4">
        <w:rPr>
          <w:rFonts w:ascii="FZSSK--GBK1-0" w:hAnsi="FZSSK--GBK1-0" w:hint="eastAsia"/>
        </w:rPr>
        <w:t>第二</w:t>
      </w:r>
      <w:r w:rsidRPr="00D00476">
        <w:rPr>
          <w:rFonts w:ascii="FZSSK--GBK1-0" w:hAnsi="FZSSK--GBK1-0"/>
        </w:rPr>
        <w:t>，</w:t>
      </w:r>
      <w:r w:rsidR="008B71B4" w:rsidRPr="008B71B4">
        <w:rPr>
          <w:rFonts w:ascii="FZSSK--GBK1-0" w:hAnsi="FZSSK--GBK1-0"/>
        </w:rPr>
        <w:t>黄国信在研究清代盐政制度时，通过广泛运用正史文献和历史档案，为论文的论证提供了充分的依据和支撑。在正史文献方面，他引用了内阁户科题本、宫中朱批奏折等权威文献，这些文献记载了清代盐政制度的重要历史事件和政策变化，为研究提供了可靠的历史资料。同时，他还参考了一些具体的历史档案，如河南巡抚尹会一等的奏</w:t>
      </w:r>
      <w:r w:rsidR="008B71B4" w:rsidRPr="008B71B4">
        <w:rPr>
          <w:rFonts w:ascii="FZSSK--GBK1-0" w:hAnsi="FZSSK--GBK1-0"/>
        </w:rPr>
        <w:lastRenderedPageBreak/>
        <w:t>折，这些档案记录了当时地方政府对于盐政制度的具体实施情况和反映，为研究提供了更为详尽的历史资料。</w:t>
      </w:r>
    </w:p>
    <w:p w:rsidR="007F29E5" w:rsidRDefault="008B71B4" w:rsidP="008B71B4">
      <w:pPr>
        <w:pStyle w:val="ae"/>
        <w:ind w:firstLineChars="100" w:firstLine="240"/>
        <w:rPr>
          <w:rFonts w:ascii="FZSSK--GBK1-0" w:hAnsi="FZSSK--GBK1-0" w:hint="eastAsia"/>
        </w:rPr>
      </w:pPr>
      <w:r w:rsidRPr="008B71B4">
        <w:rPr>
          <w:rFonts w:ascii="FZSSK--GBK1-0" w:hAnsi="FZSSK--GBK1-0"/>
        </w:rPr>
        <w:t>通过这些新史料的运用，黄国信在清代盐政制度的研究上打开了新的视角，探索了新的问题。他不仅关注了盐政制度本身的设置和运行，还深入分析了官员们对于分区行盐制度的态度和看法，</w:t>
      </w:r>
      <w:r w:rsidR="002B7EFA">
        <w:rPr>
          <w:rFonts w:ascii="FZSSK--GBK1-0" w:hAnsi="FZSSK--GBK1-0" w:hint="eastAsia"/>
        </w:rPr>
        <w:t>以及盐政</w:t>
      </w:r>
      <w:r w:rsidRPr="008B71B4">
        <w:rPr>
          <w:rFonts w:ascii="FZSSK--GBK1-0" w:hAnsi="FZSSK--GBK1-0"/>
        </w:rPr>
        <w:t>制度在实践中的稳定性和持续性等问题。通过对史料的细致分析和深入思考，他提出了制度路径依赖的问题，并对该现象进行了深入剖析</w:t>
      </w:r>
      <w:r w:rsidR="007F29E5">
        <w:rPr>
          <w:rFonts w:ascii="FZSSK--GBK1-0" w:hAnsi="FZSSK--GBK1-0" w:hint="eastAsia"/>
        </w:rPr>
        <w:t>。</w:t>
      </w:r>
    </w:p>
    <w:p w:rsidR="008B71B4" w:rsidRPr="00D00476" w:rsidRDefault="008B71B4" w:rsidP="008B71B4">
      <w:pPr>
        <w:pStyle w:val="ae"/>
        <w:ind w:firstLineChars="100" w:firstLine="240"/>
        <w:rPr>
          <w:rFonts w:ascii="FZSSK--GBK1-0" w:hAnsi="FZSSK--GBK1-0" w:hint="eastAsia"/>
        </w:rPr>
      </w:pPr>
      <w:r w:rsidRPr="008B71B4">
        <w:rPr>
          <w:rFonts w:ascii="FZSSK--GBK1-0" w:hAnsi="FZSSK--GBK1-0"/>
        </w:rPr>
        <w:t>这种新的研究视角和方法为该领域的研究提供了新的思路和方法。传统上，</w:t>
      </w:r>
      <w:r w:rsidR="00F33747">
        <w:rPr>
          <w:rFonts w:ascii="FZSSK--GBK1-0" w:hAnsi="FZSSK--GBK1-0" w:hint="eastAsia"/>
        </w:rPr>
        <w:t>有的</w:t>
      </w:r>
      <w:r w:rsidRPr="008B71B4">
        <w:rPr>
          <w:rFonts w:ascii="FZSSK--GBK1-0" w:hAnsi="FZSSK--GBK1-0"/>
        </w:rPr>
        <w:t>研究者更多关注盐政制度的设置和政策内容，而忽视了制度背后的历史和社会背景，以及官员们的态度和看法等因素。黄国信</w:t>
      </w:r>
      <w:r w:rsidR="00F33747">
        <w:rPr>
          <w:rFonts w:ascii="FZSSK--GBK1-0" w:hAnsi="FZSSK--GBK1-0" w:hint="eastAsia"/>
        </w:rPr>
        <w:t>与以往的研究不同，</w:t>
      </w:r>
      <w:r w:rsidRPr="008B71B4">
        <w:rPr>
          <w:rFonts w:ascii="FZSSK--GBK1-0" w:hAnsi="FZSSK--GBK1-0"/>
        </w:rPr>
        <w:t>通过对这些因素的深入研究，使得我们对清代盐政制度有了更为全面和深入的认识</w:t>
      </w:r>
      <w:r w:rsidR="007F29E5">
        <w:rPr>
          <w:rFonts w:ascii="FZSSK--GBK1-0" w:hAnsi="FZSSK--GBK1-0" w:hint="eastAsia"/>
        </w:rPr>
        <w:t>，在这个制度背后的历史背景，官员们对这个制度的态度以及看法。</w:t>
      </w:r>
    </w:p>
    <w:p w:rsidR="008B71B4" w:rsidRDefault="00D00476" w:rsidP="008A5A5B">
      <w:pPr>
        <w:pStyle w:val="ae"/>
        <w:ind w:firstLineChars="100" w:firstLine="240"/>
        <w:rPr>
          <w:rFonts w:ascii="FZSSK--GBK1-0" w:hAnsi="FZSSK--GBK1-0" w:hint="eastAsia"/>
        </w:rPr>
      </w:pPr>
      <w:r w:rsidRPr="00D00476">
        <w:rPr>
          <w:rFonts w:ascii="FZSSK--GBK1-0" w:hAnsi="FZSSK--GBK1-0"/>
        </w:rPr>
        <w:t>然而，该文也存在一些不足之处。</w:t>
      </w:r>
    </w:p>
    <w:p w:rsidR="008A5A5B" w:rsidRDefault="00D00476" w:rsidP="008A5A5B">
      <w:pPr>
        <w:pStyle w:val="ae"/>
        <w:ind w:firstLineChars="100" w:firstLine="240"/>
        <w:rPr>
          <w:rFonts w:ascii="FZSSK--GBK1-0" w:hAnsi="FZSSK--GBK1-0" w:hint="eastAsia"/>
        </w:rPr>
      </w:pPr>
      <w:r w:rsidRPr="00D00476">
        <w:rPr>
          <w:rFonts w:ascii="FZSSK--GBK1-0" w:hAnsi="FZSSK--GBK1-0"/>
        </w:rPr>
        <w:t>首先，虽然</w:t>
      </w:r>
      <w:r w:rsidR="002B7EFA">
        <w:rPr>
          <w:rFonts w:ascii="FZSSK--GBK1-0" w:hAnsi="FZSSK--GBK1-0" w:hint="eastAsia"/>
        </w:rPr>
        <w:t>黄国信</w:t>
      </w:r>
      <w:r w:rsidRPr="00D00476">
        <w:rPr>
          <w:rFonts w:ascii="FZSSK--GBK1-0" w:hAnsi="FZSSK--GBK1-0"/>
        </w:rPr>
        <w:t>运用了丰富的史料，但是否充分还有待商榷。</w:t>
      </w:r>
      <w:r w:rsidR="008A5A5B">
        <w:rPr>
          <w:rFonts w:ascii="FZSSK--GBK1-0" w:hAnsi="FZSSK--GBK1-0" w:hint="eastAsia"/>
        </w:rPr>
        <w:t>比如，</w:t>
      </w:r>
      <w:r w:rsidR="008A5A5B" w:rsidRPr="008A5A5B">
        <w:rPr>
          <w:rFonts w:ascii="FZSSK--GBK1-0" w:hAnsi="FZSSK--GBK1-0"/>
        </w:rPr>
        <w:t>尽管引用了内阁户科题本、宫中朱批奏折等正史文献以及一些历史档案，但在探讨清代盐政制度的具体细节时，可能存在史料的不足之处。对于一些地方性盐政措施或具体实践中的案例，文中没有涉及到足够的史料支持。这些地方性的细节内容往往需要更加详尽和具体的史料支持，以确保论文的论证更加全面和可信。因此，在未来的研究中，可以进一步深入挖掘地方档案或其他史料来源，以填补这些方面的不足，使研究更加完整和准确。</w:t>
      </w:r>
    </w:p>
    <w:p w:rsidR="008A5A5B" w:rsidRDefault="00D00476" w:rsidP="008A5A5B">
      <w:pPr>
        <w:pStyle w:val="ae"/>
        <w:ind w:firstLineChars="100" w:firstLine="240"/>
        <w:rPr>
          <w:rFonts w:ascii="FZSSK--GBK1-0" w:hAnsi="FZSSK--GBK1-0" w:hint="eastAsia"/>
        </w:rPr>
      </w:pPr>
      <w:r w:rsidRPr="00D00476">
        <w:rPr>
          <w:rFonts w:ascii="FZSSK--GBK1-0" w:hAnsi="FZSSK--GBK1-0"/>
        </w:rPr>
        <w:t>其次，论文</w:t>
      </w:r>
      <w:r w:rsidR="0080419E">
        <w:rPr>
          <w:rFonts w:ascii="FZSSK--GBK1-0" w:hAnsi="FZSSK--GBK1-0" w:hint="eastAsia"/>
        </w:rPr>
        <w:t>使用</w:t>
      </w:r>
      <w:r w:rsidRPr="00D00476">
        <w:rPr>
          <w:rFonts w:ascii="FZSSK--GBK1-0" w:hAnsi="FZSSK--GBK1-0"/>
        </w:rPr>
        <w:t>的方法是否得当也是一个问题。</w:t>
      </w:r>
      <w:r w:rsidR="002B7EFA">
        <w:rPr>
          <w:rFonts w:ascii="FZSSK--GBK1-0" w:hAnsi="FZSSK--GBK1-0" w:hint="eastAsia"/>
        </w:rPr>
        <w:t>黄国信</w:t>
      </w:r>
      <w:r w:rsidR="008A5A5B" w:rsidRPr="008A5A5B">
        <w:rPr>
          <w:rFonts w:ascii="FZSSK--GBK1-0" w:hAnsi="FZSSK--GBK1-0"/>
        </w:rPr>
        <w:t>使用了推理和分析的方法，但文章中缺乏足够的案例来支撑作者的论点。</w:t>
      </w:r>
      <w:r w:rsidR="008A5A5B">
        <w:rPr>
          <w:rFonts w:ascii="FZSSK--GBK1-0" w:hAnsi="FZSSK--GBK1-0" w:hint="eastAsia"/>
        </w:rPr>
        <w:t>例如，</w:t>
      </w:r>
      <w:r w:rsidR="008A5A5B" w:rsidRPr="008A5A5B">
        <w:rPr>
          <w:rFonts w:ascii="FZSSK--GBK1-0" w:hAnsi="FZSSK--GBK1-0"/>
        </w:rPr>
        <w:t>在文章中，</w:t>
      </w:r>
      <w:r w:rsidR="002B7EFA">
        <w:rPr>
          <w:rFonts w:ascii="FZSSK--GBK1-0" w:hAnsi="FZSSK--GBK1-0" w:hint="eastAsia"/>
        </w:rPr>
        <w:t>他</w:t>
      </w:r>
      <w:r w:rsidR="008A5A5B" w:rsidRPr="008A5A5B">
        <w:rPr>
          <w:rFonts w:ascii="FZSSK--GBK1-0" w:hAnsi="FZSSK--GBK1-0"/>
        </w:rPr>
        <w:t>提到了特许专商、分地行盐制度在清代盐政中的重要性，并分析了其合理性和影响。然而，除了简要介绍这一制度的选择和略作损益后的成效之外，并没有提供足够的具体案例来证明</w:t>
      </w:r>
      <w:r w:rsidR="0080419E">
        <w:rPr>
          <w:rFonts w:ascii="FZSSK--GBK1-0" w:hAnsi="FZSSK--GBK1-0" w:hint="eastAsia"/>
        </w:rPr>
        <w:t>盐政</w:t>
      </w:r>
      <w:r w:rsidR="008A5A5B" w:rsidRPr="008A5A5B">
        <w:rPr>
          <w:rFonts w:ascii="FZSSK--GBK1-0" w:hAnsi="FZSSK--GBK1-0"/>
        </w:rPr>
        <w:t>在实际中的运作情况。如果能够引入更多具体的历史案例，比如特许专商、分地行盐制度的实施细节、影响等，就能够更好地支持他的论点，增加论文的说服力和可信度。</w:t>
      </w:r>
    </w:p>
    <w:p w:rsidR="0080419E" w:rsidRDefault="0080419E" w:rsidP="008A5A5B">
      <w:pPr>
        <w:pStyle w:val="ae"/>
        <w:ind w:firstLineChars="100" w:firstLine="240"/>
        <w:rPr>
          <w:rFonts w:ascii="FZSSK--GBK1-0" w:hAnsi="FZSSK--GBK1-0" w:hint="eastAsia"/>
        </w:rPr>
      </w:pPr>
      <w:r>
        <w:rPr>
          <w:rFonts w:ascii="FZSSK--GBK1-0" w:hAnsi="FZSSK--GBK1-0" w:hint="eastAsia"/>
        </w:rPr>
        <w:t>最后，清代</w:t>
      </w:r>
      <w:r w:rsidR="002B7EFA">
        <w:rPr>
          <w:rFonts w:ascii="FZSSK--GBK1-0" w:hAnsi="FZSSK--GBK1-0" w:hint="eastAsia"/>
        </w:rPr>
        <w:t>盐政</w:t>
      </w:r>
      <w:r>
        <w:rPr>
          <w:rFonts w:ascii="FZSSK--GBK1-0" w:hAnsi="FZSSK--GBK1-0" w:hint="eastAsia"/>
        </w:rPr>
        <w:t>的具体事实很复杂，黄国信没有对清代各地盐政的事实展开细致而充分的呈现，只是简单的分析以特许</w:t>
      </w:r>
      <w:r w:rsidR="008B7DE7">
        <w:rPr>
          <w:rFonts w:ascii="FZSSK--GBK1-0" w:hAnsi="FZSSK--GBK1-0" w:hint="eastAsia"/>
        </w:rPr>
        <w:t>专商，分地行盐制度为代表的清代盐政的基本原理，为了认识清代盐政的主流趋势，认识各盐区复杂的具体细节提供分析方向。</w:t>
      </w:r>
    </w:p>
    <w:p w:rsidR="00D00476" w:rsidRPr="00DC58D9" w:rsidRDefault="00D00476" w:rsidP="00D00476">
      <w:pPr>
        <w:pStyle w:val="ae"/>
        <w:ind w:firstLineChars="100" w:firstLine="240"/>
        <w:rPr>
          <w:rFonts w:ascii="FZSSK--GBK1-0" w:hAnsi="FZSSK--GBK1-0" w:hint="eastAsia"/>
        </w:rPr>
      </w:pPr>
      <w:r w:rsidRPr="00D00476">
        <w:rPr>
          <w:rFonts w:ascii="FZSSK--GBK1-0" w:hAnsi="FZSSK--GBK1-0"/>
        </w:rPr>
        <w:t>黄国信的研究为清代盐政制度的研究提供了重要的参考。在未来的研究中，</w:t>
      </w:r>
      <w:r w:rsidR="008A5A5B">
        <w:rPr>
          <w:rFonts w:ascii="FZSSK--GBK1-0" w:hAnsi="FZSSK--GBK1-0" w:hint="eastAsia"/>
        </w:rPr>
        <w:t>可以</w:t>
      </w:r>
      <w:r w:rsidRPr="00D00476">
        <w:rPr>
          <w:rFonts w:ascii="FZSSK--GBK1-0" w:hAnsi="FZSSK--GBK1-0"/>
        </w:rPr>
        <w:t>进一步研究不同地区盐政制度的异同，探讨分区行盐制度在地方实践中的具体运行情况，以及官民关系对于盐政制度的影响等等。</w:t>
      </w:r>
      <w:r w:rsidR="008B7DE7">
        <w:rPr>
          <w:rFonts w:ascii="FZSSK--GBK1-0" w:hAnsi="FZSSK--GBK1-0" w:hint="eastAsia"/>
        </w:rPr>
        <w:t>市场经济条件下的规制经济理论，可以应用到非现代市场经济体系下的清代盐政研究上，这提醒了其他的研究学者，可以</w:t>
      </w:r>
      <w:r w:rsidR="007F29E5">
        <w:rPr>
          <w:rFonts w:ascii="FZSSK--GBK1-0" w:hAnsi="FZSSK--GBK1-0" w:hint="eastAsia"/>
        </w:rPr>
        <w:t>用现有的理论</w:t>
      </w:r>
      <w:r w:rsidR="008B7DE7">
        <w:rPr>
          <w:rFonts w:ascii="FZSSK--GBK1-0" w:hAnsi="FZSSK--GBK1-0" w:hint="eastAsia"/>
        </w:rPr>
        <w:t>去展开</w:t>
      </w:r>
      <w:r w:rsidR="007F29E5">
        <w:rPr>
          <w:rFonts w:ascii="FZSSK--GBK1-0" w:hAnsi="FZSSK--GBK1-0" w:hint="eastAsia"/>
        </w:rPr>
        <w:t>过去的研究</w:t>
      </w:r>
      <w:r w:rsidR="008B7DE7">
        <w:rPr>
          <w:rFonts w:ascii="FZSSK--GBK1-0" w:hAnsi="FZSSK--GBK1-0" w:hint="eastAsia"/>
        </w:rPr>
        <w:t>。</w:t>
      </w:r>
      <w:r w:rsidR="0080419E">
        <w:rPr>
          <w:rFonts w:ascii="FZSSK--GBK1-0" w:hAnsi="FZSSK--GBK1-0" w:hint="eastAsia"/>
        </w:rPr>
        <w:t>规制经济学在规制目的，规制代价，规制分析方法的适用范围等方面的从研究，还可以进一步加强。</w:t>
      </w:r>
    </w:p>
    <w:sectPr w:rsidR="00D00476" w:rsidRPr="00DC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ZSSK--GBK1-0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CB"/>
    <w:rsid w:val="000848E2"/>
    <w:rsid w:val="00195C38"/>
    <w:rsid w:val="002A1982"/>
    <w:rsid w:val="002B7EFA"/>
    <w:rsid w:val="0031586E"/>
    <w:rsid w:val="004B1FA6"/>
    <w:rsid w:val="00723B6F"/>
    <w:rsid w:val="007328A2"/>
    <w:rsid w:val="00736C60"/>
    <w:rsid w:val="00782743"/>
    <w:rsid w:val="007F29E5"/>
    <w:rsid w:val="0080419E"/>
    <w:rsid w:val="008A5A5B"/>
    <w:rsid w:val="008B71B4"/>
    <w:rsid w:val="008B7DE7"/>
    <w:rsid w:val="009242CB"/>
    <w:rsid w:val="00A56FC0"/>
    <w:rsid w:val="00B67ECE"/>
    <w:rsid w:val="00BD0864"/>
    <w:rsid w:val="00D00476"/>
    <w:rsid w:val="00D551A1"/>
    <w:rsid w:val="00DC58D9"/>
    <w:rsid w:val="00E20AC9"/>
    <w:rsid w:val="00EE177A"/>
    <w:rsid w:val="00F10F1F"/>
    <w:rsid w:val="00F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A2F4"/>
  <w15:chartTrackingRefBased/>
  <w15:docId w15:val="{9DFFAD32-CF7C-4748-960E-0F95BEC5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42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2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2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2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2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2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2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2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2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2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42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2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2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2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2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2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2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2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2C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DC58D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2024-04-05T10:42:00Z</cp:lastPrinted>
  <dcterms:created xsi:type="dcterms:W3CDTF">2024-03-27T15:29:00Z</dcterms:created>
  <dcterms:modified xsi:type="dcterms:W3CDTF">2024-04-05T10:48:00Z</dcterms:modified>
</cp:coreProperties>
</file>