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AUTOPLAN: Integrating Machine Learning Safety Predictions into</w:t>
      </w:r>
      <w:r>
        <w:t xml:space="preserve"> </w:t>
      </w:r>
      <w:r>
        <w:t xml:space="preserve">Dynamic A* Routing for Autonomous Vehicle Fleets</w:t>
      </w:r>
      <w:r>
        <w:t xml:space="preserve"> </w:t>
      </w:r>
      <w:r>
        <w:rPr>
          <w:rStyle w:val="FootnoteReference"/>
        </w:rPr>
        <w:footnoteReference w:id="9"/>
      </w:r>
    </w:p>
    <w:p>
      <w:pPr>
        <w:pStyle w:val="Author"/>
      </w:pPr>
    </w:p>
    <w:p>
      <w:pPr>
        <w:pStyle w:val="Author"/>
      </w:pPr>
    </w:p>
    <w:p>
      <w:pPr>
        <w:pStyle w:val="Author"/>
      </w:pP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A recurring problem in autonomous vehicle navigation is that route-planning</w:t>
      </w:r>
      <w:r>
        <w:t xml:space="preserve"> </w:t>
      </w:r>
      <w:r>
        <w:t xml:space="preserve">algorithms operate entirely separately from the safety systems watching over</w:t>
      </w:r>
      <w:r>
        <w:t xml:space="preserve"> </w:t>
      </w:r>
      <w:r>
        <w:t xml:space="preserve">the vehicle. The planner picks a path based on distance or travel time; the</w:t>
      </w:r>
      <w:r>
        <w:t xml:space="preserve"> </w:t>
      </w:r>
      <w:r>
        <w:t xml:space="preserve">safety module raises alerts after the vehicle is already committed to that</w:t>
      </w:r>
      <w:r>
        <w:t xml:space="preserve"> </w:t>
      </w:r>
      <w:r>
        <w:t xml:space="preserve">path. This paper describes AUTOPLAN, a system we built to close that gap by</w:t>
      </w:r>
      <w:r>
        <w:t xml:space="preserve"> </w:t>
      </w:r>
      <w:r>
        <w:t xml:space="preserve">embedding collision-risk estimates directly inside the path-planning cost</w:t>
      </w:r>
      <w:r>
        <w:t xml:space="preserve"> </w:t>
      </w:r>
      <w:r>
        <w:t xml:space="preserve">function. We trained two Random Forest models on 1,048,575 trajectory frames</w:t>
      </w:r>
      <w:r>
        <w:t xml:space="preserve"> </w:t>
      </w:r>
      <w:r>
        <w:t xml:space="preserve">from the NGSIM US-101 highway study: one predicts traversal time for a</w:t>
      </w:r>
      <w:r>
        <w:t xml:space="preserve"> </w:t>
      </w:r>
      <w:r>
        <w:t xml:space="preserve">50-metre road segment (MAE = 0.4615 s, R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 = 0.6899), and the other</w:t>
      </w:r>
      <w:r>
        <w:t xml:space="preserve"> </w:t>
      </w:r>
      <w:r>
        <w:t xml:space="preserve">classifies each segment as safe or hazardous using Time-To-Collision and</w:t>
      </w:r>
      <w:r>
        <w:t xml:space="preserve"> </w:t>
      </w:r>
      <w:r>
        <w:t xml:space="preserve">Deceleration Rate to Avoid Crash as surrogate labels (Accuracy = 100 %,</w:t>
      </w:r>
      <w:r>
        <w:t xml:space="preserve"> </w:t>
      </w:r>
      <w:r>
        <w:t xml:space="preserve">ROC-AUC = 1.0000). The combined cost function feeds a modified A*</w:t>
      </w:r>
      <w:r>
        <w:t xml:space="preserve"> </w:t>
      </w:r>
      <w:r>
        <w:t xml:space="preserve">algorithm—which we call Dynamic Risk-Aware A* (DAA)—that re-routes the</w:t>
      </w:r>
      <w:r>
        <w:t xml:space="preserve"> </w:t>
      </w:r>
      <w:r>
        <w:t xml:space="preserve">vehicle before it reaches a danger zone. Beyond routing, we layered in four</w:t>
      </w:r>
      <w:r>
        <w:t xml:space="preserve"> </w:t>
      </w:r>
      <w:r>
        <w:t xml:space="preserve">additional subsystems: an Intelligent Driver Model with smooth spline</w:t>
      </w:r>
      <w:r>
        <w:t xml:space="preserve"> </w:t>
      </w:r>
      <w:r>
        <w:t xml:space="preserve">trajectories, a V2X cooperative mesh (8.2 ms latency, 99.4 % PDR), an</w:t>
      </w:r>
      <w:r>
        <w:t xml:space="preserve"> </w:t>
      </w:r>
      <w:r>
        <w:t xml:space="preserve">Extended Kalman Filter for GPS-degraded corridors, and a VT-Micro energy</w:t>
      </w:r>
      <w:r>
        <w:t xml:space="preserve"> </w:t>
      </w:r>
      <w:r>
        <w:t xml:space="preserve">model that yielded a 21.8 % energy reduction versus conventional A*. Fleet</w:t>
      </w:r>
      <w:r>
        <w:t xml:space="preserve"> </w:t>
      </w:r>
      <w:r>
        <w:t xml:space="preserve">tests covering 10 to 50 vehicles achieved 100 % route completion with zero</w:t>
      </w:r>
      <w:r>
        <w:t xml:space="preserve"> </w:t>
      </w:r>
      <w:r>
        <w:t xml:space="preserve">collision incidents and an ISO 2631 ride comfort score of 98.4 %.</w:t>
      </w:r>
    </w:p>
    <w:p>
      <w:pPr>
        <w:pStyle w:val="FirstParagraph"/>
      </w:pPr>
      <w:r>
        <w:t xml:space="preserve">Autonomous Vehicles, Risk-Aware Path Planning, Dynamic A*, Random Forest,</w:t>
      </w:r>
      <w:r>
        <w:t xml:space="preserve"> </w:t>
      </w:r>
      <w:r>
        <w:t xml:space="preserve">NGSIM, Surrogate Safety Measures, V2X, EKF, IDM, VT-Micro.</w:t>
      </w:r>
    </w:p>
    <w:p>
      <w:pPr>
        <w:pStyle w:val="Heading1"/>
      </w:pPr>
      <w:bookmarkStart w:id="11" w:name="_20041c78c304d06f00dcef5457d2ac08ae2eef7"/>
      <w:r>
        <w:t xml:space="preserve">Introduction</w:t>
      </w:r>
      <w:bookmarkEnd w:id="11"/>
    </w:p>
    <w:p>
      <w:pPr>
        <w:pStyle w:val="FirstParagraph"/>
      </w:pPr>
      <w:r>
        <w:t xml:space="preserve">Most people who have followed autonomous vehicle research over the last decade</w:t>
      </w:r>
      <w:r>
        <w:t xml:space="preserve"> </w:t>
      </w:r>
      <w:r>
        <w:t xml:space="preserve">will have noticed a curious pattern: the planning stack and the safety stack</w:t>
      </w:r>
      <w:r>
        <w:t xml:space="preserve"> </w:t>
      </w:r>
      <w:r>
        <w:t xml:space="preserve">tend to evolve in parallel silos. Papers on path planning optimise for travel</w:t>
      </w:r>
      <w:r>
        <w:t xml:space="preserve"> </w:t>
      </w:r>
      <w:r>
        <w:t xml:space="preserve">time or fuel; papers on collision avoidance optimise for braking behaviour.</w:t>
      </w:r>
      <w:r>
        <w:t xml:space="preserve"> </w:t>
      </w:r>
      <w:r>
        <w:t xml:space="preserve">The two concerns meet only at the execution stage, by which point the vehicle</w:t>
      </w:r>
      <w:r>
        <w:t xml:space="preserve"> </w:t>
      </w:r>
      <w:r>
        <w:t xml:space="preserve">is already committed to a route that may carry real risk. This separation</w:t>
      </w:r>
      <w:r>
        <w:t xml:space="preserve"> </w:t>
      </w:r>
      <w:r>
        <w:t xml:space="preserve">feels intellectually odd, because a human driver instinctively merges these</w:t>
      </w:r>
      <w:r>
        <w:t xml:space="preserve"> </w:t>
      </w:r>
      <w:r>
        <w:t xml:space="preserve">concerns—choosing to take a different street precisely because the usual</w:t>
      </w:r>
      <w:r>
        <w:t xml:space="preserve"> </w:t>
      </w:r>
      <w:r>
        <w:t xml:space="preserve">one looks congested or because they noticed erratic behaviour from a nearby</w:t>
      </w:r>
      <w:r>
        <w:t xml:space="preserve"> </w:t>
      </w:r>
      <w:r>
        <w:t xml:space="preserve">car.</w:t>
      </w:r>
    </w:p>
    <w:p>
      <w:pPr>
        <w:pStyle w:val="BodyText"/>
      </w:pPr>
      <w:r>
        <w:t xml:space="preserve">Our starting question was straightforward: what would change if the router</w:t>
      </w:r>
      <w:r>
        <w:t xml:space="preserve"> </w:t>
      </w:r>
      <w:r>
        <w:t xml:space="preserve">itself knew something about risk? Not a vague penalty, but an actual</w:t>
      </w:r>
      <w:r>
        <w:t xml:space="preserve"> </w:t>
      </w:r>
      <w:r>
        <w:t xml:space="preserve">data-driven estimate derived from how vehicles in similar conditions have</w:t>
      </w:r>
      <w:r>
        <w:t xml:space="preserve"> </w:t>
      </w:r>
      <w:r>
        <w:t xml:space="preserve">historically behaved. To answer that, we needed a large, high-quality dataset</w:t>
      </w:r>
      <w:r>
        <w:t xml:space="preserve"> </w:t>
      </w:r>
      <w:r>
        <w:t xml:space="preserve">of real highway trajectories, a way to extract meaningful safety signals, and</w:t>
      </w:r>
      <w:r>
        <w:t xml:space="preserve"> </w:t>
      </w:r>
      <w:r>
        <w:t xml:space="preserve">a routing architecture flexible enough to absorb probabilistic predictions</w:t>
      </w:r>
      <w:r>
        <w:t xml:space="preserve"> </w:t>
      </w:r>
      <w:r>
        <w:t xml:space="preserve">without becoming computationally intractable.</w:t>
      </w:r>
    </w:p>
    <w:p>
      <w:pPr>
        <w:pStyle w:val="BodyText"/>
      </w:pPr>
      <w:r>
        <w:t xml:space="preserve">The NGSIM US-101 dataset </w:t>
      </w:r>
      <w:r>
        <w:t xml:space="preserve"> </w:t>
      </w:r>
      <w:r>
        <w:t xml:space="preserve">turned out to be a strong</w:t>
      </w:r>
      <w:r>
        <w:t xml:space="preserve"> </w:t>
      </w:r>
      <w:r>
        <w:t xml:space="preserve">foundation—over a million frames, nearly two thousand vehicles, 10 Hz</w:t>
      </w:r>
      <w:r>
        <w:t xml:space="preserve"> </w:t>
      </w:r>
      <w:r>
        <w:t xml:space="preserve">resolution. That granularity is sufficient to compute Time-To-Collision (TTC)</w:t>
      </w:r>
      <w:r>
        <w:t xml:space="preserve"> </w:t>
      </w:r>
      <w:r>
        <w:t xml:space="preserve">and Deceleration Rate to Avoid Crash (DRAC) </w:t>
      </w:r>
      <w:r>
        <w:t xml:space="preserve"> </w:t>
      </w:r>
      <w:r>
        <w:t xml:space="preserve">and to use those as training labels for a machine learning</w:t>
      </w:r>
      <w:r>
        <w:t xml:space="preserve"> </w:t>
      </w:r>
      <w:r>
        <w:t xml:space="preserve">model directly inside the router.</w:t>
      </w:r>
    </w:p>
    <w:p>
      <w:pPr>
        <w:pStyle w:val="Heading1"/>
      </w:pPr>
      <w:bookmarkStart w:id="12" w:name="_87e0a6f9ec6c7c1f7401ac01daf08ce7bd49b18"/>
      <w:r>
        <w:t xml:space="preserve">Novelty of the Proposed Work</w:t>
      </w:r>
      <w:bookmarkEnd w:id="12"/>
    </w:p>
    <w:p>
      <w:pPr>
        <w:pStyle w:val="FirstParagraph"/>
      </w:pPr>
      <w:r>
        <w:t xml:space="preserve">Several prior works have combined machine learning with autonomous navigation,</w:t>
      </w:r>
      <w:r>
        <w:t xml:space="preserve"> </w:t>
      </w:r>
      <w:r>
        <w:t xml:space="preserve">and many have studied V2X communication or EKF localisation independently.</w:t>
      </w:r>
      <w:r>
        <w:t xml:space="preserve"> </w:t>
      </w:r>
      <w:r>
        <w:t xml:space="preserve">What distinguishes AUTOPLAN is the way these components are brought together</w:t>
      </w:r>
      <w:r>
        <w:t xml:space="preserve"> </w:t>
      </w:r>
      <w:r>
        <w:t xml:space="preserve">into a single, tightly coupled system. We identify four specific novelties:</w:t>
      </w:r>
    </w:p>
    <w:p>
      <w:pPr>
        <w:pStyle w:val="BodyText"/>
      </w:pPr>
      <w:r>
        <w:rPr>
          <w:b/>
          <w:bCs/>
        </w:rPr>
        <w:t xml:space="preserve">(N1) ML-Embedded Edge Costs in A*.</w:t>
      </w:r>
      <w:r>
        <w:t xml:space="preserve"> </w:t>
      </w:r>
      <w:r>
        <w:t xml:space="preserve">To the best of our knowledge, no open-source navigation stack trains ML</w:t>
      </w:r>
      <w:r>
        <w:t xml:space="preserve"> </w:t>
      </w:r>
      <w:r>
        <w:t xml:space="preserve">models on million-scale empirical trajectory data (NGSIM US-101) and uses</w:t>
      </w:r>
      <w:r>
        <w:t xml:space="preserve"> </w:t>
      </w:r>
      <w:r>
        <w:t xml:space="preserve">the resulting predictions as live edge costs inside a graph-search router.</w:t>
      </w:r>
      <w:r>
        <w:t xml:space="preserve"> </w:t>
      </w:r>
      <w:r>
        <w:t xml:space="preserve">Existing work either uses ML for local trajectory prediction </w:t>
      </w:r>
      <w:r>
        <w:t xml:space="preserve"> </w:t>
      </w:r>
      <w:r>
        <w:t xml:space="preserve">or uses hand-crafted risk penalties in planners </w:t>
      </w:r>
      <w:r>
        <w:t xml:space="preserve">.</w:t>
      </w:r>
      <w:r>
        <w:t xml:space="preserve"> </w:t>
      </w:r>
      <w:r>
        <w:t xml:space="preserve">We do both simultaneously.</w:t>
      </w:r>
    </w:p>
    <w:p>
      <w:pPr>
        <w:pStyle w:val="BodyText"/>
      </w:pPr>
      <w:r>
        <w:rPr>
          <w:b/>
          <w:bCs/>
        </w:rPr>
        <w:t xml:space="preserve">(N2) Physics-Grounded Label Generation at Scale.</w:t>
      </w:r>
      <w:r>
        <w:t xml:space="preserve"> </w:t>
      </w:r>
      <w:r>
        <w:t xml:space="preserve">Rather than manually annotating dangerous frames, we derive binary risk</w:t>
      </w:r>
      <w:r>
        <w:t xml:space="preserve"> </w:t>
      </w:r>
      <w:r>
        <w:t xml:space="preserve">labels from deterministic kinematic equations (TTC, DRAC, time headway)</w:t>
      </w:r>
      <w:r>
        <w:t xml:space="preserve"> </w:t>
      </w:r>
      <w:r>
        <w:t xml:space="preserve">applied to all 1,048,575 frames. This avoids subjectivity in labelling and</w:t>
      </w:r>
      <w:r>
        <w:t xml:space="preserve"> </w:t>
      </w:r>
      <w:r>
        <w:t xml:space="preserve">produces a classifier that learns an interpretable physical boundary, not an</w:t>
      </w:r>
      <w:r>
        <w:t xml:space="preserve"> </w:t>
      </w:r>
      <w:r>
        <w:t xml:space="preserve">opaque statistical correlation.</w:t>
      </w:r>
    </w:p>
    <w:p>
      <w:pPr>
        <w:pStyle w:val="BodyText"/>
      </w:pPr>
      <w:r>
        <w:rPr>
          <w:b/>
          <w:bCs/>
        </w:rPr>
        <w:t xml:space="preserve">(N3) V2X-Triggered Replanning.</w:t>
      </w:r>
      <w:r>
        <w:t xml:space="preserve"> </w:t>
      </w:r>
      <w:r>
        <w:t xml:space="preserve">In our system, a received DENM message directly modifies the A* edge cost</w:t>
      </w:r>
      <w:r>
        <w:t xml:space="preserve"> </w:t>
      </w:r>
      <w:r>
        <w:t xml:space="preserve">on the affected segment and triggers a replan in the same planning cycle.</w:t>
      </w:r>
      <w:r>
        <w:t xml:space="preserve"> </w:t>
      </w:r>
      <w:r>
        <w:t xml:space="preserve">Most V2X-aware planners treat communication events as independent alerts;</w:t>
      </w:r>
      <w:r>
        <w:t xml:space="preserve"> </w:t>
      </w:r>
      <w:r>
        <w:t xml:space="preserve">ours makes the alert an integral part of the routing decision.</w:t>
      </w:r>
    </w:p>
    <w:p>
      <w:pPr>
        <w:pStyle w:val="BodyText"/>
      </w:pPr>
      <w:r>
        <w:rPr>
          <w:b/>
          <w:bCs/>
        </w:rPr>
        <w:t xml:space="preserve">(N4) End-to-End Verification with ASIL-D Fault Injection.</w:t>
      </w:r>
      <w:r>
        <w:t xml:space="preserve"> </w:t>
      </w:r>
      <w:r>
        <w:t xml:space="preserve">We stress-test the full inference pipeline—not just the model—with six</w:t>
      </w:r>
      <w:r>
        <w:t xml:space="preserve"> </w:t>
      </w:r>
      <w:r>
        <w:t xml:space="preserve">categories of sensor fault including NaN injection, missing telemetry keys,</w:t>
      </w:r>
      <w:r>
        <w:t xml:space="preserve"> </w:t>
      </w:r>
      <w:r>
        <w:t xml:space="preserve">and physics-implausible readings. The system passes all six with no</w:t>
      </w:r>
      <w:r>
        <w:t xml:space="preserve"> </w:t>
      </w:r>
      <w:r>
        <w:t xml:space="preserve">exception raised, which is a stronger safety claim than model-level</w:t>
      </w:r>
      <w:r>
        <w:t xml:space="preserve"> </w:t>
      </w:r>
      <w:r>
        <w:t xml:space="preserve">accuracy alone.</w:t>
      </w:r>
    </w:p>
    <w:p>
      <w:pPr>
        <w:pStyle w:val="Heading1"/>
      </w:pPr>
      <w:bookmarkStart w:id="13" w:name="_31d26affc8bca4dac4a83331dcb4d1a625a6183"/>
      <w:r>
        <w:t xml:space="preserve">Related Work</w:t>
      </w:r>
      <w:bookmarkEnd w:id="13"/>
    </w:p>
    <w:p>
      <w:pPr>
        <w:pStyle w:val="FirstParagraph"/>
      </w:pPr>
      <w:r>
        <w:t xml:space="preserve">Dijkstra </w:t>
      </w:r>
      <w:r>
        <w:t xml:space="preserve"> </w:t>
      </w:r>
      <w:r>
        <w:t xml:space="preserve">and A* </w:t>
      </w:r>
      <w:r>
        <w:t xml:space="preserve"> </w:t>
      </w:r>
      <w:r>
        <w:t xml:space="preserve">remain the</w:t>
      </w:r>
      <w:r>
        <w:t xml:space="preserve"> </w:t>
      </w:r>
      <w:r>
        <w:t xml:space="preserve">most widely deployed graph-search methods in robotics. Their guarantees are</w:t>
      </w:r>
      <w:r>
        <w:t xml:space="preserve"> </w:t>
      </w:r>
      <w:r>
        <w:t xml:space="preserve">well understood for static graphs. D* Lite </w:t>
      </w:r>
      <w:r>
        <w:t xml:space="preserve"> </w:t>
      </w:r>
      <w:r>
        <w:t xml:space="preserve">handles</w:t>
      </w:r>
      <w:r>
        <w:t xml:space="preserve"> </w:t>
      </w:r>
      <w:r>
        <w:t xml:space="preserve">changing maps by propagating cost differences backward from the goal, but</w:t>
      </w:r>
      <w:r>
        <w:t xml:space="preserve"> </w:t>
      </w:r>
      <w:r>
        <w:t xml:space="preserve">still decouples routing from empirical safety estimation.</w:t>
      </w:r>
    </w:p>
    <w:p>
      <w:pPr>
        <w:pStyle w:val="BodyText"/>
      </w:pPr>
      <w:r>
        <w:t xml:space="preserve">Deep RL </w:t>
      </w:r>
      <w:r>
        <w:t xml:space="preserve"> </w:t>
      </w:r>
      <w:r>
        <w:t xml:space="preserve">and LSTM predictors </w:t>
      </w:r>
      <w:r>
        <w:t xml:space="preserve"> </w:t>
      </w:r>
      <w:r>
        <w:t xml:space="preserve">achieve impressive benchmarks but introduce GPU latencies and opacity that</w:t>
      </w:r>
      <w:r>
        <w:t xml:space="preserve"> </w:t>
      </w:r>
      <w:r>
        <w:t xml:space="preserve">complicate ISO 26262 certification. Random Forests </w:t>
      </w:r>
      <w:r>
        <w:t xml:space="preserve"> </w:t>
      </w:r>
      <w:r>
        <w:t xml:space="preserve">deliver sub-millisecond CPU inference and transparent feature importance—</w:t>
      </w:r>
      <w:r>
        <w:t xml:space="preserve"> </w:t>
      </w:r>
      <w:r>
        <w:t xml:space="preserve">preferable for embedded ECU deployment.</w:t>
      </w:r>
    </w:p>
    <w:p>
      <w:pPr>
        <w:pStyle w:val="BodyText"/>
      </w:pPr>
      <w:r>
        <w:t xml:space="preserve">The ETSI ITS-G5 standard </w:t>
      </w:r>
      <w:r>
        <w:t xml:space="preserve"> </w:t>
      </w:r>
      <w:r>
        <w:t xml:space="preserve">defines CAM/DENM message formats for</w:t>
      </w:r>
      <w:r>
        <w:t xml:space="preserve"> </w:t>
      </w:r>
      <w:r>
        <w:t xml:space="preserve">5.9 GHz vehicular communication. V2X-aware simulation</w:t>
      </w:r>
      <w:r>
        <w:t xml:space="preserve"> </w:t>
      </w:r>
      <w:r>
        <w:t xml:space="preserve">studies </w:t>
      </w:r>
      <w:r>
        <w:t xml:space="preserve"> </w:t>
      </w:r>
      <w:r>
        <w:t xml:space="preserve">show 1–2 second advance warning</w:t>
      </w:r>
      <w:r>
        <w:t xml:space="preserve"> </w:t>
      </w:r>
      <w:r>
        <w:t xml:space="preserve">meaningfully reduces rear-end collision rates. In AUTOPLAN, the DENM alert</w:t>
      </w:r>
      <w:r>
        <w:t xml:space="preserve"> </w:t>
      </w:r>
      <w:r>
        <w:t xml:space="preserve">directly triggers a DAA replan, turning a communication event into a routing</w:t>
      </w:r>
      <w:r>
        <w:t xml:space="preserve"> </w:t>
      </w:r>
      <w:r>
        <w:t xml:space="preserve">decision.</w:t>
      </w:r>
    </w:p>
    <w:p>
      <w:pPr>
        <w:pStyle w:val="Heading1"/>
      </w:pPr>
      <w:bookmarkStart w:id="14" w:name="_0a2f9e496d5e57519b3c1f13ea17b651d29f539"/>
      <w:r>
        <w:t xml:space="preserve">System Architecture</w:t>
      </w:r>
      <w:bookmarkEnd w:id="14"/>
    </w:p>
    <w:p>
      <w:pPr>
        <w:pStyle w:val="FirstParagraph"/>
      </w:pPr>
      <w:r>
        <w:t xml:space="preserve">Fig. </w:t>
      </w:r>
      <w:hyperlink w:anchor="_153080c33b82708fd18a73a3887f9ac3a2d771c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shows the full AUTOPLAN pipeline. Sensor data</w:t>
      </w:r>
      <w:r>
        <w:t xml:space="preserve"> </w:t>
      </w:r>
      <w:r>
        <w:t xml:space="preserve">enters the fault-tolerant inference wrapper, is sanitised and forwarded to</w:t>
      </w:r>
      <w:r>
        <w:t xml:space="preserve"> </w:t>
      </w:r>
      <w:r>
        <w:t xml:space="preserve">the two Random Forest models, and the resulting predictions feed the DAA</w:t>
      </w:r>
      <w:r>
        <w:t xml:space="preserve"> </w:t>
      </w:r>
      <w:r>
        <w:t xml:space="preserve">router. V2X DENM alerts arrive asynchronously and trigger an immediate</w:t>
      </w:r>
      <w:r>
        <w:t xml:space="preserve"> </w:t>
      </w:r>
      <w:r>
        <w:t xml:space="preserve">re-evaluation of affected edge costs. The approved path is passed to the</w:t>
      </w:r>
      <w:r>
        <w:t xml:space="preserve"> </w:t>
      </w:r>
      <w:r>
        <w:t xml:space="preserve">IDM+Spline execution layer, which commands the vehicle actuators.</w:t>
      </w:r>
    </w:p>
    <w:bookmarkStart w:id="15" w:name="_153080c33b82708fd18a73a3887f9ac3a2d771c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AUTOPLAN system architecture. Sensor data flows left-to-right</w:t>
      </w:r>
      <w:r>
        <w:t xml:space="preserve"> </w:t>
      </w:r>
      <w:r>
        <w:t xml:space="preserve">through fault sanitisation, dual ML inference, DAA routing, and smooth</w:t>
      </w:r>
      <w:r>
        <w:t xml:space="preserve"> </w:t>
      </w:r>
      <w:r>
        <w:t xml:space="preserve">trajectory execution. V2X DENM alerts asynchronously re-trigger the</w:t>
      </w:r>
      <w:r>
        <w:t xml:space="preserve"> </w:t>
      </w:r>
      <w:r>
        <w:t xml:space="preserve">planner.</w:t>
      </w:r>
    </w:p>
    <w:bookmarkEnd w:id="15"/>
    <w:p>
      <w:pPr>
        <w:pStyle w:val="Heading1"/>
      </w:pPr>
      <w:bookmarkStart w:id="16" w:name="_09ee8443ab55a3f30fdd88acf82bf7f547c29d1"/>
      <w:r>
        <w:t xml:space="preserve">Problem Formulation</w:t>
      </w:r>
      <w:bookmarkEnd w:id="16"/>
    </w:p>
    <w:p>
      <w:pPr>
        <w:pStyle w:val="FirstParagraph"/>
      </w:pPr>
      <w:r>
        <w:t xml:space="preserve">We model the road network as a directed weighted graph</w:t>
      </w:r>
      <w:r>
        <w:t xml:space="preserve"> </w:t>
      </w:r>
      <m:oMath>
        <m:r>
          <m:rPr>
            <m:scr m:val="script"/>
            <m:sty m:val="p"/>
          </m:rP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,</m:t>
        </m:r>
        <m:r>
          <m:rPr>
            <m:scr m:val="script"/>
            <m:sty m:val="p"/>
          </m:rPr>
          <m:t>E</m:t>
        </m:r>
        <m:r>
          <m:rPr>
            <m:sty m:val="p"/>
          </m:rPr>
          <m:t>)</m:t>
        </m:r>
      </m:oMath>
      <w:r>
        <w:t xml:space="preserve">. Each edge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carries</w:t>
      </w:r>
      <w:r>
        <w:t xml:space="preserve"> </w:t>
      </w:r>
      <w:r>
        <w:t xml:space="preserve">a dynamic cost recomputed each planning cycle: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t>d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α</m:t>
          </m:r>
          <m:r>
            <m:t> </m:t>
          </m:r>
          <m:acc>
            <m:accPr>
              <m:chr m:val="̂"/>
            </m:accPr>
            <m:e>
              <m:r>
                <m:t>T</m:t>
              </m:r>
            </m:e>
          </m:acc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β</m:t>
          </m:r>
          <m:r>
            <m:t> </m:t>
          </m:r>
          <m:acc>
            <m:accPr>
              <m:chr m:val="̂"/>
            </m:accPr>
            <m:e>
              <m:r>
                <m:t>R</m:t>
              </m:r>
            </m:e>
          </m:acc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γ</m:t>
          </m:r>
          <m:r>
            <m:t> 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g</m:t>
              </m:r>
            </m:sub>
          </m:sSub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δ</m:t>
          </m:r>
          <m:r>
            <m:t> </m:t>
          </m:r>
          <m:sSub>
            <m:e>
              <m:r>
                <m:t>σ</m:t>
              </m:r>
            </m:e>
            <m:sub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S</m:t>
              </m:r>
            </m:sub>
          </m:sSub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is arc length,</w:t>
      </w:r>
      <w:r>
        <w:t xml:space="preserve"> </w:t>
      </w:r>
      <m:oMath>
        <m:acc>
          <m:accPr>
            <m:chr m:val="̂"/>
          </m:accPr>
          <m:e>
            <m:r>
              <m:t>T</m:t>
            </m:r>
          </m:e>
        </m:acc>
      </m:oMath>
      <w:r>
        <w:t xml:space="preserve"> </w:t>
      </w:r>
      <w:r>
        <w:t xml:space="preserve">is the regression estimate</w:t>
      </w:r>
      <w:r>
        <w:t xml:space="preserve"> </w:t>
      </w:r>
      <w:r>
        <w:t xml:space="preserve">of traversal time,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risk probability,</w:t>
      </w:r>
      <w:r>
        <w:t xml:space="preserve"> </w:t>
      </w:r>
      <w:r>
        <w:t xml:space="preserve">$D_{\rm sig}$</w:t>
      </w:r>
      <w:r>
        <w:t xml:space="preserve"> </w:t>
      </w:r>
      <w:r>
        <w:t xml:space="preserve">is the expected red-phase waiting penalty, and</w:t>
      </w:r>
      <w:r>
        <w:t xml:space="preserve"> </w:t>
      </w:r>
      <w:r>
        <w:t xml:space="preserve">$\sigma_{\rm GPS}$</w:t>
      </w:r>
      <w:r>
        <w:t xml:space="preserve"> </w:t>
      </w:r>
      <w:r>
        <w:t xml:space="preserve">is the EKF</w:t>
      </w:r>
      <w:r>
        <w:t xml:space="preserve"> </w:t>
      </w:r>
      <w:r>
        <w:t xml:space="preserve">2</w:t>
      </w:r>
      <m:oMath>
        <m:r>
          <m:t>σ</m:t>
        </m:r>
      </m:oMath>
      <w:r>
        <w:t xml:space="preserve"> </w:t>
      </w:r>
      <w:r>
        <w:t xml:space="preserve">localisation covariance. We used weights</w:t>
      </w:r>
      <w:r>
        <w:t xml:space="preserve"> </w:t>
      </w:r>
      <m:oMath>
        <m:r>
          <m:t>α</m:t>
        </m:r>
        <m:r>
          <m:t>​</m:t>
        </m:r>
        <m:r>
          <m:rPr>
            <m:sty m:val="p"/>
          </m:rPr>
          <m:t>=</m:t>
        </m:r>
        <m:r>
          <m:t>​</m:t>
        </m:r>
        <m:r>
          <m:t>1.0</m:t>
        </m:r>
        <m:r>
          <m:rPr>
            <m:sty m:val="p"/>
          </m:rPr>
          <m:t>,</m:t>
        </m:r>
        <m:r>
          <m:t> </m:t>
        </m:r>
        <m:r>
          <m:t>β</m:t>
        </m:r>
        <m:r>
          <m:t>​</m:t>
        </m:r>
        <m:r>
          <m:rPr>
            <m:sty m:val="p"/>
          </m:rPr>
          <m:t>=</m:t>
        </m:r>
        <m:r>
          <m:t>​</m:t>
        </m:r>
        <m:r>
          <m:t>8.0</m:t>
        </m:r>
        <m:r>
          <m:rPr>
            <m:sty m:val="p"/>
          </m:rPr>
          <m:t>,</m:t>
        </m:r>
        <m:r>
          <m:t> </m:t>
        </m:r>
        <m:r>
          <m:t>γ</m:t>
        </m:r>
        <m:r>
          <m:t>​</m:t>
        </m:r>
        <m:r>
          <m:rPr>
            <m:sty m:val="p"/>
          </m:rPr>
          <m:t>=</m:t>
        </m:r>
        <m:r>
          <m:t>​</m:t>
        </m:r>
        <m:r>
          <m:t>1.5</m:t>
        </m:r>
        <m:r>
          <m:rPr>
            <m:sty m:val="p"/>
          </m:rPr>
          <m:t>,</m:t>
        </m:r>
        <m:r>
          <m:t> </m:t>
        </m:r>
        <m:r>
          <m:t>δ</m:t>
        </m:r>
        <m:r>
          <m:t>​</m:t>
        </m:r>
        <m:r>
          <m:rPr>
            <m:sty m:val="p"/>
          </m:rPr>
          <m:t>=</m:t>
        </m:r>
        <m:r>
          <m:t>​</m:t>
        </m:r>
        <m:r>
          <m:t>0.5</m:t>
        </m:r>
      </m:oMath>
      <w:r>
        <w:t xml:space="preserve"> </w:t>
      </w:r>
      <w:r>
        <w:t xml:space="preserve">across all experiments.</w:t>
      </w:r>
    </w:p>
    <w:p>
      <w:pPr>
        <w:pStyle w:val="BodyText"/>
      </w:pPr>
      <w:r>
        <w:t xml:space="preserve">The A* heuristic</w:t>
      </w:r>
      <w:r>
        <w:t xml:space="preserve"> </w:t>
      </w:r>
      <w:r>
        <w:t xml:space="preserve">$h(v) = \|v - v_{\rm goal}\|_2$</w:t>
      </w:r>
      <w:r>
        <w:t xml:space="preserve"> </w:t>
      </w:r>
      <w:r>
        <w:t xml:space="preserve">remains admissible because</w:t>
      </w:r>
      <w:r>
        <w:t xml:space="preserve"> </w:t>
      </w:r>
      <w:r>
        <w:t xml:space="preserve">the ML terms only add non-negative values to the cost, preserving</w:t>
      </w:r>
      <w:r>
        <w:t xml:space="preserve"> </w:t>
      </w:r>
      <w:r>
        <w:t xml:space="preserve">completeness and optimality guarantees.</w:t>
      </w:r>
    </w:p>
    <w:p>
      <w:pPr>
        <w:pStyle w:val="Heading1"/>
      </w:pPr>
      <w:bookmarkStart w:id="17" w:name="_73c4fcccc55fbc0e6648878aa8d8a35ad331aab"/>
      <w:r>
        <w:t xml:space="preserve">Machine Learning Models</w:t>
      </w:r>
      <w:bookmarkEnd w:id="17"/>
    </w:p>
    <w:p>
      <w:pPr>
        <w:pStyle w:val="Heading2"/>
      </w:pPr>
      <w:bookmarkStart w:id="18" w:name="_9f52178c82de8b24fc959730f5a4d7dbceee4bb"/>
      <w:r>
        <w:t xml:space="preserve">Dataset and Leakage Prevention</w:t>
      </w:r>
      <w:bookmarkEnd w:id="18"/>
    </w:p>
    <w:p>
      <w:pPr>
        <w:pStyle w:val="FirstParagraph"/>
      </w:pPr>
      <w:r>
        <w:t xml:space="preserve">The NGSIM US-101 dataset </w:t>
      </w:r>
      <w:r>
        <w:t xml:space="preserve"> </w:t>
      </w:r>
      <w:r>
        <w:t xml:space="preserve">provides 1,048,575 frames from</w:t>
      </w:r>
      <w:r>
        <w:t xml:space="preserve"> </w:t>
      </w:r>
      <w:r>
        <w:t xml:space="preserve">1,993 vehicles at 10 Hz. After Savitzky-Golay filtering and gap filling,</w:t>
      </w:r>
      <w:r>
        <w:t xml:space="preserve"> </w:t>
      </w:r>
      <w:r>
        <w:t xml:space="preserve">we extracted five features: velocity</w:t>
      </w:r>
      <w:r>
        <w:t xml:space="preserve"> </w:t>
      </w:r>
      <m:oMath>
        <m:r>
          <m:t>v</m:t>
        </m:r>
      </m:oMath>
      <w:r>
        <w:t xml:space="preserve">, acceleration</w:t>
      </w:r>
      <w:r>
        <w:t xml:space="preserve"> </w:t>
      </w:r>
      <m:oMath>
        <m:r>
          <m:t>a</m:t>
        </m:r>
      </m:oMath>
      <w:r>
        <w:t xml:space="preserve">, space headway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</m:oMath>
      <w:r>
        <w:t xml:space="preserve">, time headway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, and lane density</w:t>
      </w:r>
      <w:r>
        <w:t xml:space="preserve"> </w:t>
      </w:r>
      <m:oMath>
        <m:r>
          <m:t>ρ</m:t>
        </m:r>
      </m:oMath>
      <w:r>
        <w:t xml:space="preserve">.</w:t>
      </w:r>
    </w:p>
    <w:p>
      <w:pPr>
        <w:pStyle w:val="BodyText"/>
      </w:pPr>
      <w:r>
        <w:t xml:space="preserve">We used</w:t>
      </w:r>
      <w:r>
        <w:t xml:space="preserve"> </w:t>
      </w:r>
      <w:r>
        <w:rPr>
          <w:b/>
          <w:bCs/>
        </w:rPr>
        <w:t xml:space="preserve">vehicle-level GroupShuffleSplit</w:t>
      </w:r>
      <w:r>
        <w:t xml:space="preserve"> </w:t>
      </w:r>
      <w:r>
        <w:t xml:space="preserve">(80/20, 5 folds) so that</w:t>
      </w:r>
      <w:r>
        <w:t xml:space="preserve"> </w:t>
      </w:r>
      <w:r>
        <w:t xml:space="preserve">all frames from a given vehicle appear exclusively in one partition. This</w:t>
      </w:r>
      <w:r>
        <w:t xml:space="preserve"> </w:t>
      </w:r>
      <w:r>
        <w:t xml:space="preserve">prevents the temporal autocorrelation common in random trajectory splits from</w:t>
      </w:r>
      <w:r>
        <w:t xml:space="preserve"> </w:t>
      </w:r>
      <w:r>
        <w:t xml:space="preserve">inflating test metrics.</w:t>
      </w:r>
    </w:p>
    <w:p>
      <w:pPr>
        <w:pStyle w:val="Heading2"/>
      </w:pPr>
      <w:bookmarkStart w:id="19" w:name="_d568ecd696ee15cdece77a274f7c5af83b1bdb8"/>
      <w:r>
        <w:t xml:space="preserve">Travel-Time Regressor</w:t>
      </w:r>
      <w:bookmarkEnd w:id="19"/>
    </w:p>
    <w:p>
      <w:pPr>
        <w:pStyle w:val="FirstParagraph"/>
      </w:pPr>
      <w:r>
        <w:t xml:space="preserve">A Random Forest Regressor (100 trees, depth 15, min-leaf 4) predicts</w:t>
      </w:r>
      <w:r>
        <w:t xml:space="preserve"> </w:t>
      </w:r>
      <w:r>
        <w:t xml:space="preserve">traversal time for each 50 m segment.</w:t>
      </w:r>
      <w:r>
        <w:t xml:space="preserve"> </w:t>
      </w:r>
      <w:r>
        <w:t xml:space="preserve">Results: MAE = 0.4615 s, RMSE = 1.3707 s,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 = 0.6899.</w:t>
      </w:r>
      <w:r>
        <w:t xml:space="preserve"> </w:t>
      </w:r>
      <w:r>
        <w:t xml:space="preserve">Top features: space headway (42.1 %), velocity (28.4 %), density</w:t>
      </w:r>
      <w:r>
        <w:t xml:space="preserve"> </w:t>
      </w:r>
      <w:r>
        <w:t xml:space="preserve">(14.2 %).</w:t>
      </w:r>
    </w:p>
    <w:p>
      <w:pPr>
        <w:pStyle w:val="Heading2"/>
      </w:pPr>
      <w:bookmarkStart w:id="20" w:name="_7ec6a85bbcd1b7945711597bcf674f1312fa1ba"/>
      <w:r>
        <w:t xml:space="preserve">Collision-Risk Classifier</w:t>
      </w:r>
      <w:bookmarkEnd w:id="20"/>
    </w:p>
    <w:p>
      <w:pPr>
        <w:pStyle w:val="FirstParagraph"/>
      </w:pPr>
      <w:r>
        <w:t xml:space="preserve">Frames are labelled high-risk (</w:t>
      </w:r>
      <m:oMath>
        <m:r>
          <m:t>y</m:t>
        </m:r>
        <m:r>
          <m:t>​</m:t>
        </m:r>
        <m:r>
          <m:rPr>
            <m:sty m:val="p"/>
          </m:rPr>
          <m:t>=</m:t>
        </m:r>
        <m:r>
          <m:t>​</m:t>
        </m:r>
        <m:r>
          <m:t>1</m:t>
        </m:r>
      </m:oMath>
      <w:r>
        <w:t xml:space="preserve">) when: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</m:t>
          </m:r>
          <m:r>
            <m:rPr>
              <m:sty m:val="p"/>
            </m:rPr>
            <m:t>T</m:t>
          </m:r>
          <m:r>
            <m:rPr>
              <m:sty m:val="p"/>
            </m:rPr>
            <m:t>C</m:t>
          </m:r>
          <m:r>
            <m:rPr>
              <m:sty m:val="p"/>
            </m:rPr>
            <m:t>≤</m:t>
          </m:r>
          <m:r>
            <m:t>1.5</m:t>
          </m:r>
          <m:r>
            <m:t> </m:t>
          </m:r>
          <m:r>
            <m:rPr>
              <m:sty m:val="p"/>
            </m:rPr>
            <m:t>s</m:t>
          </m:r>
          <m:r>
            <m:t> </m:t>
          </m:r>
          <m:r>
            <m:rPr>
              <m:sty m:val="p"/>
            </m:rPr>
            <m:t>∨</m:t>
          </m:r>
          <m:r>
            <m:t> </m:t>
          </m:r>
          <m:r>
            <m:rPr>
              <m:sty m:val="p"/>
            </m:rPr>
            <m:t>T</m:t>
          </m:r>
          <m:r>
            <m:rPr>
              <m:sty m:val="p"/>
            </m:rPr>
            <m:t>H</m:t>
          </m:r>
          <m:r>
            <m:rPr>
              <m:sty m:val="p"/>
            </m:rPr>
            <m:t>≤</m:t>
          </m:r>
          <m:r>
            <m:t>1.0</m:t>
          </m:r>
          <m:r>
            <m:t> </m:t>
          </m:r>
          <m:r>
            <m:rPr>
              <m:sty m:val="p"/>
            </m:rPr>
            <m:t>s</m:t>
          </m:r>
          <m:r>
            <m:t> </m:t>
          </m:r>
          <m:r>
            <m:rPr>
              <m:sty m:val="p"/>
            </m:rPr>
            <m:t>∨</m:t>
          </m:r>
          <m:r>
            <m:t> </m:t>
          </m:r>
          <m:r>
            <m:rPr>
              <m:sty m:val="p"/>
            </m:rPr>
            <m:t>D</m:t>
          </m:r>
          <m:r>
            <m:rPr>
              <m:sty m:val="p"/>
            </m:rPr>
            <m:t>R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≥</m:t>
          </m:r>
          <m:r>
            <m:t>3.4</m:t>
          </m:r>
          <m:r>
            <m:t> 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s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 balanced Random Forest Classifier (150 trees, depth 20) achieved</w:t>
      </w:r>
      <w:r>
        <w:t xml:space="preserve"> </w:t>
      </w:r>
      <w:r>
        <w:t xml:space="preserve">Accuracy = 100 %, ROC-AUC = 1.0. The perfect score reflects a</w:t>
      </w:r>
      <w:r>
        <w:t xml:space="preserve"> </w:t>
      </w:r>
      <w:r>
        <w:t xml:space="preserve">deterministic physical boundary (not leakage); GroupShuffleSplit confirms</w:t>
      </w:r>
      <w:r>
        <w:t xml:space="preserve"> </w:t>
      </w:r>
      <w:r>
        <w:t xml:space="preserve">vehicle-level isolation.</w:t>
      </w:r>
    </w:p>
    <w:p>
      <w:pPr>
        <w:pStyle w:val="Heading1"/>
      </w:pPr>
      <w:bookmarkStart w:id="21" w:name="_675ec025dbcfb15ccc6eeb5bec59ff025200b28"/>
      <w:r>
        <w:t xml:space="preserve">Advanced Subsystems</w:t>
      </w:r>
      <w:bookmarkEnd w:id="21"/>
    </w:p>
    <w:p>
      <w:pPr>
        <w:pStyle w:val="FirstParagraph"/>
      </w:pPr>
      <w:r>
        <w:rPr>
          <w:b/>
          <w:bCs/>
        </w:rPr>
        <w:t xml:space="preserve">IDM + Splines.</w:t>
      </w:r>
      <w:r>
        <w:t xml:space="preserve"> </w:t>
      </w:r>
      <w:r>
        <w:t xml:space="preserve">Longitudinal dynamics follow the Intelligent Driver</w:t>
      </w:r>
      <w:r>
        <w:t xml:space="preserve"> </w:t>
      </w:r>
      <w:r>
        <w:t xml:space="preserve">Model </w:t>
      </w:r>
      <w:r>
        <w:t xml:space="preserve">; lateral transitions use C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Quintic</w:t>
      </w:r>
      <w:r>
        <w:t xml:space="preserve"> </w:t>
      </w:r>
      <w:r>
        <w:t xml:space="preserve">Hermite Splines (45 points/segment) to eliminate curvature discontinuities.</w:t>
      </w:r>
    </w:p>
    <w:p>
      <w:pPr>
        <w:pStyle w:val="BodyText"/>
      </w:pPr>
      <w:r>
        <w:rPr>
          <w:b/>
          <w:bCs/>
        </w:rPr>
        <w:t xml:space="preserve">V2X DSRC Mesh.</w:t>
      </w:r>
      <w:r>
        <w:t xml:space="preserve"> </w:t>
      </w:r>
      <w:r>
        <w:t xml:space="preserve">10 Hz CAMs broadcast kinematics; RSUs rebroadcast DENMs on accident</w:t>
      </w:r>
      <w:r>
        <w:t xml:space="preserve"> </w:t>
      </w:r>
      <w:r>
        <w:t xml:space="preserve">detection. Simulated channel: 5.9 GHz, latency = 8.2 ms,</w:t>
      </w:r>
      <w:r>
        <w:t xml:space="preserve"> </w:t>
      </w:r>
      <w:r>
        <w:t xml:space="preserve">PDR = 99.4 %, drop rate = 1.5 % (CSMA).</w:t>
      </w:r>
    </w:p>
    <w:p>
      <w:pPr>
        <w:pStyle w:val="BodyText"/>
      </w:pPr>
      <w:r>
        <w:rPr>
          <w:b/>
          <w:bCs/>
        </w:rPr>
        <w:t xml:space="preserve">EKF Localisation.</w:t>
      </w:r>
      <w:r>
        <w:t xml:space="preserve"> </w:t>
      </w:r>
      <w:r>
        <w:t xml:space="preserve">Fuses GPS and wheel odometry;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0.35 m (RTK open-sky) to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0.85 m</w:t>
      </w:r>
      <w:r>
        <w:t xml:space="preserve"> </w:t>
      </w:r>
      <w:r>
        <w:t xml:space="preserve">(urban canyon). GPS-degraded segments are penalised via</w:t>
      </w:r>
      <w:r>
        <w:t xml:space="preserve"> </w:t>
      </w:r>
      <w:r>
        <w:t xml:space="preserve">$\delta\,\sigma_{\rm
    GPS}$</w:t>
      </w:r>
      <w:r>
        <w:t xml:space="preserve"> </w:t>
      </w:r>
      <w:r>
        <w:t xml:space="preserve">in the DAA cost.</w:t>
      </w:r>
    </w:p>
    <w:p>
      <w:pPr>
        <w:pStyle w:val="BodyText"/>
      </w:pPr>
      <w:r>
        <w:rPr>
          <w:b/>
          <w:bCs/>
        </w:rPr>
        <w:t xml:space="preserve">VT-Micro Energy + ISO 2631.</w:t>
      </w:r>
      <w:r>
        <w:t xml:space="preserve"> </w:t>
      </w:r>
      <w:r>
        <w:t xml:space="preserve">Instantaneous power</w:t>
      </w:r>
      <w:r>
        <w:t xml:space="preserve"> </w:t>
      </w:r>
      <w:r>
        <w:t xml:space="preserve">$P = F_{\rm trac}v/\eta + P_{\rm aux}$</w:t>
      </w:r>
      <w:r>
        <w:t xml:space="preserve">; smooth IDM</w:t>
      </w:r>
      <w:r>
        <w:t xml:space="preserve"> </w:t>
      </w:r>
      <w:r>
        <w:t xml:space="preserve">profiles cut energy 21.8 % vs. static A*. Jerk</w:t>
      </w:r>
      <w:r>
        <w:t xml:space="preserve"> </w:t>
      </w:r>
      <m:oMath>
        <m:r>
          <m:rPr>
            <m:sty m:val="p"/>
          </m:rPr>
          <m:t>≤</m:t>
        </m:r>
        <m:r>
          <m:t>0.9</m:t>
        </m:r>
      </m:oMath>
      <w:r>
        <w:t xml:space="preserve"> m/s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yields ISO 2631 Level-A comfort (98.4 %).</w:t>
      </w:r>
    </w:p>
    <w:p>
      <w:pPr>
        <w:pStyle w:val="BodyText"/>
      </w:pPr>
      <w:r>
        <w:rPr>
          <w:b/>
          <w:bCs/>
        </w:rPr>
        <w:t xml:space="preserve">ASIL-D Fault Tolerance.</w:t>
      </w:r>
      <w:r>
        <w:t xml:space="preserve"> </w:t>
      </w:r>
      <w:r>
        <w:t xml:space="preserve">Six stress tests (Table </w:t>
      </w:r>
      <w:hyperlink w:anchor="_543276200a9218104992ed9be68c9fd42797b82">
        <w:r>
          <w:rPr>
            <w:rStyle w:val="Hyperlink"/>
          </w:rPr>
          <w:t xml:space="preserve">1</w:t>
        </w:r>
      </w:hyperlink>
      <w:r>
        <w:t xml:space="preserve">) confirmed zero exceptions from NaN</w:t>
      </w:r>
      <w:r>
        <w:t xml:space="preserve"> </w:t>
      </w:r>
      <w:r>
        <w:t xml:space="preserve">injection, missing keys, and extreme kinematics.</w:t>
      </w:r>
    </w:p>
    <w:bookmarkStart w:id="22" w:name="_543276200a9218104992ed9be68c9fd42797b82"/>
    <w:p>
      <w:pPr>
        <w:pStyle w:val="TableCaption"/>
      </w:pPr>
      <w:r>
        <w:t xml:space="preserve">ASIL-D Fault-Tolerance Stress Test Results (6/6 Passed)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ASIL-D Fault-Tolerance Stress Test Results (6/6 Passed)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Test Case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Injected 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Outcome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Nominal highway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v</m:t>
              </m:r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r>
                <m:t>14.5</m:t>
              </m:r>
            </m:oMath>
            <w:r>
              <w:t xml:space="preserve"> m/s,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x</m:t>
              </m:r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r>
                <m:t>35</m:t>
              </m:r>
            </m:oMath>
            <w:r>
              <w:t xml:space="preserve"> m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Extreme tailgating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v</m:t>
              </m:r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r>
                <m:t>45.0</m:t>
              </m:r>
            </m:oMath>
            <w:r>
              <w:t xml:space="preserve"> m/s,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x</m:t>
              </m:r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r>
                <m:t>4</m:t>
              </m:r>
            </m:oMath>
            <w:r>
              <w:t xml:space="preserve"> m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Risk=1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Standstill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v</m:t>
              </m:r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x</m:t>
              </m:r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r>
                <m:t>2.5</m:t>
              </m:r>
            </m:oMath>
            <w:r>
              <w:t xml:space="preserve"> m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NaN &amp; Inf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v</m:t>
              </m:r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r>
                <m:rPr>
                  <m:sty m:val="p"/>
                </m:rPr>
                <m:t>∞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Sanitised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 keys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{speed: 18.0}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Imputed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 braking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r>
                <m:rPr>
                  <m:sty m:val="p"/>
                </m:rPr>
                <m:t>−</m:t>
              </m:r>
              <m:r>
                <m:t>7.5</m:t>
              </m:r>
            </m:oMath>
            <w:r>
              <w:t xml:space="preserve"> m/s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Risk flagged</w:t>
            </w:r>
          </w:p>
        </w:tc>
      </w:tr>
    </w:tbl>
    <w:bookmarkEnd w:id="22"/>
    <w:p>
      <w:pPr>
        <w:pStyle w:val="Heading1"/>
      </w:pPr>
      <w:bookmarkStart w:id="23" w:name="_a28f169358a053f7b171a621bd02ee9ea3d1d28"/>
      <w:r>
        <w:t xml:space="preserve">Experimental Results</w:t>
      </w:r>
      <w:bookmarkEnd w:id="23"/>
    </w:p>
    <w:p>
      <w:pPr>
        <w:pStyle w:val="FirstParagraph"/>
      </w:pPr>
      <w:r>
        <w:t xml:space="preserve">We evaluated Dijkstra, static A*, and DAA across four fleet scenarios</w:t>
      </w:r>
      <w:r>
        <w:t xml:space="preserve"> </w:t>
      </w:r>
      <w:r>
        <w:t xml:space="preserve">on a seven-node road graph with a main corridor and a bypass route.</w:t>
      </w:r>
    </w:p>
    <w:p>
      <w:pPr>
        <w:pStyle w:val="Heading2"/>
      </w:pPr>
      <w:bookmarkStart w:id="24" w:name="_ca2022baa1248a5e28cf5c44f7067a1bc1aa5f3"/>
      <w:r>
        <w:t xml:space="preserve">Benchmark Data</w:t>
      </w:r>
      <w:bookmarkEnd w:id="24"/>
    </w:p>
    <w:p>
      <w:pPr>
        <w:pStyle w:val="FirstParagraph"/>
      </w:pPr>
      <w:r>
        <w:t xml:space="preserve">Table </w:t>
      </w:r>
      <w:hyperlink w:anchor="_d7118900739a6af68e55dd909de185f43b2ba06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summarises travel time, risk exposure, route</w:t>
      </w:r>
      <w:r>
        <w:t xml:space="preserve"> </w:t>
      </w:r>
      <w:r>
        <w:t xml:space="preserve">completion, replanning count, and energy for all scenarios.</w:t>
      </w:r>
    </w:p>
    <w:bookmarkStart w:id="25" w:name="_d7118900739a6af68e55dd909de185f43b2ba06"/>
    <w:p>
      <w:pPr>
        <w:pStyle w:val="TableCaption"/>
      </w:pPr>
      <w:r>
        <w:t xml:space="preserve">Benchmark Results — Three Algorithms, Four Fleet Scenarios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Benchmark Results — Three Algorithms, Four Fleet Scenarios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Scen.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Algorithm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Time (s)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Risk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Comp.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Plans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kWh/100</w:t>
            </w:r>
          </w:p>
        </w:tc>
      </w:tr>
      <w:tr>
        <w:tc>
          <w:tcPr>
            <w:vMerge w:val="restart"/>
          </w:tcPr>
          <w:p>
            <w:pPr>
              <w:pStyle w:val="Compact"/>
              <w:jc w:val="left"/>
            </w:pPr>
            <w:r>
              <w:t xml:space="preserve">A (10v)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Dijkstra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86.67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18.8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Static A*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86.67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18.7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86.67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0.110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14.6</w:t>
            </w:r>
          </w:p>
        </w:tc>
      </w:tr>
      <w:tr>
        <w:tc>
          <w:tcPr>
            <w:vMerge w:val="restart"/>
          </w:tcPr>
          <w:p>
            <w:pPr>
              <w:pStyle w:val="Compact"/>
              <w:jc w:val="left"/>
            </w:pPr>
            <w:r>
              <w:t xml:space="preserve">B (20v)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Dijkstra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79.17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19.2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Static A*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79.17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19.1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79.17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14.8</w:t>
            </w:r>
          </w:p>
        </w:tc>
      </w:tr>
      <w:tr>
        <w:tc>
          <w:tcPr>
            <w:vMerge w:val="restart"/>
          </w:tcPr>
          <w:p>
            <w:pPr>
              <w:pStyle w:val="Compact"/>
              <w:jc w:val="left"/>
            </w:pPr>
            <w:r>
              <w:t xml:space="preserve">C (30v+blk)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Dijkstra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86.11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20.4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Static A*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90.56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20.6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86.11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0.105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15.2</w:t>
            </w:r>
          </w:p>
        </w:tc>
      </w:tr>
      <w:tr>
        <w:tc>
          <w:tcPr>
            <w:vMerge w:val="restart"/>
          </w:tcPr>
          <w:p>
            <w:pPr>
              <w:pStyle w:val="Compact"/>
              <w:jc w:val="left"/>
            </w:pPr>
            <w:r>
              <w:t xml:space="preserve">D (50v)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Dijkstra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80.33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21.0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Static A*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83.00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21.2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80.33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0.099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15.4</w:t>
            </w:r>
          </w:p>
        </w:tc>
      </w:tr>
    </w:tbl>
    <w:bookmarkEnd w:id="25"/>
    <w:p>
      <w:pPr>
        <w:pStyle w:val="Heading2"/>
      </w:pPr>
      <w:bookmarkStart w:id="26" w:name="_ffcb089a65fdbb0ae8b8b178cb44791b1578349"/>
      <w:r>
        <w:t xml:space="preserve">Result Graphs</w:t>
      </w:r>
      <w:bookmarkEnd w:id="26"/>
    </w:p>
    <w:p>
      <w:pPr>
        <w:pStyle w:val="FirstParagraph"/>
      </w:pPr>
      <w:r>
        <w:t xml:space="preserve">Fig. </w:t>
      </w:r>
      <w:hyperlink w:anchor="_948ffdd81c8c42ef0322b8b5aab9f344ad73254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compares energy consumption across all scenarios and</w:t>
      </w:r>
      <w:r>
        <w:t xml:space="preserve"> </w:t>
      </w:r>
      <w:r>
        <w:t xml:space="preserve">algorithms. DAA consistently saves over 20 % by combining smoother IDM</w:t>
      </w:r>
      <w:r>
        <w:t xml:space="preserve"> </w:t>
      </w:r>
      <w:r>
        <w:t xml:space="preserve">trajectories with proactive avoidance of stop-and-go zones.</w:t>
      </w:r>
    </w:p>
    <w:bookmarkStart w:id="27" w:name="_948ffdd81c8c42ef0322b8b5aab9f344ad73254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Energy consumption (kWh/100 km) per algorithm per scenario.</w:t>
      </w:r>
      <w:r>
        <w:t xml:space="preserve"> </w:t>
      </w:r>
      <w:r>
        <w:t xml:space="preserve">DAA achieves 21.8–26.7 % savings over baseline algorithms.</w:t>
      </w:r>
    </w:p>
    <w:bookmarkEnd w:id="27"/>
    <w:p>
      <w:pPr>
        <w:pStyle w:val="FirstParagraph"/>
      </w:pPr>
      <w:r>
        <w:t xml:space="preserve">Fig. </w:t>
      </w:r>
      <w:hyperlink w:anchor="_b8197f2afa0ef1cab58e470f7d4f03bfb7f97b9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shows travel time. The gap between static A* and</w:t>
      </w:r>
      <w:r>
        <w:t xml:space="preserve"> </w:t>
      </w:r>
      <w:r>
        <w:t xml:space="preserve">DAA is most visible in Scenario C (blockage), where DAA’s proactive bypass</w:t>
      </w:r>
      <w:r>
        <w:t xml:space="preserve"> </w:t>
      </w:r>
      <w:r>
        <w:t xml:space="preserve">avoids the 4.45 s penalty that static A* incurs by committing to the</w:t>
      </w:r>
      <w:r>
        <w:t xml:space="preserve"> </w:t>
      </w:r>
      <w:r>
        <w:t xml:space="preserve">blocked corridor.</w:t>
      </w:r>
    </w:p>
    <w:bookmarkStart w:id="28" w:name="_b8197f2afa0ef1cab58e470f7d4f03bfb7f97b9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Mean travel time (s) per algorithm per scenario. DAA matches</w:t>
      </w:r>
      <w:r>
        <w:t xml:space="preserve"> </w:t>
      </w:r>
      <w:r>
        <w:t xml:space="preserve">Dijkstra in all scenarios and avoids the 4.45 s penalty of static A*</w:t>
      </w:r>
      <w:r>
        <w:t xml:space="preserve"> </w:t>
      </w:r>
      <w:r>
        <w:t xml:space="preserve">in the blockage scenario (C).</w:t>
      </w:r>
    </w:p>
    <w:bookmarkEnd w:id="28"/>
    <w:p>
      <w:pPr>
        <w:pStyle w:val="FirstParagraph"/>
      </w:pPr>
      <w:r>
        <w:t xml:space="preserve">Fig. </w:t>
      </w:r>
      <w:hyperlink w:anchor="_6dedad6aa795b60134ef6a6faf08e2d3be3a7f6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shows DAA replanning activity. Replan count grows</w:t>
      </w:r>
      <w:r>
        <w:t xml:space="preserve"> </w:t>
      </w:r>
      <w:r>
        <w:t xml:space="preserve">with fleet size and hazard intensity, confirming that the router actively</w:t>
      </w:r>
      <w:r>
        <w:t xml:space="preserve"> </w:t>
      </w:r>
      <w:r>
        <w:t xml:space="preserve">responds to dynamic conditions rather than committing to a fixed path.</w:t>
      </w:r>
    </w:p>
    <w:bookmarkStart w:id="29" w:name="_6dedad6aa795b60134ef6a6faf08e2d3be3a7f6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Number of DAA replanning events per scenario. The spike in</w:t>
      </w:r>
      <w:r>
        <w:t xml:space="preserve"> </w:t>
      </w:r>
      <w:r>
        <w:t xml:space="preserve">Scenario C corresponds to the roundabout blockage event triggering</w:t>
      </w:r>
      <w:r>
        <w:t xml:space="preserve"> </w:t>
      </w:r>
      <w:r>
        <w:t xml:space="preserve">multiple bypass re-optimisations.</w:t>
      </w:r>
    </w:p>
    <w:bookmarkEnd w:id="29"/>
    <w:p>
      <w:pPr>
        <w:pStyle w:val="Heading1"/>
      </w:pPr>
      <w:bookmarkStart w:id="30" w:name="_074802e0e16f6322e726b21f081c01c392e8fbd"/>
      <w:r>
        <w:t xml:space="preserve">Discussion</w:t>
      </w:r>
      <w:bookmarkEnd w:id="30"/>
    </w:p>
    <w:p>
      <w:pPr>
        <w:pStyle w:val="FirstParagraph"/>
      </w:pPr>
      <w:r>
        <w:t xml:space="preserve">The energy savings are real and consistent across all four scenarios. They</w:t>
      </w:r>
      <w:r>
        <w:t xml:space="preserve"> </w:t>
      </w:r>
      <w:r>
        <w:t xml:space="preserve">come from the IDM subsystem’s smooth acceleration profiles as much as from</w:t>
      </w:r>
      <w:r>
        <w:t xml:space="preserve"> </w:t>
      </w:r>
      <w:r>
        <w:t xml:space="preserve">better routing—in Scenarios A and B, where all three algorithms choose the</w:t>
      </w:r>
      <w:r>
        <w:t xml:space="preserve"> </w:t>
      </w:r>
      <w:r>
        <w:t xml:space="preserve">same path, DAA still saves roughly 22 % simply by eliminating unnecessary</w:t>
      </w:r>
      <w:r>
        <w:t xml:space="preserve"> </w:t>
      </w:r>
      <w:r>
        <w:t xml:space="preserve">braking cycles. This is worth being transparent about: the routing</w:t>
      </w:r>
      <w:r>
        <w:t xml:space="preserve"> </w:t>
      </w:r>
      <w:r>
        <w:t xml:space="preserve">contribution and the trajectory-execution contribution are coupled in these</w:t>
      </w:r>
      <w:r>
        <w:t xml:space="preserve"> </w:t>
      </w:r>
      <w:r>
        <w:t xml:space="preserve">tests, and disentangling them would require holding the trajectory model</w:t>
      </w:r>
      <w:r>
        <w:t xml:space="preserve"> </w:t>
      </w:r>
      <w:r>
        <w:t xml:space="preserve">constant across algorithms.</w:t>
      </w:r>
    </w:p>
    <w:p>
      <w:pPr>
        <w:pStyle w:val="BodyText"/>
      </w:pPr>
      <w:r>
        <w:t xml:space="preserve">Scenario C offers the cleaner demonstration of the routing benefit. Static</w:t>
      </w:r>
      <w:r>
        <w:t xml:space="preserve"> </w:t>
      </w:r>
      <w:r>
        <w:t xml:space="preserve">A* commits to the main corridor and accumulates a 4.45-second penalty;</w:t>
      </w:r>
      <w:r>
        <w:t xml:space="preserve"> </w:t>
      </w:r>
      <w:r>
        <w:t xml:space="preserve">DAA, forewarned by the DENM alert, re-routes five times and matches</w:t>
      </w:r>
      <w:r>
        <w:t xml:space="preserve"> </w:t>
      </w:r>
      <w:r>
        <w:t xml:space="preserve">Dijkstra’s time while additionally keeping the ego vehicle out of the</w:t>
      </w:r>
      <w:r>
        <w:t xml:space="preserve"> </w:t>
      </w:r>
      <w:r>
        <w:t xml:space="preserve">hazard zone entirely. That qualitative difference—avoiding the accident</w:t>
      </w:r>
      <w:r>
        <w:t xml:space="preserve"> </w:t>
      </w:r>
      <w:r>
        <w:t xml:space="preserve">field rather than just being delayed by it—does not appear in the travel</w:t>
      </w:r>
      <w:r>
        <w:t xml:space="preserve"> </w:t>
      </w:r>
      <w:r>
        <w:t xml:space="preserve">time column, which is a limitation of the metrics we chose.</w:t>
      </w:r>
    </w:p>
    <w:p>
      <w:pPr>
        <w:pStyle w:val="BodyText"/>
      </w:pPr>
      <w:r>
        <w:t xml:space="preserve">We also want to be direct about the 100 % classifier accuracy. The labels</w:t>
      </w:r>
      <w:r>
        <w:t xml:space="preserve"> </w:t>
      </w:r>
      <w:r>
        <w:t xml:space="preserve">are deterministic functions of the features through a hard kinematic</w:t>
      </w:r>
      <w:r>
        <w:t xml:space="preserve"> </w:t>
      </w:r>
      <w:r>
        <w:t xml:space="preserve">threshold, so the model is learning a physical law rather than a statistical</w:t>
      </w:r>
      <w:r>
        <w:t xml:space="preserve"> </w:t>
      </w:r>
      <w:r>
        <w:t xml:space="preserve">pattern. It will not necessarily generalise to conditions outside the NGSIM</w:t>
      </w:r>
      <w:r>
        <w:t xml:space="preserve"> </w:t>
      </w:r>
      <w:r>
        <w:t xml:space="preserve">distribution—fog, mixed AV-and-human traffic, or two-wheelers—and we</w:t>
      </w:r>
      <w:r>
        <w:t xml:space="preserve"> </w:t>
      </w:r>
      <w:r>
        <w:t xml:space="preserve">have not tested it on such conditions.</w:t>
      </w:r>
    </w:p>
    <w:p>
      <w:pPr>
        <w:pStyle w:val="Heading2"/>
      </w:pPr>
      <w:bookmarkStart w:id="31" w:name="_ab2959ab5a501ede81f40de0809f5f477572721"/>
      <w:r>
        <w:t xml:space="preserve">Limitations and Future Work</w:t>
      </w:r>
      <w:bookmarkEnd w:id="31"/>
    </w:p>
    <w:p>
      <w:pPr>
        <w:pStyle w:val="FirstParagraph"/>
      </w:pPr>
      <w:r>
        <w:t xml:space="preserve">The road graph we used has seven nodes and two corridors. Real urban</w:t>
      </w:r>
      <w:r>
        <w:t xml:space="preserve"> </w:t>
      </w:r>
      <w:r>
        <w:t xml:space="preserve">networks have hundreds of intersections and introduce turn priorities,</w:t>
      </w:r>
      <w:r>
        <w:t xml:space="preserve"> </w:t>
      </w:r>
      <w:r>
        <w:t xml:space="preserve">pedestrian crossings, and merging conflicts that our routing layer does</w:t>
      </w:r>
      <w:r>
        <w:t xml:space="preserve"> </w:t>
      </w:r>
      <w:r>
        <w:t xml:space="preserve">not currently handle. The NGSIM dataset represents a single highway in a</w:t>
      </w:r>
      <w:r>
        <w:t xml:space="preserve"> </w:t>
      </w:r>
      <w:r>
        <w:t xml:space="preserve">single city, so geographic and cultural generalisation is untested. The</w:t>
      </w:r>
      <w:r>
        <w:t xml:space="preserve"> </w:t>
      </w:r>
      <w:r>
        <w:t xml:space="preserve">simulation uses a custom JavaScript engine rather than a validated physics</w:t>
      </w:r>
      <w:r>
        <w:t xml:space="preserve"> </w:t>
      </w:r>
      <w:r>
        <w:t xml:space="preserve">tool like CARLA or SUMO, limiting the fidelity of the vehicle dynamics.</w:t>
      </w:r>
      <w:r>
        <w:t xml:space="preserve"> </w:t>
      </w:r>
      <w:r>
        <w:t xml:space="preserve">Future work will address CARLA-based validation, extension to full urban</w:t>
      </w:r>
      <w:r>
        <w:t xml:space="preserve"> </w:t>
      </w:r>
      <w:r>
        <w:t xml:space="preserve">intersection graphs, and an online continual-learning component that</w:t>
      </w:r>
      <w:r>
        <w:t xml:space="preserve"> </w:t>
      </w:r>
      <w:r>
        <w:t xml:space="preserve">updates the risk model from live fleet telemetry.</w:t>
      </w:r>
    </w:p>
    <w:p>
      <w:pPr>
        <w:pStyle w:val="Heading1"/>
      </w:pPr>
      <w:bookmarkStart w:id="32" w:name="_0cf7f8e9027f9f9352f3019b4ede1d43d537ff7"/>
      <w:r>
        <w:t xml:space="preserve">Conclusion</w:t>
      </w:r>
      <w:bookmarkEnd w:id="32"/>
    </w:p>
    <w:p>
      <w:pPr>
        <w:pStyle w:val="FirstParagraph"/>
      </w:pPr>
      <w:r>
        <w:t xml:space="preserve">The central argument of this paper is that routing and safety prediction do</w:t>
      </w:r>
      <w:r>
        <w:t xml:space="preserve"> </w:t>
      </w:r>
      <w:r>
        <w:t xml:space="preserve">not have to be separate concerns. By training two Random Forest models on a</w:t>
      </w:r>
      <w:r>
        <w:t xml:space="preserve"> </w:t>
      </w:r>
      <w:r>
        <w:t xml:space="preserve">million-frame trajectory dataset and embedding their predictions directly into</w:t>
      </w:r>
      <w:r>
        <w:t xml:space="preserve"> </w:t>
      </w:r>
      <w:r>
        <w:t xml:space="preserve">an A* cost function, we built a router that responds to risk before the</w:t>
      </w:r>
      <w:r>
        <w:t xml:space="preserve"> </w:t>
      </w:r>
      <w:r>
        <w:t xml:space="preserve">vehicle encounters it rather than after. The accompanying subsystems—IDM</w:t>
      </w:r>
      <w:r>
        <w:t xml:space="preserve"> </w:t>
      </w:r>
      <w:r>
        <w:t xml:space="preserve">trajectories, V2X alerts, EKF localisation, VT-Micro energy tracking, and a</w:t>
      </w:r>
      <w:r>
        <w:t xml:space="preserve"> </w:t>
      </w:r>
      <w:r>
        <w:t xml:space="preserve">fault-tolerant inference wrapper—turn the routing algorithm into a</w:t>
      </w:r>
      <w:r>
        <w:t xml:space="preserve"> </w:t>
      </w:r>
      <w:r>
        <w:t xml:space="preserve">full navigation stack testable end-to-end. Results show 100 % route</w:t>
      </w:r>
      <w:r>
        <w:t xml:space="preserve"> </w:t>
      </w:r>
      <w:r>
        <w:t xml:space="preserve">completion across fleet sizes of 10–50 vehicles, 21.8 % mean energy</w:t>
      </w:r>
      <w:r>
        <w:t xml:space="preserve"> </w:t>
      </w:r>
      <w:r>
        <w:t xml:space="preserve">savings, and verified robustness to six categories of sensor fault.</w:t>
      </w:r>
    </w:p>
    <w:p>
      <w:pPr>
        <w:pStyle w:val="BodyText"/>
      </w:pPr>
      <w:r>
        <w:t xml:space="preserve">All code, trained models, and the interactive simulation cockpit are at</w:t>
      </w:r>
      <w:r>
        <w:t xml:space="preserve"> </w:t>
      </w:r>
      <w:hyperlink r:id="rId10">
        <w:r>
          <w:rPr>
            <w:rStyle w:val="Hyperlink"/>
          </w:rPr>
          <w:t xml:space="preserve">https://github.com/reddyakshith2502-dotcom/AUTOPLAN</w:t>
        </w:r>
      </w:hyperlink>
      <w:r>
        <w:t xml:space="preserve">.</w:t>
      </w:r>
    </w:p>
    <w:p>
      <w:pPr>
        <w:pStyle w:val="FirstParagraph"/>
      </w:pPr>
      <w:r>
        <w:t xml:space="preserve">99</w:t>
      </w:r>
    </w:p>
    <w:p>
      <w:pPr>
        <w:pStyle w:val="BodyText"/>
      </w:pPr>
      <w:r>
        <w:t xml:space="preserve">D. González, J. Pérez, V. Milanés, and F. Nashashibi,</w:t>
      </w:r>
      <w:r>
        <w:t xml:space="preserve"> </w:t>
      </w:r>
      <w:r>
        <w:t xml:space="preserve">“A review of motion planning techniques for automated vehicles,”</w:t>
      </w:r>
      <w:r>
        <w:t xml:space="preserve"> </w:t>
      </w:r>
      <w:r>
        <w:rPr>
          <w:i/>
          <w:iCs/>
        </w:rPr>
        <w:t xml:space="preserve">IEEE Trans. Intell. Transp. Syst.</w:t>
      </w:r>
      <w:r>
        <w:t xml:space="preserve">, vol. 17, no. 4,</w:t>
      </w:r>
      <w:r>
        <w:t xml:space="preserve"> </w:t>
      </w:r>
      <w:r>
        <w:t xml:space="preserve">pp. 1135–1145, Apr. 2016.</w:t>
      </w:r>
    </w:p>
    <w:p>
      <w:pPr>
        <w:pStyle w:val="BodyText"/>
      </w:pPr>
      <w:r>
        <w:t xml:space="preserve">E. W. Dijkstra,</w:t>
      </w:r>
      <w:r>
        <w:t xml:space="preserve"> </w:t>
      </w:r>
      <w:r>
        <w:t xml:space="preserve">“A note on two problems in connexion with graphs,”</w:t>
      </w:r>
      <w:r>
        <w:t xml:space="preserve"> </w:t>
      </w:r>
      <w:r>
        <w:rPr>
          <w:i/>
          <w:iCs/>
        </w:rPr>
        <w:t xml:space="preserve">Numer. Math.</w:t>
      </w:r>
      <w:r>
        <w:t xml:space="preserve">, vol. 1, no. 1, pp. 269–271, 1959.</w:t>
      </w:r>
    </w:p>
    <w:p>
      <w:pPr>
        <w:pStyle w:val="BodyText"/>
      </w:pPr>
      <w:r>
        <w:t xml:space="preserve">P. E. Hart, N. J. Nilsson, and B. Raphael,</w:t>
      </w:r>
      <w:r>
        <w:t xml:space="preserve"> </w:t>
      </w:r>
      <w:r>
        <w:t xml:space="preserve">“A formal basis for the heuristic determination of minimum cost paths,”</w:t>
      </w:r>
      <w:r>
        <w:t xml:space="preserve"> </w:t>
      </w:r>
      <w:r>
        <w:rPr>
          <w:i/>
          <w:iCs/>
        </w:rPr>
        <w:t xml:space="preserve">IEEE Trans. Syst. Sci. Cybern.</w:t>
      </w:r>
      <w:r>
        <w:t xml:space="preserve">, vol. 4, no. 2, pp. 100–107,</w:t>
      </w:r>
      <w:r>
        <w:t xml:space="preserve"> </w:t>
      </w:r>
      <w:r>
        <w:t xml:space="preserve">Jul. 1968.</w:t>
      </w:r>
    </w:p>
    <w:p>
      <w:pPr>
        <w:pStyle w:val="BodyText"/>
      </w:pPr>
      <w:r>
        <w:t xml:space="preserve">S. Koenig and M. Likhachev,</w:t>
      </w:r>
      <w:r>
        <w:t xml:space="preserve"> </w:t>
      </w:r>
      <w:r>
        <w:t xml:space="preserve">“D* Lite,”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 AAAI Conf. Artif. Intell.</w:t>
      </w:r>
      <w:r>
        <w:t xml:space="preserve">, Edmonton, Canada, 2002,</w:t>
      </w:r>
      <w:r>
        <w:t xml:space="preserve"> </w:t>
      </w:r>
      <w:r>
        <w:t xml:space="preserve">pp. 476–483.</w:t>
      </w:r>
    </w:p>
    <w:p>
      <w:pPr>
        <w:pStyle w:val="BodyText"/>
      </w:pPr>
      <w:r>
        <w:t xml:space="preserve">S. Shalev-Shwartz, S. Shammah, and A. Shashua,</w:t>
      </w:r>
      <w:r>
        <w:t xml:space="preserve"> </w:t>
      </w:r>
      <w:r>
        <w:t xml:space="preserve">“Safe, multi-agent, reinforcement learning for autonomous driving,”</w:t>
      </w:r>
      <w:r>
        <w:t xml:space="preserve"> </w:t>
      </w:r>
      <w:r>
        <w:rPr>
          <w:i/>
          <w:iCs/>
        </w:rPr>
        <w:t xml:space="preserve">arXiv:1610.03295</w:t>
      </w:r>
      <w:r>
        <w:t xml:space="preserve">, 2016.</w:t>
      </w:r>
    </w:p>
    <w:p>
      <w:pPr>
        <w:pStyle w:val="BodyText"/>
      </w:pPr>
      <w:r>
        <w:t xml:space="preserve">F. Altché and A. de La Fortelle,</w:t>
      </w:r>
      <w:r>
        <w:t xml:space="preserve"> </w:t>
      </w:r>
      <w:r>
        <w:t xml:space="preserve">“An LSTM network for highway trajectory prediction,”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 IEEE ITSC</w:t>
      </w:r>
      <w:r>
        <w:t xml:space="preserve">, Yokohama, Japan, 2017, pp. 353–359.</w:t>
      </w:r>
    </w:p>
    <w:p>
      <w:pPr>
        <w:pStyle w:val="BodyText"/>
      </w:pPr>
      <w:r>
        <w:t xml:space="preserve">L. Breiman,</w:t>
      </w:r>
      <w:r>
        <w:t xml:space="preserve"> </w:t>
      </w:r>
      <w:r>
        <w:t xml:space="preserve">“Random forests,”</w:t>
      </w:r>
      <w:r>
        <w:t xml:space="preserve"> </w:t>
      </w:r>
      <w:r>
        <w:rPr>
          <w:i/>
          <w:iCs/>
        </w:rPr>
        <w:t xml:space="preserve">Mach. Learn.</w:t>
      </w:r>
      <w:r>
        <w:t xml:space="preserve">, vol. 45, no. 1, pp. 5–32, 2001.</w:t>
      </w:r>
    </w:p>
    <w:p>
      <w:pPr>
        <w:pStyle w:val="BodyText"/>
      </w:pPr>
      <w:r>
        <w:t xml:space="preserve">J. C. Hayward,</w:t>
      </w:r>
      <w:r>
        <w:t xml:space="preserve"> </w:t>
      </w:r>
      <w:r>
        <w:t xml:space="preserve">“Near-miss determination through use of a scale of danger,”</w:t>
      </w:r>
      <w:r>
        <w:t xml:space="preserve"> </w:t>
      </w:r>
      <w:r>
        <w:rPr>
          <w:i/>
          <w:iCs/>
        </w:rPr>
        <w:t xml:space="preserve">Highw. Res. Rec.</w:t>
      </w:r>
      <w:r>
        <w:t xml:space="preserve">, no. 384, pp. 24–34, 1972.</w:t>
      </w:r>
    </w:p>
    <w:p>
      <w:pPr>
        <w:pStyle w:val="BodyText"/>
      </w:pPr>
      <w:r>
        <w:t xml:space="preserve">B. L. Allen, B. T. Shin, and P. J. Cooper,</w:t>
      </w:r>
      <w:r>
        <w:t xml:space="preserve"> </w:t>
      </w:r>
      <w:r>
        <w:t xml:space="preserve">“Analysis of traffic conflicts and collisions,”</w:t>
      </w:r>
      <w:r>
        <w:t xml:space="preserve"> </w:t>
      </w:r>
      <w:r>
        <w:rPr>
          <w:i/>
          <w:iCs/>
        </w:rPr>
        <w:t xml:space="preserve">Transp. Res. Rec.</w:t>
      </w:r>
      <w:r>
        <w:t xml:space="preserve">, no. 667, pp. 67–74, 1978.</w:t>
      </w:r>
    </w:p>
    <w:p>
      <w:pPr>
        <w:pStyle w:val="BodyText"/>
      </w:pPr>
      <w:r>
        <w:t xml:space="preserve">Federal Highway Administration,</w:t>
      </w:r>
      <w:r>
        <w:t xml:space="preserve"> </w:t>
      </w:r>
      <w:r>
        <w:t xml:space="preserve">“NGSIM US Highway 101 Dataset,”</w:t>
      </w:r>
      <w:r>
        <w:t xml:space="preserve"> </w:t>
      </w:r>
      <w:r>
        <w:t xml:space="preserve">U.S. Dept. of Transportation, 2006.</w:t>
      </w:r>
      <w:r>
        <w:t xml:space="preserve"> </w:t>
      </w:r>
      <w:r>
        <w:t xml:space="preserve">[Online]. Available:</w:t>
      </w:r>
      <w:r>
        <w:t xml:space="preserve"> </w:t>
      </w:r>
      <w:hyperlink r:id="rId33">
        <w:r>
          <w:rPr>
            <w:rStyle w:val="Hyperlink"/>
          </w:rPr>
          <w:t xml:space="preserve">https://ops.fhwa.dot.gov/trafficanalysistools/ngsim.htm</w:t>
        </w:r>
      </w:hyperlink>
    </w:p>
    <w:p>
      <w:pPr>
        <w:pStyle w:val="BodyText"/>
      </w:pPr>
      <w:r>
        <w:t xml:space="preserve">ETSI,</w:t>
      </w:r>
      <w:r>
        <w:t xml:space="preserve"> </w:t>
      </w:r>
      <w:r>
        <w:t xml:space="preserve">“Intelligent Transport Systems; Cooperative Awareness Basic Service,”</w:t>
      </w:r>
      <w:r>
        <w:t xml:space="preserve"> </w:t>
      </w:r>
      <w:r>
        <w:t xml:space="preserve">ETSI EN 302 637-2, v1.4.1, 2019.</w:t>
      </w:r>
    </w:p>
    <w:p>
      <w:pPr>
        <w:pStyle w:val="BodyText"/>
      </w:pPr>
      <w:r>
        <w:t xml:space="preserve">B. Schünemann,</w:t>
      </w:r>
      <w:r>
        <w:t xml:space="preserve"> </w:t>
      </w:r>
      <w:r>
        <w:t xml:space="preserve">“V2X simulation runtime infrastructure VSimRTI,”</w:t>
      </w:r>
      <w:r>
        <w:t xml:space="preserve"> </w:t>
      </w:r>
      <w:r>
        <w:rPr>
          <w:i/>
          <w:iCs/>
        </w:rPr>
        <w:t xml:space="preserve">Comput. Netw.</w:t>
      </w:r>
      <w:r>
        <w:t xml:space="preserve">, vol. 55, no. 14, pp. 3189–3198, 2011.</w:t>
      </w:r>
    </w:p>
    <w:p>
      <w:pPr>
        <w:pStyle w:val="BodyText"/>
      </w:pPr>
      <w:r>
        <w:t xml:space="preserve">M. Treiber, A. Hennecke, and D. Helbing,</w:t>
      </w:r>
      <w:r>
        <w:t xml:space="preserve"> </w:t>
      </w:r>
      <w:r>
        <w:t xml:space="preserve">“Congested traffic states in empirical observations and microscopic</w:t>
      </w:r>
      <w:r>
        <w:t xml:space="preserve"> </w:t>
      </w:r>
      <w:r>
        <w:t xml:space="preserve">simulations,”</w:t>
      </w:r>
      <w:r>
        <w:t xml:space="preserve"> </w:t>
      </w:r>
      <w:r>
        <w:rPr>
          <w:i/>
          <w:iCs/>
        </w:rPr>
        <w:t xml:space="preserve">Phys. Rev. E</w:t>
      </w:r>
      <w:r>
        <w:t xml:space="preserve">, vol. 62, no. 2, pp. 1805–1824, 2000.</w:t>
      </w:r>
    </w:p>
    <w:p>
      <w:pPr>
        <w:pStyle w:val="BodyText"/>
      </w:pPr>
      <w:r>
        <w:t xml:space="preserve">H. Rakha, K. Ahn, and A. Trani,</w:t>
      </w:r>
      <w:r>
        <w:t xml:space="preserve"> </w:t>
      </w:r>
      <w:r>
        <w:t xml:space="preserve">“Development of VT-Micro model for estimating hot stabilized light duty</w:t>
      </w:r>
      <w:r>
        <w:t xml:space="preserve"> </w:t>
      </w:r>
      <w:r>
        <w:t xml:space="preserve">vehicle and truck emissions,”</w:t>
      </w:r>
      <w:r>
        <w:t xml:space="preserve"> </w:t>
      </w:r>
      <w:r>
        <w:rPr>
          <w:i/>
          <w:iCs/>
        </w:rPr>
        <w:t xml:space="preserve">Transp. Res. Part D</w:t>
      </w:r>
      <w:r>
        <w:t xml:space="preserve">, vol. 9, no. 1, pp. 49–74, 2004.</w:t>
      </w:r>
    </w:p>
    <w:p>
      <w:pPr>
        <w:pStyle w:val="BodyText"/>
      </w:pPr>
      <w:r>
        <w:t xml:space="preserve">O. Khatib,</w:t>
      </w:r>
      <w:r>
        <w:t xml:space="preserve"> </w:t>
      </w:r>
      <w:r>
        <w:t xml:space="preserve">“Real-time obstacle avoidance for manipulators and mobile robots,”</w:t>
      </w:r>
      <w:r>
        <w:t xml:space="preserve"> </w:t>
      </w:r>
      <w:r>
        <w:rPr>
          <w:i/>
          <w:iCs/>
        </w:rPr>
        <w:t xml:space="preserve">Int. J. Robot. Res.</w:t>
      </w:r>
      <w:r>
        <w:t xml:space="preserve">, vol. 5, no. 1, pp. 90–98, 1986.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Source code and simulation:</w:t>
      </w:r>
      <w:r>
        <w:t xml:space="preserve"> </w:t>
      </w:r>
      <w:hyperlink r:id="rId10">
        <w:r>
          <w:rPr>
            <w:rStyle w:val="Hyperlink"/>
          </w:rPr>
          <w:t xml:space="preserve">https://github.com/reddyakshith2502-dotcom/AUTOPLAN</w:t>
        </w:r>
      </w:hyperlink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github.com/reddyakshith2502-dotcom/AUTOPLAN" TargetMode="External" /><Relationship Type="http://schemas.openxmlformats.org/officeDocument/2006/relationships/hyperlink" Id="rId33" Target="https://ops.fhwa.dot.gov/trafficanalysistools/ngsim.ht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github.com/reddyakshith2502-dotcom/AUTOPLAN" TargetMode="External" /><Relationship Type="http://schemas.openxmlformats.org/officeDocument/2006/relationships/hyperlink" Id="rId33" Target="https://ops.fhwa.dot.gov/trafficanalysistools/ngsim.ht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AUTOPLAN: Integrating Machine Learning Safety Predictions into Dynamic A* Routing for Autonomous Vehicle Fleets </dc:title>
  <dc:creator>; ; </dc:creator>
  <cp:keywords/>
  <dcterms:created xsi:type="dcterms:W3CDTF">2026-10-30T05:10:43Z</dcterms:created>
  <dcterms:modified xsi:type="dcterms:W3CDTF">2026-10-30T05:10:43Z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 recurring problem in autonomous vehicle navigation is that route-planning algorithms operate entirely separately from the safety systems watching over the vehicle. The planner picks a path based on distance or travel time; the safety module raises alerts after the vehicle is already committed to that path. This paper describes AUTOPLAN, a system we built to close that gap by embedding collision-risk estimates directly inside the path-planning cost function. We trained two Random Forest models on 1,048,575 trajectory frames from the NGSIM US-101 highway study: one predicts traversal time for a 50-metre road segment (MAE = 0.4615 s, R^2 = 0.6899), and the other classifies each segment as safe or hazardous using Time-To-Collision and Deceleration Rate to Avoid Crash as surrogate labels (Accuracy = 100 %, ROC-AUC = 1.0000). The combined cost function feeds a modified A* algorithm—which we call Dynamic Risk-Aware A* (DAA)—that re-routes the vehicle before it reaches a danger zone. Beyond routing, we layered in four additional subsystems: an Intelligent Driver Model with smooth spline trajectories, a V2X cooperative mesh (8.2 ms latency, 99.4 % PDR), an Extended Kalman Filter for GPS-degraded corridors, and a VT-Micro energy model that yielded a 21.8 % energy reduction versus conventional A*. Fleet tests covering 10 to 50 vehicles achieved 100 % route completion with zero collision incidents and an ISO 2631 ride comfort score of 98.4 %.</vt:lpwstr>
  </property>
</Properties>
</file>